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utoSpaceDE w:val="0"/>
        <w:autoSpaceDN w:val="0"/>
        <w:snapToGrid/>
        <w:spacing w:after="0" w:line="440" w:lineRule="exact"/>
        <w:jc w:val="center"/>
        <w:rPr>
          <w:rFonts w:ascii="方正小标宋简体" w:hAnsi="Calibri" w:eastAsia="方正小标宋简体" w:cs="FZXBSJW--GB1-0"/>
          <w:sz w:val="44"/>
          <w:szCs w:val="44"/>
        </w:rPr>
      </w:pPr>
      <w:r>
        <w:rPr>
          <w:rFonts w:hint="eastAsia" w:ascii="方正小标宋简体" w:hAnsi="Calibri" w:eastAsia="方正小标宋简体" w:cs="FZXBSJW--GB1-0"/>
          <w:sz w:val="44"/>
          <w:szCs w:val="44"/>
        </w:rPr>
        <w:t>重大行政执法决定法制审核目录清单</w:t>
      </w:r>
    </w:p>
    <w:p>
      <w:pPr>
        <w:widowControl w:val="0"/>
        <w:autoSpaceDE w:val="0"/>
        <w:autoSpaceDN w:val="0"/>
        <w:snapToGrid/>
        <w:spacing w:after="0" w:line="440" w:lineRule="exact"/>
        <w:jc w:val="center"/>
        <w:rPr>
          <w:rFonts w:ascii="方正小标宋简体" w:hAnsi="Calibri" w:eastAsia="方正小标宋简体" w:cs="FZXBSJW--GB1-0"/>
          <w:sz w:val="44"/>
          <w:szCs w:val="44"/>
        </w:rPr>
      </w:pPr>
    </w:p>
    <w:tbl>
      <w:tblPr>
        <w:tblStyle w:val="12"/>
        <w:tblW w:w="133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1"/>
        <w:gridCol w:w="1064"/>
        <w:gridCol w:w="1079"/>
        <w:gridCol w:w="1063"/>
        <w:gridCol w:w="2610"/>
        <w:gridCol w:w="1078"/>
        <w:gridCol w:w="1063"/>
        <w:gridCol w:w="1480"/>
        <w:gridCol w:w="2117"/>
        <w:gridCol w:w="1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trPr>
        <w:tc>
          <w:tcPr>
            <w:tcW w:w="651" w:type="dxa"/>
            <w:vAlign w:val="top"/>
          </w:tcPr>
          <w:p>
            <w:pPr>
              <w:widowControl w:val="0"/>
              <w:autoSpaceDE w:val="0"/>
              <w:autoSpaceDN w:val="0"/>
              <w:snapToGrid/>
              <w:spacing w:line="500" w:lineRule="exact"/>
              <w:rPr>
                <w:rFonts w:ascii="宋体" w:hAnsi="宋体" w:eastAsia="宋体" w:cs="仿宋_GB2312"/>
                <w:sz w:val="21"/>
                <w:szCs w:val="21"/>
              </w:rPr>
            </w:pPr>
            <w:r>
              <w:rPr>
                <w:rFonts w:hint="eastAsia" w:ascii="宋体" w:hAnsi="宋体" w:eastAsia="宋体" w:cs="仿宋_GB2312"/>
                <w:sz w:val="21"/>
                <w:szCs w:val="21"/>
              </w:rPr>
              <w:t>序号</w:t>
            </w:r>
          </w:p>
        </w:tc>
        <w:tc>
          <w:tcPr>
            <w:tcW w:w="1064" w:type="dxa"/>
            <w:vAlign w:val="top"/>
          </w:tcPr>
          <w:p>
            <w:pPr>
              <w:widowControl w:val="0"/>
              <w:autoSpaceDE w:val="0"/>
              <w:autoSpaceDN w:val="0"/>
              <w:snapToGrid/>
              <w:spacing w:line="500" w:lineRule="exact"/>
              <w:rPr>
                <w:rFonts w:ascii="宋体" w:hAnsi="宋体" w:eastAsia="宋体" w:cs="仿宋_GB2312"/>
                <w:sz w:val="21"/>
                <w:szCs w:val="21"/>
              </w:rPr>
            </w:pPr>
            <w:r>
              <w:rPr>
                <w:rFonts w:hint="eastAsia" w:ascii="宋体" w:hAnsi="宋体" w:eastAsia="宋体" w:cs="仿宋_GB2312"/>
                <w:sz w:val="21"/>
                <w:szCs w:val="21"/>
              </w:rPr>
              <w:t>执法类别</w:t>
            </w:r>
          </w:p>
        </w:tc>
        <w:tc>
          <w:tcPr>
            <w:tcW w:w="1079" w:type="dxa"/>
            <w:vAlign w:val="center"/>
          </w:tcPr>
          <w:p>
            <w:pPr>
              <w:widowControl w:val="0"/>
              <w:autoSpaceDE w:val="0"/>
              <w:autoSpaceDN w:val="0"/>
              <w:snapToGrid/>
              <w:spacing w:line="500" w:lineRule="exact"/>
              <w:jc w:val="center"/>
              <w:rPr>
                <w:rFonts w:ascii="宋体" w:hAnsi="宋体" w:eastAsia="宋体" w:cs="仿宋_GB2312"/>
                <w:sz w:val="21"/>
                <w:szCs w:val="21"/>
              </w:rPr>
            </w:pPr>
            <w:r>
              <w:rPr>
                <w:rFonts w:hint="eastAsia" w:ascii="宋体" w:hAnsi="宋体" w:eastAsia="宋体" w:cs="仿宋_GB2312"/>
                <w:sz w:val="21"/>
                <w:szCs w:val="21"/>
              </w:rPr>
              <w:t>审核项目</w:t>
            </w:r>
          </w:p>
        </w:tc>
        <w:tc>
          <w:tcPr>
            <w:tcW w:w="1063" w:type="dxa"/>
            <w:vAlign w:val="center"/>
          </w:tcPr>
          <w:p>
            <w:pPr>
              <w:widowControl w:val="0"/>
              <w:autoSpaceDE w:val="0"/>
              <w:autoSpaceDN w:val="0"/>
              <w:snapToGrid/>
              <w:spacing w:line="500" w:lineRule="exact"/>
              <w:jc w:val="center"/>
              <w:rPr>
                <w:rFonts w:ascii="宋体" w:hAnsi="宋体" w:eastAsia="宋体" w:cs="仿宋_GB2312"/>
                <w:sz w:val="21"/>
                <w:szCs w:val="21"/>
              </w:rPr>
            </w:pPr>
            <w:r>
              <w:rPr>
                <w:rFonts w:hint="eastAsia" w:ascii="宋体" w:hAnsi="宋体" w:eastAsia="宋体" w:cs="仿宋_GB2312"/>
                <w:sz w:val="21"/>
                <w:szCs w:val="21"/>
              </w:rPr>
              <w:t>承办机构</w:t>
            </w:r>
          </w:p>
        </w:tc>
        <w:tc>
          <w:tcPr>
            <w:tcW w:w="2610" w:type="dxa"/>
            <w:vAlign w:val="center"/>
          </w:tcPr>
          <w:p>
            <w:pPr>
              <w:widowControl w:val="0"/>
              <w:autoSpaceDE w:val="0"/>
              <w:autoSpaceDN w:val="0"/>
              <w:snapToGrid/>
              <w:spacing w:line="500" w:lineRule="exact"/>
              <w:jc w:val="center"/>
              <w:rPr>
                <w:rFonts w:ascii="宋体" w:hAnsi="宋体" w:eastAsia="宋体" w:cs="仿宋_GB2312"/>
                <w:sz w:val="21"/>
                <w:szCs w:val="21"/>
              </w:rPr>
            </w:pPr>
            <w:r>
              <w:rPr>
                <w:rFonts w:hint="eastAsia" w:ascii="宋体" w:hAnsi="宋体" w:eastAsia="宋体" w:cs="仿宋_GB2312"/>
                <w:sz w:val="21"/>
                <w:szCs w:val="21"/>
              </w:rPr>
              <w:t>审核条件</w:t>
            </w:r>
          </w:p>
        </w:tc>
        <w:tc>
          <w:tcPr>
            <w:tcW w:w="1078" w:type="dxa"/>
            <w:vAlign w:val="center"/>
          </w:tcPr>
          <w:p>
            <w:pPr>
              <w:widowControl w:val="0"/>
              <w:autoSpaceDE w:val="0"/>
              <w:autoSpaceDN w:val="0"/>
              <w:snapToGrid/>
              <w:spacing w:line="500" w:lineRule="exact"/>
              <w:jc w:val="center"/>
              <w:rPr>
                <w:rFonts w:ascii="宋体" w:hAnsi="宋体" w:eastAsia="宋体" w:cs="仿宋_GB2312"/>
                <w:sz w:val="21"/>
                <w:szCs w:val="21"/>
              </w:rPr>
            </w:pPr>
            <w:r>
              <w:rPr>
                <w:rFonts w:hint="eastAsia" w:ascii="宋体" w:hAnsi="宋体" w:eastAsia="宋体" w:cs="仿宋_GB2312"/>
                <w:sz w:val="21"/>
                <w:szCs w:val="21"/>
              </w:rPr>
              <w:t>审核依据</w:t>
            </w:r>
          </w:p>
        </w:tc>
        <w:tc>
          <w:tcPr>
            <w:tcW w:w="1063" w:type="dxa"/>
            <w:vAlign w:val="center"/>
          </w:tcPr>
          <w:p>
            <w:pPr>
              <w:widowControl w:val="0"/>
              <w:autoSpaceDE w:val="0"/>
              <w:autoSpaceDN w:val="0"/>
              <w:snapToGrid/>
              <w:spacing w:line="500" w:lineRule="exact"/>
              <w:jc w:val="center"/>
              <w:rPr>
                <w:rFonts w:ascii="宋体" w:hAnsi="宋体" w:eastAsia="宋体" w:cs="仿宋_GB2312"/>
                <w:sz w:val="21"/>
                <w:szCs w:val="21"/>
              </w:rPr>
            </w:pPr>
            <w:r>
              <w:rPr>
                <w:rFonts w:hint="eastAsia" w:ascii="宋体" w:hAnsi="宋体" w:eastAsia="宋体" w:cs="仿宋_GB2312"/>
                <w:sz w:val="21"/>
                <w:szCs w:val="21"/>
              </w:rPr>
              <w:t>审核机构</w:t>
            </w:r>
          </w:p>
        </w:tc>
        <w:tc>
          <w:tcPr>
            <w:tcW w:w="1480" w:type="dxa"/>
            <w:vAlign w:val="center"/>
          </w:tcPr>
          <w:p>
            <w:pPr>
              <w:widowControl w:val="0"/>
              <w:autoSpaceDE w:val="0"/>
              <w:autoSpaceDN w:val="0"/>
              <w:snapToGrid/>
              <w:spacing w:line="500" w:lineRule="exact"/>
              <w:jc w:val="center"/>
              <w:rPr>
                <w:rFonts w:ascii="宋体" w:hAnsi="宋体" w:eastAsia="宋体" w:cs="仿宋_GB2312"/>
                <w:sz w:val="21"/>
                <w:szCs w:val="21"/>
              </w:rPr>
            </w:pPr>
            <w:r>
              <w:rPr>
                <w:rFonts w:hint="eastAsia" w:ascii="宋体" w:hAnsi="宋体" w:eastAsia="宋体" w:cs="仿宋_GB2312"/>
                <w:sz w:val="21"/>
                <w:szCs w:val="21"/>
              </w:rPr>
              <w:t>提交审核材料</w:t>
            </w:r>
          </w:p>
        </w:tc>
        <w:tc>
          <w:tcPr>
            <w:tcW w:w="2117" w:type="dxa"/>
            <w:vAlign w:val="center"/>
          </w:tcPr>
          <w:p>
            <w:pPr>
              <w:widowControl w:val="0"/>
              <w:autoSpaceDE w:val="0"/>
              <w:autoSpaceDN w:val="0"/>
              <w:snapToGrid/>
              <w:spacing w:line="500" w:lineRule="exact"/>
              <w:jc w:val="center"/>
              <w:rPr>
                <w:rFonts w:ascii="宋体" w:hAnsi="宋体" w:eastAsia="宋体" w:cs="仿宋_GB2312"/>
                <w:sz w:val="21"/>
                <w:szCs w:val="21"/>
              </w:rPr>
            </w:pPr>
            <w:r>
              <w:rPr>
                <w:rFonts w:hint="eastAsia" w:ascii="宋体" w:hAnsi="宋体" w:eastAsia="宋体" w:cs="仿宋_GB2312"/>
                <w:sz w:val="21"/>
                <w:szCs w:val="21"/>
              </w:rPr>
              <w:t>审核重点</w:t>
            </w:r>
          </w:p>
        </w:tc>
        <w:tc>
          <w:tcPr>
            <w:tcW w:w="1107" w:type="dxa"/>
            <w:vAlign w:val="center"/>
          </w:tcPr>
          <w:p>
            <w:pPr>
              <w:widowControl w:val="0"/>
              <w:autoSpaceDE w:val="0"/>
              <w:autoSpaceDN w:val="0"/>
              <w:snapToGrid/>
              <w:spacing w:line="500" w:lineRule="exact"/>
              <w:jc w:val="center"/>
              <w:rPr>
                <w:rFonts w:ascii="宋体" w:hAnsi="宋体" w:eastAsia="宋体" w:cs="仿宋_GB2312"/>
                <w:sz w:val="21"/>
                <w:szCs w:val="21"/>
              </w:rPr>
            </w:pPr>
            <w:r>
              <w:rPr>
                <w:rFonts w:hint="eastAsia" w:ascii="宋体" w:hAnsi="宋体" w:eastAsia="宋体" w:cs="仿宋_GB2312"/>
                <w:sz w:val="21"/>
                <w:szCs w:val="21"/>
              </w:rPr>
              <w:t>审核期限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1" w:type="dxa"/>
            <w:vMerge w:val="restart"/>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1</w:t>
            </w:r>
          </w:p>
        </w:tc>
        <w:tc>
          <w:tcPr>
            <w:tcW w:w="1064" w:type="dxa"/>
            <w:vMerge w:val="restart"/>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行政处罚</w:t>
            </w:r>
          </w:p>
        </w:tc>
        <w:tc>
          <w:tcPr>
            <w:tcW w:w="1079" w:type="dxa"/>
            <w:vMerge w:val="restart"/>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适用一般程序作出的行政处罚决定</w:t>
            </w:r>
          </w:p>
        </w:tc>
        <w:tc>
          <w:tcPr>
            <w:tcW w:w="1063" w:type="dxa"/>
            <w:vMerge w:val="restart"/>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市队</w:t>
            </w:r>
            <w:r>
              <w:rPr>
                <w:rFonts w:hint="eastAsia" w:ascii="宋体" w:hAnsi="宋体" w:eastAsia="宋体" w:cs="仿宋_GB2312"/>
                <w:sz w:val="18"/>
                <w:szCs w:val="18"/>
                <w:lang w:eastAsia="zh-CN"/>
              </w:rPr>
              <w:t>各分队</w:t>
            </w:r>
          </w:p>
        </w:tc>
        <w:tc>
          <w:tcPr>
            <w:tcW w:w="2610" w:type="dxa"/>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拟对公民、法人或者其他组织处以5000元以上较大数额罚款的</w:t>
            </w:r>
          </w:p>
        </w:tc>
        <w:tc>
          <w:tcPr>
            <w:tcW w:w="1078" w:type="dxa"/>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《山西省行政执法自由裁量基准制度》</w:t>
            </w:r>
          </w:p>
        </w:tc>
        <w:tc>
          <w:tcPr>
            <w:tcW w:w="1063" w:type="dxa"/>
            <w:vMerge w:val="restart"/>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市队法制</w:t>
            </w:r>
            <w:r>
              <w:rPr>
                <w:rFonts w:hint="eastAsia" w:ascii="宋体" w:hAnsi="宋体" w:eastAsia="宋体" w:cs="仿宋_GB2312"/>
                <w:sz w:val="18"/>
                <w:szCs w:val="18"/>
                <w:lang w:eastAsia="zh-CN"/>
              </w:rPr>
              <w:t>审核室</w:t>
            </w:r>
          </w:p>
        </w:tc>
        <w:tc>
          <w:tcPr>
            <w:tcW w:w="1480" w:type="dxa"/>
            <w:vMerge w:val="restart"/>
            <w:vAlign w:val="center"/>
          </w:tcPr>
          <w:p>
            <w:pPr>
              <w:shd w:val="clear" w:color="auto" w:fill="FFFFFF"/>
              <w:jc w:val="center"/>
              <w:textAlignment w:val="baseline"/>
              <w:rPr>
                <w:rFonts w:ascii="宋体" w:hAnsi="宋体" w:eastAsia="宋体" w:cs="仿宋_GB2312"/>
                <w:sz w:val="18"/>
                <w:szCs w:val="18"/>
              </w:rPr>
            </w:pPr>
            <w:r>
              <w:rPr>
                <w:rFonts w:hint="eastAsia" w:ascii="宋体" w:hAnsi="宋体" w:eastAsia="宋体" w:cs="仿宋_GB2312"/>
                <w:sz w:val="18"/>
                <w:szCs w:val="18"/>
              </w:rPr>
              <w:t>现场笔录、询问笔录、勘验笔录举报笔录等；视听资料等证据资料；行政强制措施决定书、证据保存清单等；法律依据；听证笔录、评估报告；陈述申辩书等；</w:t>
            </w:r>
          </w:p>
          <w:p>
            <w:pPr>
              <w:shd w:val="clear" w:color="auto" w:fill="FFFFFF"/>
              <w:jc w:val="center"/>
              <w:textAlignment w:val="baseline"/>
              <w:rPr>
                <w:rFonts w:ascii="宋体" w:hAnsi="宋体" w:eastAsia="宋体" w:cs="仿宋_GB2312"/>
                <w:sz w:val="18"/>
                <w:szCs w:val="18"/>
              </w:rPr>
            </w:pPr>
            <w:r>
              <w:rPr>
                <w:rFonts w:hint="eastAsia" w:ascii="宋体" w:hAnsi="宋体" w:eastAsia="宋体" w:cs="仿宋_GB2312"/>
                <w:sz w:val="18"/>
                <w:szCs w:val="18"/>
              </w:rPr>
              <w:t>其他需要提交的材料。</w:t>
            </w:r>
          </w:p>
          <w:p>
            <w:pPr>
              <w:widowControl w:val="0"/>
              <w:autoSpaceDE w:val="0"/>
              <w:autoSpaceDN w:val="0"/>
              <w:snapToGrid/>
              <w:jc w:val="center"/>
              <w:rPr>
                <w:rFonts w:ascii="宋体" w:hAnsi="宋体" w:eastAsia="宋体" w:cs="仿宋_GB2312"/>
                <w:sz w:val="18"/>
                <w:szCs w:val="18"/>
              </w:rPr>
            </w:pPr>
          </w:p>
        </w:tc>
        <w:tc>
          <w:tcPr>
            <w:tcW w:w="2117" w:type="dxa"/>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1.执法主体是否合法，执法人员是否具备执法资格；2.主要事实是否清楚，证据是否确凿、充分；3.适用法律、法规、规章是否准确；罚执行裁量基准是否适当；4.程序是否合法，是否充分保障行政相对人权利；</w:t>
            </w:r>
          </w:p>
        </w:tc>
        <w:tc>
          <w:tcPr>
            <w:tcW w:w="1107" w:type="dxa"/>
            <w:vMerge w:val="restart"/>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7个工作日（案件复杂或因特殊情况的，经市队负责人批准，可延长5个工作日）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1" w:type="dxa"/>
            <w:vMerge w:val="continue"/>
            <w:vAlign w:val="center"/>
          </w:tcPr>
          <w:p>
            <w:pPr>
              <w:widowControl w:val="0"/>
              <w:autoSpaceDE w:val="0"/>
              <w:autoSpaceDN w:val="0"/>
              <w:snapToGrid/>
              <w:jc w:val="center"/>
              <w:rPr>
                <w:rFonts w:ascii="宋体" w:hAnsi="宋体" w:eastAsia="宋体" w:cs="仿宋_GB2312"/>
                <w:sz w:val="18"/>
                <w:szCs w:val="18"/>
              </w:rPr>
            </w:pPr>
          </w:p>
        </w:tc>
        <w:tc>
          <w:tcPr>
            <w:tcW w:w="1064" w:type="dxa"/>
            <w:vMerge w:val="continue"/>
            <w:vAlign w:val="center"/>
          </w:tcPr>
          <w:p>
            <w:pPr>
              <w:widowControl w:val="0"/>
              <w:autoSpaceDE w:val="0"/>
              <w:autoSpaceDN w:val="0"/>
              <w:snapToGrid/>
              <w:jc w:val="center"/>
              <w:rPr>
                <w:rFonts w:ascii="宋体" w:hAnsi="宋体" w:eastAsia="宋体" w:cs="仿宋_GB2312"/>
                <w:sz w:val="18"/>
                <w:szCs w:val="18"/>
              </w:rPr>
            </w:pPr>
          </w:p>
        </w:tc>
        <w:tc>
          <w:tcPr>
            <w:tcW w:w="1079" w:type="dxa"/>
            <w:vMerge w:val="continue"/>
            <w:vAlign w:val="center"/>
          </w:tcPr>
          <w:p>
            <w:pPr>
              <w:widowControl w:val="0"/>
              <w:autoSpaceDE w:val="0"/>
              <w:autoSpaceDN w:val="0"/>
              <w:snapToGrid/>
              <w:jc w:val="center"/>
              <w:rPr>
                <w:rFonts w:ascii="宋体" w:hAnsi="宋体" w:eastAsia="宋体" w:cs="仿宋_GB2312"/>
                <w:sz w:val="18"/>
                <w:szCs w:val="18"/>
              </w:rPr>
            </w:pPr>
          </w:p>
        </w:tc>
        <w:tc>
          <w:tcPr>
            <w:tcW w:w="1063" w:type="dxa"/>
            <w:vMerge w:val="continue"/>
            <w:vAlign w:val="center"/>
          </w:tcPr>
          <w:p>
            <w:pPr>
              <w:widowControl w:val="0"/>
              <w:autoSpaceDE w:val="0"/>
              <w:autoSpaceDN w:val="0"/>
              <w:snapToGrid/>
              <w:jc w:val="center"/>
              <w:rPr>
                <w:rFonts w:ascii="宋体" w:hAnsi="宋体" w:eastAsia="宋体" w:cs="仿宋_GB2312"/>
                <w:sz w:val="18"/>
                <w:szCs w:val="18"/>
              </w:rPr>
            </w:pPr>
          </w:p>
        </w:tc>
        <w:tc>
          <w:tcPr>
            <w:tcW w:w="2610" w:type="dxa"/>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拟做出减轻处罚或按照情节需要加重处罚的决定</w:t>
            </w:r>
          </w:p>
        </w:tc>
        <w:tc>
          <w:tcPr>
            <w:tcW w:w="1078" w:type="dxa"/>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中华人民共和国行政处罚法》第二十七条</w:t>
            </w:r>
          </w:p>
        </w:tc>
        <w:tc>
          <w:tcPr>
            <w:tcW w:w="1063" w:type="dxa"/>
            <w:vMerge w:val="continue"/>
            <w:vAlign w:val="center"/>
          </w:tcPr>
          <w:p>
            <w:pPr>
              <w:widowControl w:val="0"/>
              <w:autoSpaceDE w:val="0"/>
              <w:autoSpaceDN w:val="0"/>
              <w:snapToGrid/>
              <w:jc w:val="center"/>
              <w:rPr>
                <w:rFonts w:ascii="宋体" w:hAnsi="宋体" w:eastAsia="宋体" w:cs="仿宋_GB2312"/>
                <w:sz w:val="18"/>
                <w:szCs w:val="18"/>
              </w:rPr>
            </w:pPr>
          </w:p>
        </w:tc>
        <w:tc>
          <w:tcPr>
            <w:tcW w:w="1480" w:type="dxa"/>
            <w:vMerge w:val="continue"/>
            <w:vAlign w:val="center"/>
          </w:tcPr>
          <w:p>
            <w:pPr>
              <w:widowControl w:val="0"/>
              <w:autoSpaceDE w:val="0"/>
              <w:autoSpaceDN w:val="0"/>
              <w:snapToGrid/>
              <w:jc w:val="center"/>
              <w:rPr>
                <w:rFonts w:ascii="宋体" w:hAnsi="宋体" w:eastAsia="宋体" w:cs="仿宋_GB2312"/>
                <w:sz w:val="18"/>
                <w:szCs w:val="18"/>
              </w:rPr>
            </w:pPr>
          </w:p>
        </w:tc>
        <w:tc>
          <w:tcPr>
            <w:tcW w:w="2117" w:type="dxa"/>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1.有无构成依法从轻或者减轻行政处罚的法律要件；2.需要作出具体规定的，必须在法律规定的给予行政处罚的行为、种类和幅度的范围内；</w:t>
            </w:r>
          </w:p>
        </w:tc>
        <w:tc>
          <w:tcPr>
            <w:tcW w:w="1107" w:type="dxa"/>
            <w:vMerge w:val="continue"/>
            <w:vAlign w:val="center"/>
          </w:tcPr>
          <w:p>
            <w:pPr>
              <w:widowControl w:val="0"/>
              <w:autoSpaceDE w:val="0"/>
              <w:autoSpaceDN w:val="0"/>
              <w:snapToGrid/>
              <w:jc w:val="center"/>
              <w:rPr>
                <w:rFonts w:ascii="宋体" w:hAnsi="宋体" w:eastAsia="宋体" w:cs="仿宋_GB231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1" w:type="dxa"/>
            <w:vMerge w:val="restart"/>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2</w:t>
            </w:r>
          </w:p>
        </w:tc>
        <w:tc>
          <w:tcPr>
            <w:tcW w:w="1064" w:type="dxa"/>
            <w:vMerge w:val="restart"/>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行政强制</w:t>
            </w:r>
          </w:p>
        </w:tc>
        <w:tc>
          <w:tcPr>
            <w:tcW w:w="1079" w:type="dxa"/>
            <w:vMerge w:val="restart"/>
            <w:vAlign w:val="center"/>
          </w:tcPr>
          <w:p>
            <w:pPr>
              <w:widowControl w:val="0"/>
              <w:autoSpaceDE w:val="0"/>
              <w:autoSpaceDN w:val="0"/>
              <w:snapToGrid/>
              <w:jc w:val="both"/>
              <w:rPr>
                <w:rFonts w:ascii="宋体" w:hAnsi="宋体" w:eastAsia="宋体" w:cs="仿宋_GB2312"/>
                <w:sz w:val="18"/>
                <w:szCs w:val="18"/>
              </w:rPr>
            </w:pPr>
            <w:r>
              <w:rPr>
                <w:rFonts w:hint="eastAsia" w:ascii="宋体" w:hAnsi="宋体" w:eastAsia="宋体" w:cs="仿宋_GB2312"/>
                <w:sz w:val="18"/>
                <w:szCs w:val="18"/>
              </w:rPr>
              <w:t>依法对公民、法人或者其他组织的财物实施暂时性控制的行为及行政机关对不履行行政决定的公民、法人或者其他组织，依法强制履行义务的行为</w:t>
            </w:r>
          </w:p>
        </w:tc>
        <w:tc>
          <w:tcPr>
            <w:tcW w:w="1063" w:type="dxa"/>
            <w:vMerge w:val="restart"/>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市队</w:t>
            </w:r>
            <w:r>
              <w:rPr>
                <w:rFonts w:hint="eastAsia" w:ascii="宋体" w:hAnsi="宋体" w:eastAsia="宋体" w:cs="仿宋_GB2312"/>
                <w:sz w:val="18"/>
                <w:szCs w:val="18"/>
                <w:lang w:eastAsia="zh-CN"/>
              </w:rPr>
              <w:t>各分</w:t>
            </w:r>
            <w:r>
              <w:rPr>
                <w:rFonts w:hint="eastAsia" w:ascii="宋体" w:hAnsi="宋体" w:eastAsia="宋体" w:cs="仿宋_GB2312"/>
                <w:sz w:val="18"/>
                <w:szCs w:val="18"/>
              </w:rPr>
              <w:t>队</w:t>
            </w:r>
          </w:p>
        </w:tc>
        <w:tc>
          <w:tcPr>
            <w:tcW w:w="2610" w:type="dxa"/>
            <w:vAlign w:val="center"/>
          </w:tcPr>
          <w:p>
            <w:pPr>
              <w:widowControl w:val="0"/>
              <w:autoSpaceDE w:val="0"/>
              <w:autoSpaceDN w:val="0"/>
              <w:snapToGrid/>
              <w:jc w:val="both"/>
              <w:rPr>
                <w:rFonts w:ascii="宋体" w:hAnsi="宋体" w:eastAsia="宋体" w:cs="仿宋_GB2312"/>
                <w:sz w:val="18"/>
                <w:szCs w:val="18"/>
              </w:rPr>
            </w:pPr>
            <w:r>
              <w:rPr>
                <w:rFonts w:hint="eastAsia" w:ascii="宋体" w:hAnsi="宋体" w:eastAsia="宋体" w:cs="仿宋_GB2312"/>
                <w:sz w:val="18"/>
                <w:szCs w:val="18"/>
              </w:rPr>
              <w:t>重大行政强制措施：1.查封公民、法人或者其他组织生产、经营场所；2.查封公民、法人或者其他组织主要生产、经营设施；3.查封、扣押公民财物，标的金额5000元以上的；查封、扣押法人或者其他组织财物，标的金额10万元以上的。</w:t>
            </w:r>
          </w:p>
          <w:p>
            <w:pPr>
              <w:widowControl w:val="0"/>
              <w:autoSpaceDE w:val="0"/>
              <w:autoSpaceDN w:val="0"/>
              <w:snapToGrid/>
              <w:jc w:val="center"/>
              <w:rPr>
                <w:rFonts w:ascii="宋体" w:hAnsi="宋体" w:eastAsia="宋体" w:cs="仿宋_GB2312"/>
                <w:sz w:val="18"/>
                <w:szCs w:val="18"/>
              </w:rPr>
            </w:pPr>
          </w:p>
        </w:tc>
        <w:tc>
          <w:tcPr>
            <w:tcW w:w="1078" w:type="dxa"/>
            <w:vMerge w:val="restart"/>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《中华人民共和国</w:t>
            </w:r>
            <w:r>
              <w:rPr>
                <w:rFonts w:hint="eastAsia" w:ascii="宋体" w:hAnsi="宋体" w:eastAsia="宋体" w:cs="仿宋_GB2312"/>
                <w:sz w:val="18"/>
                <w:szCs w:val="18"/>
                <w:lang w:eastAsia="zh-CN"/>
              </w:rPr>
              <w:t>行政</w:t>
            </w:r>
            <w:bookmarkStart w:id="0" w:name="_GoBack"/>
            <w:bookmarkEnd w:id="0"/>
            <w:r>
              <w:rPr>
                <w:rFonts w:hint="eastAsia" w:ascii="宋体" w:hAnsi="宋体" w:eastAsia="宋体" w:cs="仿宋_GB2312"/>
                <w:sz w:val="18"/>
                <w:szCs w:val="18"/>
              </w:rPr>
              <w:t>强制法》第四条、第四十四条、第七十条</w:t>
            </w:r>
          </w:p>
        </w:tc>
        <w:tc>
          <w:tcPr>
            <w:tcW w:w="1063" w:type="dxa"/>
            <w:vMerge w:val="restart"/>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市队法制</w:t>
            </w:r>
            <w:r>
              <w:rPr>
                <w:rFonts w:hint="eastAsia" w:ascii="宋体" w:hAnsi="宋体" w:eastAsia="宋体" w:cs="仿宋_GB2312"/>
                <w:sz w:val="18"/>
                <w:szCs w:val="18"/>
                <w:lang w:eastAsia="zh-CN"/>
              </w:rPr>
              <w:t>审核室</w:t>
            </w:r>
          </w:p>
        </w:tc>
        <w:tc>
          <w:tcPr>
            <w:tcW w:w="1480" w:type="dxa"/>
            <w:vMerge w:val="restart"/>
            <w:vAlign w:val="center"/>
          </w:tcPr>
          <w:p>
            <w:pPr>
              <w:shd w:val="clear" w:color="auto" w:fill="FFFFFF"/>
              <w:jc w:val="both"/>
              <w:textAlignment w:val="baseline"/>
              <w:rPr>
                <w:rFonts w:ascii="宋体" w:hAnsi="宋体" w:eastAsia="宋体" w:cs="仿宋_GB2312"/>
                <w:sz w:val="18"/>
                <w:szCs w:val="18"/>
              </w:rPr>
            </w:pPr>
            <w:r>
              <w:rPr>
                <w:rFonts w:hint="eastAsia" w:ascii="宋体" w:hAnsi="宋体" w:eastAsia="宋体" w:cs="仿宋_GB2312"/>
                <w:sz w:val="18"/>
                <w:szCs w:val="18"/>
              </w:rPr>
              <w:t>立案审批表、现场笔录、询问笔录、勘验笔录举报笔录等；视听资料等证据资料；行政强制措施决定书、证据保存清单等；法律依据；听证笔录、评估报告；陈述申辩书等；</w:t>
            </w:r>
          </w:p>
          <w:p>
            <w:pPr>
              <w:shd w:val="clear" w:color="auto" w:fill="FFFFFF"/>
              <w:jc w:val="both"/>
              <w:textAlignment w:val="baseline"/>
              <w:rPr>
                <w:rFonts w:ascii="宋体" w:hAnsi="宋体" w:eastAsia="宋体" w:cs="仿宋_GB2312"/>
                <w:sz w:val="18"/>
                <w:szCs w:val="18"/>
              </w:rPr>
            </w:pPr>
            <w:r>
              <w:rPr>
                <w:rFonts w:hint="eastAsia" w:ascii="宋体" w:hAnsi="宋体" w:eastAsia="宋体" w:cs="仿宋_GB2312"/>
                <w:sz w:val="18"/>
                <w:szCs w:val="18"/>
              </w:rPr>
              <w:t>其他需要提交的材料。</w:t>
            </w:r>
          </w:p>
          <w:p>
            <w:pPr>
              <w:jc w:val="both"/>
              <w:rPr>
                <w:rFonts w:ascii="宋体" w:hAnsi="宋体" w:eastAsia="宋体" w:cs="仿宋_GB2312"/>
                <w:sz w:val="18"/>
                <w:szCs w:val="18"/>
              </w:rPr>
            </w:pPr>
            <w:r>
              <w:rPr>
                <w:rFonts w:hint="eastAsia" w:ascii="宋体" w:hAnsi="宋体" w:eastAsia="宋体" w:cs="仿宋_GB2312"/>
                <w:sz w:val="18"/>
                <w:szCs w:val="18"/>
              </w:rPr>
              <w:t>（1.重大行政强制执行决定调查终结报告；2.重大行政强制执行决定；3.重大行政强制执行决定书代拟稿；4.相关证据材料；5.其它需要提交的材料。）</w:t>
            </w:r>
          </w:p>
          <w:p>
            <w:pPr>
              <w:shd w:val="clear" w:color="auto" w:fill="FFFFFF"/>
              <w:jc w:val="both"/>
              <w:textAlignment w:val="baseline"/>
              <w:rPr>
                <w:rFonts w:ascii="宋体" w:hAnsi="宋体" w:eastAsia="宋体" w:cs="仿宋_GB2312"/>
                <w:sz w:val="18"/>
                <w:szCs w:val="18"/>
              </w:rPr>
            </w:pPr>
          </w:p>
          <w:p>
            <w:pPr>
              <w:widowControl w:val="0"/>
              <w:autoSpaceDE w:val="0"/>
              <w:autoSpaceDN w:val="0"/>
              <w:snapToGrid/>
              <w:jc w:val="both"/>
              <w:rPr>
                <w:rFonts w:ascii="宋体" w:hAnsi="宋体" w:eastAsia="宋体" w:cs="仿宋_GB2312"/>
                <w:sz w:val="18"/>
                <w:szCs w:val="18"/>
              </w:rPr>
            </w:pPr>
          </w:p>
        </w:tc>
        <w:tc>
          <w:tcPr>
            <w:tcW w:w="2117" w:type="dxa"/>
            <w:vMerge w:val="restart"/>
            <w:vAlign w:val="center"/>
          </w:tcPr>
          <w:p>
            <w:pPr>
              <w:widowControl w:val="0"/>
              <w:autoSpaceDE w:val="0"/>
              <w:autoSpaceDN w:val="0"/>
              <w:snapToGrid/>
              <w:jc w:val="both"/>
              <w:rPr>
                <w:rFonts w:ascii="宋体" w:hAnsi="宋体" w:eastAsia="宋体" w:cs="仿宋_GB2312"/>
                <w:sz w:val="18"/>
                <w:szCs w:val="18"/>
              </w:rPr>
            </w:pPr>
            <w:r>
              <w:rPr>
                <w:rFonts w:hint="eastAsia" w:ascii="宋体" w:hAnsi="宋体" w:eastAsia="宋体" w:cs="仿宋_GB2312"/>
                <w:sz w:val="18"/>
                <w:szCs w:val="18"/>
              </w:rPr>
              <w:t>1.公民、法人或者其他组织对行政机关实施行政强制，享有陈述权、申辩权；有权依法申请行政复</w:t>
            </w:r>
          </w:p>
          <w:p>
            <w:pPr>
              <w:widowControl w:val="0"/>
              <w:autoSpaceDE w:val="0"/>
              <w:autoSpaceDN w:val="0"/>
              <w:snapToGrid/>
              <w:jc w:val="both"/>
              <w:rPr>
                <w:rFonts w:ascii="宋体" w:hAnsi="宋体" w:eastAsia="宋体" w:cs="仿宋_GB2312"/>
                <w:sz w:val="18"/>
                <w:szCs w:val="18"/>
              </w:rPr>
            </w:pPr>
            <w:r>
              <w:rPr>
                <w:rFonts w:hint="eastAsia" w:ascii="宋体" w:hAnsi="宋体" w:eastAsia="宋体" w:cs="仿宋_GB2312"/>
                <w:sz w:val="18"/>
                <w:szCs w:val="18"/>
              </w:rPr>
              <w:t>议或者提起行政诉讼；2.行政机关履行行政管理职责，依照法律、法规的规定，实施行政强制措施；3.行政机关在法定职权范围内实施。4.行政强制措施应当由行政机关具备资格的行政执法人员实施，其他人员不得实施。5.行政机关实施行政强制措施应当遵守下列规定：（1）实施前须向行政机关负责人报告并经批准；（2）由两名以上行政执法人员实施，并出示执法身份证件；（3）通知当事人到场；（4）当场告知当事人采取行政强制措施的理由、依据以及当事人依法享有的权利、救济途径；（5）听取当事人的陈述和申辩；（6）法律、法规规定的其他程序。</w:t>
            </w:r>
          </w:p>
          <w:p>
            <w:pPr>
              <w:widowControl w:val="0"/>
              <w:autoSpaceDE w:val="0"/>
              <w:autoSpaceDN w:val="0"/>
              <w:snapToGrid/>
              <w:jc w:val="both"/>
              <w:rPr>
                <w:rFonts w:ascii="宋体" w:hAnsi="宋体" w:eastAsia="宋体" w:cs="仿宋_GB2312"/>
                <w:sz w:val="18"/>
                <w:szCs w:val="18"/>
              </w:rPr>
            </w:pPr>
            <w:r>
              <w:rPr>
                <w:rFonts w:hint="eastAsia" w:ascii="宋体" w:hAnsi="宋体" w:eastAsia="宋体" w:cs="仿宋_GB2312"/>
                <w:sz w:val="18"/>
                <w:szCs w:val="18"/>
              </w:rPr>
              <w:t>（1.是否属于重大行政执法决定；2.行政执法机关主体是否合法，行政执法人员是否具备执法资格。3.适用法律、法规、规章是否准确；4.程序是否合法；5.是否有超越本机关职权范围或滥用职权的情形；6.执法文书是否规范、齐备；7.违法行为是否涉嫌犯罪需要移送司法机关；8.其他应当审核的内容。）</w:t>
            </w:r>
          </w:p>
        </w:tc>
        <w:tc>
          <w:tcPr>
            <w:tcW w:w="1107" w:type="dxa"/>
            <w:vMerge w:val="restart"/>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7个工作日（案件复杂或因特殊情况的，经市队负责人批准，可延长5个工作日）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1" w:type="dxa"/>
            <w:vMerge w:val="continue"/>
            <w:vAlign w:val="center"/>
          </w:tcPr>
          <w:p>
            <w:pPr>
              <w:widowControl w:val="0"/>
              <w:autoSpaceDE w:val="0"/>
              <w:autoSpaceDN w:val="0"/>
              <w:snapToGrid/>
              <w:jc w:val="center"/>
              <w:rPr>
                <w:rFonts w:ascii="宋体" w:hAnsi="宋体" w:eastAsia="宋体" w:cs="仿宋_GB2312"/>
                <w:sz w:val="18"/>
                <w:szCs w:val="18"/>
              </w:rPr>
            </w:pPr>
          </w:p>
        </w:tc>
        <w:tc>
          <w:tcPr>
            <w:tcW w:w="1064" w:type="dxa"/>
            <w:vMerge w:val="continue"/>
            <w:vAlign w:val="center"/>
          </w:tcPr>
          <w:p>
            <w:pPr>
              <w:widowControl w:val="0"/>
              <w:autoSpaceDE w:val="0"/>
              <w:autoSpaceDN w:val="0"/>
              <w:snapToGrid/>
              <w:jc w:val="center"/>
              <w:rPr>
                <w:rFonts w:ascii="宋体" w:hAnsi="宋体" w:eastAsia="宋体" w:cs="仿宋_GB2312"/>
                <w:sz w:val="18"/>
                <w:szCs w:val="18"/>
              </w:rPr>
            </w:pPr>
          </w:p>
        </w:tc>
        <w:tc>
          <w:tcPr>
            <w:tcW w:w="1079" w:type="dxa"/>
            <w:vMerge w:val="continue"/>
            <w:vAlign w:val="center"/>
          </w:tcPr>
          <w:p>
            <w:pPr>
              <w:widowControl w:val="0"/>
              <w:autoSpaceDE w:val="0"/>
              <w:autoSpaceDN w:val="0"/>
              <w:snapToGrid/>
              <w:jc w:val="both"/>
              <w:rPr>
                <w:rFonts w:ascii="宋体" w:hAnsi="宋体" w:eastAsia="宋体" w:cs="仿宋_GB2312"/>
                <w:sz w:val="18"/>
                <w:szCs w:val="18"/>
              </w:rPr>
            </w:pPr>
          </w:p>
        </w:tc>
        <w:tc>
          <w:tcPr>
            <w:tcW w:w="1063" w:type="dxa"/>
            <w:vMerge w:val="continue"/>
            <w:vAlign w:val="center"/>
          </w:tcPr>
          <w:p>
            <w:pPr>
              <w:widowControl w:val="0"/>
              <w:autoSpaceDE w:val="0"/>
              <w:autoSpaceDN w:val="0"/>
              <w:snapToGrid/>
              <w:jc w:val="center"/>
              <w:rPr>
                <w:rFonts w:ascii="宋体" w:hAnsi="宋体" w:eastAsia="宋体" w:cs="仿宋_GB2312"/>
                <w:sz w:val="18"/>
                <w:szCs w:val="18"/>
              </w:rPr>
            </w:pPr>
          </w:p>
        </w:tc>
        <w:tc>
          <w:tcPr>
            <w:tcW w:w="2610" w:type="dxa"/>
            <w:vAlign w:val="center"/>
          </w:tcPr>
          <w:p>
            <w:pPr>
              <w:widowControl w:val="0"/>
              <w:autoSpaceDE w:val="0"/>
              <w:autoSpaceDN w:val="0"/>
              <w:snapToGrid/>
              <w:jc w:val="both"/>
              <w:rPr>
                <w:rFonts w:ascii="宋体" w:hAnsi="宋体" w:eastAsia="宋体" w:cs="仿宋_GB2312"/>
                <w:sz w:val="18"/>
                <w:szCs w:val="18"/>
              </w:rPr>
            </w:pPr>
            <w:r>
              <w:rPr>
                <w:rFonts w:hint="eastAsia" w:ascii="宋体" w:hAnsi="宋体" w:eastAsia="宋体" w:cs="仿宋_GB2312"/>
                <w:sz w:val="18"/>
                <w:szCs w:val="18"/>
              </w:rPr>
              <w:t>重大行政强制执行：1.拍卖或者依法处理查封的公民、法人或者其他组织生产、经营场所；2.拍卖或者依法处理查封的公民、法人或者其他组织主要生产、经营设施；3.拍卖或者依法处理查封、扣押的公民财物，标的金额5000元以上的；拍卖或者依法处理查封、扣押的法人或者其他组织财物，标的金额10万元以上的；4.强制拆除违法的建筑物、构筑物或者设施等；5.代履行，履行费用5000元以上的。</w:t>
            </w:r>
          </w:p>
          <w:p>
            <w:pPr>
              <w:widowControl w:val="0"/>
              <w:autoSpaceDE w:val="0"/>
              <w:autoSpaceDN w:val="0"/>
              <w:snapToGrid/>
              <w:jc w:val="center"/>
              <w:rPr>
                <w:rFonts w:ascii="宋体" w:hAnsi="宋体" w:eastAsia="宋体" w:cs="仿宋_GB2312"/>
                <w:sz w:val="18"/>
                <w:szCs w:val="18"/>
              </w:rPr>
            </w:pPr>
          </w:p>
        </w:tc>
        <w:tc>
          <w:tcPr>
            <w:tcW w:w="1078" w:type="dxa"/>
            <w:vMerge w:val="continue"/>
            <w:vAlign w:val="center"/>
          </w:tcPr>
          <w:p>
            <w:pPr>
              <w:widowControl w:val="0"/>
              <w:autoSpaceDE w:val="0"/>
              <w:autoSpaceDN w:val="0"/>
              <w:snapToGrid/>
              <w:jc w:val="center"/>
              <w:rPr>
                <w:rFonts w:ascii="宋体" w:hAnsi="宋体" w:eastAsia="宋体" w:cs="仿宋_GB2312"/>
                <w:sz w:val="18"/>
                <w:szCs w:val="18"/>
              </w:rPr>
            </w:pPr>
          </w:p>
        </w:tc>
        <w:tc>
          <w:tcPr>
            <w:tcW w:w="1063" w:type="dxa"/>
            <w:vMerge w:val="continue"/>
            <w:vAlign w:val="center"/>
          </w:tcPr>
          <w:p>
            <w:pPr>
              <w:widowControl w:val="0"/>
              <w:autoSpaceDE w:val="0"/>
              <w:autoSpaceDN w:val="0"/>
              <w:snapToGrid/>
              <w:jc w:val="center"/>
              <w:rPr>
                <w:rFonts w:ascii="宋体" w:hAnsi="宋体" w:eastAsia="宋体" w:cs="仿宋_GB2312"/>
                <w:sz w:val="18"/>
                <w:szCs w:val="18"/>
              </w:rPr>
            </w:pPr>
          </w:p>
        </w:tc>
        <w:tc>
          <w:tcPr>
            <w:tcW w:w="1480" w:type="dxa"/>
            <w:vMerge w:val="continue"/>
            <w:vAlign w:val="center"/>
          </w:tcPr>
          <w:p>
            <w:pPr>
              <w:widowControl w:val="0"/>
              <w:autoSpaceDE w:val="0"/>
              <w:autoSpaceDN w:val="0"/>
              <w:snapToGrid/>
              <w:jc w:val="center"/>
              <w:rPr>
                <w:rFonts w:ascii="宋体" w:hAnsi="宋体" w:eastAsia="宋体" w:cs="仿宋_GB2312"/>
                <w:sz w:val="18"/>
                <w:szCs w:val="18"/>
              </w:rPr>
            </w:pPr>
          </w:p>
        </w:tc>
        <w:tc>
          <w:tcPr>
            <w:tcW w:w="2117" w:type="dxa"/>
            <w:vMerge w:val="continue"/>
            <w:vAlign w:val="center"/>
          </w:tcPr>
          <w:p>
            <w:pPr>
              <w:widowControl w:val="0"/>
              <w:autoSpaceDE w:val="0"/>
              <w:autoSpaceDN w:val="0"/>
              <w:snapToGrid/>
              <w:jc w:val="center"/>
              <w:rPr>
                <w:rFonts w:ascii="宋体" w:hAnsi="宋体" w:eastAsia="宋体" w:cs="仿宋_GB2312"/>
                <w:sz w:val="18"/>
                <w:szCs w:val="18"/>
              </w:rPr>
            </w:pPr>
          </w:p>
        </w:tc>
        <w:tc>
          <w:tcPr>
            <w:tcW w:w="1107" w:type="dxa"/>
            <w:vMerge w:val="continue"/>
            <w:vAlign w:val="center"/>
          </w:tcPr>
          <w:p>
            <w:pPr>
              <w:widowControl w:val="0"/>
              <w:autoSpaceDE w:val="0"/>
              <w:autoSpaceDN w:val="0"/>
              <w:snapToGrid/>
              <w:jc w:val="center"/>
              <w:rPr>
                <w:rFonts w:ascii="宋体" w:hAnsi="宋体" w:eastAsia="宋体" w:cs="仿宋_GB2312"/>
                <w:sz w:val="18"/>
                <w:szCs w:val="18"/>
              </w:rPr>
            </w:pPr>
          </w:p>
        </w:tc>
      </w:tr>
    </w:tbl>
    <w:p>
      <w:pPr>
        <w:widowControl w:val="0"/>
        <w:autoSpaceDE w:val="0"/>
        <w:autoSpaceDN w:val="0"/>
        <w:snapToGrid/>
        <w:spacing w:after="0" w:line="500" w:lineRule="exact"/>
        <w:rPr>
          <w:rFonts w:ascii="仿宋_GB2312" w:hAnsi="Calibri" w:eastAsia="仿宋_GB2312" w:cs="仿宋_GB2312"/>
          <w:sz w:val="32"/>
          <w:szCs w:val="32"/>
        </w:rPr>
      </w:pPr>
    </w:p>
    <w:p>
      <w:pPr>
        <w:spacing w:line="600" w:lineRule="exact"/>
        <w:rPr>
          <w:rFonts w:ascii="仿宋_GB2312" w:hAnsi="方正小标宋简体" w:eastAsia="仿宋_GB2312" w:cs="方正小标宋简体"/>
          <w:kern w:val="2"/>
          <w:sz w:val="32"/>
          <w:szCs w:val="32"/>
        </w:rPr>
      </w:pPr>
    </w:p>
    <w:sectPr>
      <w:footerReference r:id="rId3" w:type="default"/>
      <w:pgSz w:w="16838" w:h="11906" w:orient="landscape"/>
      <w:pgMar w:top="1474" w:right="1871" w:bottom="1587" w:left="1871" w:header="851" w:footer="1417"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FZXBSJW--GB1-0">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pPr>
    <w:r>
      <w:rPr>
        <w:rFonts w:ascii="Tahoma" w:hAnsi="Tahoma" w:eastAsia="微软雅黑"/>
        <w:sz w:val="18"/>
        <w:szCs w:val="18"/>
        <w:lang w:val="en-US" w:eastAsia="zh-CN" w:bidi="ar-SA"/>
      </w:rPr>
      <w:pict>
        <v:shape id="_x0000_s2049" o:spid="_x0000_s2049" o:spt="202" type="#_x0000_t202" style="position:absolute;left:0pt;margin-top:0pt;height:144pt;width:144pt;mso-position-horizontal:outside;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6"/>
                  <w:rPr>
                    <w:rFonts w:ascii="宋体"/>
                    <w:sz w:val="28"/>
                  </w:rPr>
                </w:pPr>
                <w:r>
                  <w:rPr>
                    <w:rFonts w:ascii="宋体" w:hAnsi="宋体"/>
                    <w:color w:val="FFFFFF"/>
                    <w:sz w:val="28"/>
                  </w:rPr>
                  <w:t>—</w:t>
                </w:r>
                <w:r>
                  <w:rPr>
                    <w:rFonts w:ascii="宋体" w:hAnsi="宋体"/>
                    <w:sz w:val="28"/>
                  </w:rPr>
                  <w:t xml:space="preserve">— </w:t>
                </w:r>
                <w:r>
                  <w:rPr>
                    <w:rFonts w:ascii="宋体" w:hAnsi="宋体"/>
                    <w:sz w:val="28"/>
                  </w:rPr>
                  <w:fldChar w:fldCharType="begin"/>
                </w:r>
                <w:r>
                  <w:rPr>
                    <w:rFonts w:ascii="宋体" w:hAnsi="宋体"/>
                    <w:sz w:val="28"/>
                  </w:rPr>
                  <w:instrText xml:space="preserve">PAGE  </w:instrText>
                </w:r>
                <w:r>
                  <w:rPr>
                    <w:rFonts w:ascii="宋体" w:hAnsi="宋体"/>
                    <w:sz w:val="28"/>
                  </w:rPr>
                  <w:fldChar w:fldCharType="separate"/>
                </w:r>
                <w:r>
                  <w:rPr>
                    <w:rFonts w:ascii="宋体" w:hAnsi="宋体"/>
                    <w:sz w:val="28"/>
                  </w:rPr>
                  <w:t>1</w:t>
                </w:r>
                <w:r>
                  <w:rPr>
                    <w:rFonts w:ascii="宋体" w:hAnsi="宋体"/>
                    <w:sz w:val="28"/>
                  </w:rPr>
                  <w:fldChar w:fldCharType="end"/>
                </w:r>
                <w:r>
                  <w:rPr>
                    <w:rFonts w:ascii="宋体" w:hAnsi="宋体"/>
                    <w:sz w:val="28"/>
                  </w:rPr>
                  <w:t xml:space="preserve"> —</w:t>
                </w:r>
                <w:r>
                  <w:rPr>
                    <w:rFonts w:ascii="宋体" w:hAnsi="宋体"/>
                    <w:color w:val="FFFFFF"/>
                    <w:sz w:val="28"/>
                  </w:rPr>
                  <w:t>—</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displayVerticalDrawingGridEvery w:val="1"/>
  <w:characterSpacingControl w:val="doNotCompress"/>
  <w:hdrShapeDefaults>
    <o:shapelayout v:ext="edit">
      <o:idmap v:ext="edit" data="2"/>
    </o:shapelayout>
  </w:hdrShapeDefaults>
  <w:compat>
    <w:spaceForUL/>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589A50C3"/>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imes New Roman"/>
      <w:sz w:val="22"/>
      <w:szCs w:val="22"/>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
    <w:qFormat/>
    <w:uiPriority w:val="9"/>
    <w:pPr>
      <w:adjustRightInd/>
      <w:snapToGrid/>
      <w:spacing w:before="100" w:beforeAutospacing="1" w:after="100" w:afterAutospacing="1"/>
      <w:outlineLvl w:val="1"/>
    </w:pPr>
    <w:rPr>
      <w:rFonts w:ascii="宋体" w:hAnsi="宋体" w:eastAsia="宋体" w:cs="宋体"/>
      <w:b/>
      <w:bCs/>
      <w:sz w:val="36"/>
      <w:szCs w:val="36"/>
    </w:rPr>
  </w:style>
  <w:style w:type="paragraph" w:styleId="4">
    <w:name w:val="heading 3"/>
    <w:basedOn w:val="1"/>
    <w:next w:val="1"/>
    <w:link w:val="17"/>
    <w:unhideWhenUsed/>
    <w:qFormat/>
    <w:uiPriority w:val="9"/>
    <w:pPr>
      <w:keepNext/>
      <w:keepLines/>
      <w:spacing w:before="260" w:after="260" w:line="416" w:lineRule="auto"/>
      <w:outlineLvl w:val="2"/>
    </w:pPr>
    <w:rPr>
      <w:b/>
      <w:bCs/>
      <w:sz w:val="32"/>
      <w:szCs w:val="32"/>
    </w:rPr>
  </w:style>
  <w:style w:type="character" w:default="1" w:styleId="9">
    <w:name w:val="Default Paragraph Font"/>
    <w:unhideWhenUsed/>
    <w:qFormat/>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5">
    <w:name w:val="Balloon Text"/>
    <w:basedOn w:val="1"/>
    <w:link w:val="20"/>
    <w:unhideWhenUsed/>
    <w:uiPriority w:val="99"/>
    <w:pPr>
      <w:spacing w:after="0"/>
    </w:pPr>
    <w:rPr>
      <w:sz w:val="18"/>
      <w:szCs w:val="18"/>
    </w:rPr>
  </w:style>
  <w:style w:type="paragraph" w:styleId="6">
    <w:name w:val="footer"/>
    <w:basedOn w:val="1"/>
    <w:link w:val="22"/>
    <w:unhideWhenUsed/>
    <w:qFormat/>
    <w:uiPriority w:val="0"/>
    <w:pPr>
      <w:tabs>
        <w:tab w:val="center" w:pos="4153"/>
        <w:tab w:val="right" w:pos="8306"/>
      </w:tabs>
    </w:pPr>
    <w:rPr>
      <w:sz w:val="18"/>
      <w:szCs w:val="18"/>
    </w:rPr>
  </w:style>
  <w:style w:type="paragraph" w:styleId="7">
    <w:name w:val="header"/>
    <w:basedOn w:val="1"/>
    <w:link w:val="21"/>
    <w:unhideWhenUsed/>
    <w:qFormat/>
    <w:uiPriority w:val="99"/>
    <w:pPr>
      <w:pBdr>
        <w:bottom w:val="single" w:color="auto" w:sz="6" w:space="1"/>
      </w:pBdr>
      <w:tabs>
        <w:tab w:val="center" w:pos="4153"/>
        <w:tab w:val="right" w:pos="8306"/>
      </w:tabs>
      <w:jc w:val="center"/>
    </w:pPr>
    <w:rPr>
      <w:sz w:val="18"/>
      <w:szCs w:val="18"/>
    </w:rPr>
  </w:style>
  <w:style w:type="paragraph" w:styleId="8">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10">
    <w:name w:val="Strong"/>
    <w:basedOn w:val="9"/>
    <w:qFormat/>
    <w:uiPriority w:val="22"/>
    <w:rPr>
      <w:b/>
      <w:bCs/>
    </w:rPr>
  </w:style>
  <w:style w:type="character" w:styleId="11">
    <w:name w:val="Hyperlink"/>
    <w:basedOn w:val="9"/>
    <w:unhideWhenUsed/>
    <w:uiPriority w:val="99"/>
    <w:rPr>
      <w:color w:val="0000FF"/>
      <w:u w:val="single"/>
    </w:rPr>
  </w:style>
  <w:style w:type="paragraph" w:customStyle="1" w:styleId="13">
    <w:name w:val="summary"/>
    <w:basedOn w:val="1"/>
    <w:uiPriority w:val="0"/>
    <w:pPr>
      <w:adjustRightInd/>
      <w:snapToGrid/>
      <w:spacing w:before="100" w:beforeAutospacing="1" w:after="100" w:afterAutospacing="1"/>
    </w:pPr>
    <w:rPr>
      <w:rFonts w:ascii="宋体" w:hAnsi="宋体" w:eastAsia="宋体" w:cs="宋体"/>
      <w:sz w:val="24"/>
      <w:szCs w:val="24"/>
    </w:rPr>
  </w:style>
  <w:style w:type="paragraph" w:customStyle="1" w:styleId="14">
    <w:name w:val="List Paragraph"/>
    <w:basedOn w:val="1"/>
    <w:qFormat/>
    <w:uiPriority w:val="34"/>
    <w:pPr>
      <w:ind w:firstLine="420" w:firstLineChars="200"/>
    </w:pPr>
  </w:style>
  <w:style w:type="character" w:customStyle="1" w:styleId="15">
    <w:name w:val="标题 2 Char Char"/>
    <w:basedOn w:val="9"/>
    <w:link w:val="3"/>
    <w:qFormat/>
    <w:uiPriority w:val="9"/>
    <w:rPr>
      <w:rFonts w:ascii="宋体" w:hAnsi="宋体" w:eastAsia="宋体" w:cs="宋体"/>
      <w:b/>
      <w:bCs/>
      <w:sz w:val="36"/>
      <w:szCs w:val="36"/>
    </w:rPr>
  </w:style>
  <w:style w:type="character" w:customStyle="1" w:styleId="16">
    <w:name w:val="grey"/>
    <w:basedOn w:val="9"/>
    <w:uiPriority w:val="0"/>
  </w:style>
  <w:style w:type="character" w:customStyle="1" w:styleId="17">
    <w:name w:val="标题 3 Char Char"/>
    <w:basedOn w:val="9"/>
    <w:link w:val="4"/>
    <w:qFormat/>
    <w:uiPriority w:val="9"/>
    <w:rPr>
      <w:rFonts w:ascii="Tahoma" w:hAnsi="Tahoma"/>
      <w:b/>
      <w:bCs/>
      <w:sz w:val="32"/>
      <w:szCs w:val="32"/>
    </w:rPr>
  </w:style>
  <w:style w:type="character" w:customStyle="1" w:styleId="18">
    <w:name w:val="p_r201"/>
    <w:basedOn w:val="9"/>
    <w:uiPriority w:val="0"/>
  </w:style>
  <w:style w:type="character" w:customStyle="1" w:styleId="19">
    <w:name w:val="标题 1 Char Char"/>
    <w:basedOn w:val="9"/>
    <w:link w:val="2"/>
    <w:uiPriority w:val="9"/>
    <w:rPr>
      <w:rFonts w:ascii="Tahoma" w:hAnsi="Tahoma"/>
      <w:b/>
      <w:bCs/>
      <w:kern w:val="44"/>
      <w:sz w:val="44"/>
      <w:szCs w:val="44"/>
    </w:rPr>
  </w:style>
  <w:style w:type="character" w:customStyle="1" w:styleId="20">
    <w:name w:val="批注框文本 Char Char"/>
    <w:basedOn w:val="9"/>
    <w:link w:val="5"/>
    <w:qFormat/>
    <w:uiPriority w:val="99"/>
    <w:rPr>
      <w:rFonts w:ascii="Tahoma" w:hAnsi="Tahoma"/>
      <w:sz w:val="18"/>
      <w:szCs w:val="18"/>
    </w:rPr>
  </w:style>
  <w:style w:type="character" w:customStyle="1" w:styleId="21">
    <w:name w:val="页眉 Char Char"/>
    <w:basedOn w:val="9"/>
    <w:link w:val="7"/>
    <w:qFormat/>
    <w:uiPriority w:val="99"/>
    <w:rPr>
      <w:rFonts w:ascii="Tahoma" w:hAnsi="Tahoma"/>
      <w:sz w:val="18"/>
      <w:szCs w:val="18"/>
    </w:rPr>
  </w:style>
  <w:style w:type="character" w:customStyle="1" w:styleId="22">
    <w:name w:val="页脚 Char Char"/>
    <w:basedOn w:val="9"/>
    <w:link w:val="6"/>
    <w:qFormat/>
    <w:uiPriority w:val="0"/>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233</Words>
  <Characters>1331</Characters>
  <Lines>11</Lines>
  <Paragraphs>3</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2019-12-01T09:15:00Z</cp:lastPrinted>
  <dcterms:modified xsi:type="dcterms:W3CDTF">2024-02-01T01:03:57Z</dcterms:modified>
  <dc:title>重大行政执法决定法制审核目录清单</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