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989" w:type="dxa"/>
        <w:tblInd w:w="-106" w:type="dxa"/>
        <w:tblLayout w:type="fixed"/>
        <w:tblCellMar>
          <w:top w:w="0" w:type="dxa"/>
          <w:left w:w="15" w:type="dxa"/>
          <w:bottom w:w="0" w:type="dxa"/>
          <w:right w:w="15" w:type="dxa"/>
        </w:tblCellMar>
      </w:tblPr>
      <w:tblGrid>
        <w:gridCol w:w="924"/>
        <w:gridCol w:w="1287"/>
        <w:gridCol w:w="139"/>
        <w:gridCol w:w="870"/>
        <w:gridCol w:w="343"/>
        <w:gridCol w:w="716"/>
        <w:gridCol w:w="1058"/>
        <w:gridCol w:w="1015"/>
        <w:gridCol w:w="1077"/>
        <w:gridCol w:w="1035"/>
        <w:gridCol w:w="1151"/>
        <w:gridCol w:w="1037"/>
        <w:gridCol w:w="1124"/>
        <w:gridCol w:w="1141"/>
        <w:gridCol w:w="1072"/>
      </w:tblGrid>
      <w:tr w14:paraId="7E613158">
        <w:tblPrEx>
          <w:tblCellMar>
            <w:top w:w="0" w:type="dxa"/>
            <w:left w:w="15" w:type="dxa"/>
            <w:bottom w:w="0" w:type="dxa"/>
            <w:right w:w="15" w:type="dxa"/>
          </w:tblCellMar>
        </w:tblPrEx>
        <w:trPr>
          <w:trHeight w:val="753" w:hRule="atLeast"/>
        </w:trPr>
        <w:tc>
          <w:tcPr>
            <w:tcW w:w="924" w:type="dxa"/>
            <w:vAlign w:val="center"/>
          </w:tcPr>
          <w:p w14:paraId="2924B31E">
            <w:pPr>
              <w:autoSpaceDN w:val="0"/>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附件4</w:t>
            </w:r>
          </w:p>
        </w:tc>
        <w:tc>
          <w:tcPr>
            <w:tcW w:w="1287" w:type="dxa"/>
            <w:vAlign w:val="center"/>
          </w:tcPr>
          <w:p w14:paraId="18D4E618">
            <w:pPr>
              <w:autoSpaceDN w:val="0"/>
              <w:jc w:val="left"/>
              <w:textAlignment w:val="center"/>
              <w:rPr>
                <w:rFonts w:hint="eastAsia" w:ascii="仿宋_GB2312" w:hAnsi="仿宋_GB2312" w:eastAsia="仿宋_GB2312" w:cs="仿宋_GB2312"/>
                <w:color w:val="000000"/>
                <w:sz w:val="32"/>
                <w:szCs w:val="32"/>
              </w:rPr>
            </w:pPr>
          </w:p>
        </w:tc>
        <w:tc>
          <w:tcPr>
            <w:tcW w:w="1009" w:type="dxa"/>
            <w:gridSpan w:val="2"/>
            <w:vAlign w:val="center"/>
          </w:tcPr>
          <w:p w14:paraId="52D50EE2">
            <w:pPr>
              <w:autoSpaceDN w:val="0"/>
              <w:jc w:val="left"/>
              <w:textAlignment w:val="center"/>
              <w:rPr>
                <w:rFonts w:ascii="宋体" w:hAnsi="宋体"/>
                <w:color w:val="000000"/>
                <w:sz w:val="24"/>
              </w:rPr>
            </w:pPr>
          </w:p>
        </w:tc>
        <w:tc>
          <w:tcPr>
            <w:tcW w:w="1059" w:type="dxa"/>
            <w:gridSpan w:val="2"/>
            <w:vAlign w:val="center"/>
          </w:tcPr>
          <w:p w14:paraId="596284DD">
            <w:pPr>
              <w:autoSpaceDN w:val="0"/>
              <w:jc w:val="left"/>
              <w:textAlignment w:val="center"/>
              <w:rPr>
                <w:rFonts w:ascii="宋体" w:hAnsi="宋体"/>
                <w:color w:val="000000"/>
                <w:sz w:val="24"/>
              </w:rPr>
            </w:pPr>
          </w:p>
        </w:tc>
        <w:tc>
          <w:tcPr>
            <w:tcW w:w="1058" w:type="dxa"/>
            <w:vAlign w:val="center"/>
          </w:tcPr>
          <w:p w14:paraId="67C713C3">
            <w:pPr>
              <w:autoSpaceDN w:val="0"/>
              <w:jc w:val="left"/>
              <w:textAlignment w:val="center"/>
              <w:rPr>
                <w:rFonts w:ascii="宋体" w:hAnsi="宋体"/>
                <w:color w:val="000000"/>
                <w:sz w:val="24"/>
              </w:rPr>
            </w:pPr>
          </w:p>
        </w:tc>
        <w:tc>
          <w:tcPr>
            <w:tcW w:w="1015" w:type="dxa"/>
            <w:vAlign w:val="center"/>
          </w:tcPr>
          <w:p w14:paraId="52CD0E61">
            <w:pPr>
              <w:autoSpaceDN w:val="0"/>
              <w:jc w:val="left"/>
              <w:textAlignment w:val="center"/>
              <w:rPr>
                <w:rFonts w:ascii="宋体" w:hAnsi="宋体"/>
                <w:color w:val="000000"/>
                <w:sz w:val="24"/>
              </w:rPr>
            </w:pPr>
          </w:p>
        </w:tc>
        <w:tc>
          <w:tcPr>
            <w:tcW w:w="1077" w:type="dxa"/>
            <w:vAlign w:val="center"/>
          </w:tcPr>
          <w:p w14:paraId="40113DB7">
            <w:pPr>
              <w:autoSpaceDN w:val="0"/>
              <w:jc w:val="left"/>
              <w:textAlignment w:val="center"/>
              <w:rPr>
                <w:rFonts w:ascii="宋体" w:hAnsi="宋体"/>
                <w:color w:val="000000"/>
                <w:sz w:val="24"/>
              </w:rPr>
            </w:pPr>
          </w:p>
        </w:tc>
        <w:tc>
          <w:tcPr>
            <w:tcW w:w="1035" w:type="dxa"/>
            <w:vAlign w:val="center"/>
          </w:tcPr>
          <w:p w14:paraId="4727E152">
            <w:pPr>
              <w:autoSpaceDN w:val="0"/>
              <w:jc w:val="left"/>
              <w:textAlignment w:val="center"/>
              <w:rPr>
                <w:rFonts w:ascii="宋体" w:hAnsi="宋体"/>
                <w:color w:val="000000"/>
                <w:sz w:val="24"/>
              </w:rPr>
            </w:pPr>
          </w:p>
        </w:tc>
        <w:tc>
          <w:tcPr>
            <w:tcW w:w="1151" w:type="dxa"/>
            <w:vAlign w:val="center"/>
          </w:tcPr>
          <w:p w14:paraId="16DC944F">
            <w:pPr>
              <w:autoSpaceDN w:val="0"/>
              <w:jc w:val="left"/>
              <w:textAlignment w:val="center"/>
              <w:rPr>
                <w:rFonts w:ascii="宋体" w:hAnsi="宋体"/>
                <w:color w:val="000000"/>
                <w:sz w:val="24"/>
              </w:rPr>
            </w:pPr>
          </w:p>
        </w:tc>
        <w:tc>
          <w:tcPr>
            <w:tcW w:w="1037" w:type="dxa"/>
            <w:vAlign w:val="center"/>
          </w:tcPr>
          <w:p w14:paraId="30A93E0C">
            <w:pPr>
              <w:autoSpaceDN w:val="0"/>
              <w:jc w:val="left"/>
              <w:textAlignment w:val="center"/>
              <w:rPr>
                <w:rFonts w:ascii="宋体" w:hAnsi="宋体"/>
                <w:color w:val="000000"/>
                <w:sz w:val="24"/>
              </w:rPr>
            </w:pPr>
          </w:p>
        </w:tc>
        <w:tc>
          <w:tcPr>
            <w:tcW w:w="1124" w:type="dxa"/>
            <w:vAlign w:val="center"/>
          </w:tcPr>
          <w:p w14:paraId="5D798A94">
            <w:pPr>
              <w:autoSpaceDN w:val="0"/>
              <w:jc w:val="left"/>
              <w:textAlignment w:val="center"/>
              <w:rPr>
                <w:rFonts w:ascii="宋体" w:hAnsi="宋体"/>
                <w:color w:val="000000"/>
                <w:sz w:val="24"/>
              </w:rPr>
            </w:pPr>
          </w:p>
        </w:tc>
        <w:tc>
          <w:tcPr>
            <w:tcW w:w="1141" w:type="dxa"/>
            <w:vAlign w:val="center"/>
          </w:tcPr>
          <w:p w14:paraId="2EAF6BFA">
            <w:pPr>
              <w:autoSpaceDN w:val="0"/>
              <w:jc w:val="left"/>
              <w:textAlignment w:val="center"/>
              <w:rPr>
                <w:rFonts w:ascii="宋体" w:hAnsi="宋体"/>
                <w:color w:val="000000"/>
                <w:sz w:val="24"/>
              </w:rPr>
            </w:pPr>
          </w:p>
        </w:tc>
        <w:tc>
          <w:tcPr>
            <w:tcW w:w="1072" w:type="dxa"/>
            <w:vAlign w:val="center"/>
          </w:tcPr>
          <w:p w14:paraId="333C243D">
            <w:pPr>
              <w:autoSpaceDN w:val="0"/>
              <w:jc w:val="left"/>
              <w:textAlignment w:val="center"/>
              <w:rPr>
                <w:rFonts w:ascii="宋体" w:hAnsi="宋体"/>
                <w:color w:val="000000"/>
                <w:sz w:val="24"/>
              </w:rPr>
            </w:pPr>
          </w:p>
        </w:tc>
      </w:tr>
      <w:tr w14:paraId="6C722B71">
        <w:tblPrEx>
          <w:tblCellMar>
            <w:top w:w="0" w:type="dxa"/>
            <w:left w:w="15" w:type="dxa"/>
            <w:bottom w:w="0" w:type="dxa"/>
            <w:right w:w="15" w:type="dxa"/>
          </w:tblCellMar>
        </w:tblPrEx>
        <w:trPr>
          <w:trHeight w:val="1501" w:hRule="atLeast"/>
        </w:trPr>
        <w:tc>
          <w:tcPr>
            <w:tcW w:w="13989" w:type="dxa"/>
            <w:gridSpan w:val="15"/>
            <w:vAlign w:val="center"/>
          </w:tcPr>
          <w:p w14:paraId="3072872E">
            <w:pPr>
              <w:autoSpaceDN w:val="0"/>
              <w:jc w:val="center"/>
              <w:textAlignment w:val="center"/>
              <w:rPr>
                <w:rFonts w:ascii="宋体" w:hAnsi="宋体"/>
                <w:b/>
                <w:color w:val="000000"/>
                <w:sz w:val="48"/>
              </w:rPr>
            </w:pPr>
            <w:r>
              <w:rPr>
                <w:rFonts w:hint="eastAsia" w:ascii="宋体" w:hAnsi="宋体"/>
                <w:b/>
                <w:color w:val="000000"/>
                <w:sz w:val="48"/>
                <w:lang w:eastAsia="zh-CN"/>
              </w:rPr>
              <w:t>运城市卫健委</w:t>
            </w:r>
            <w:r>
              <w:rPr>
                <w:rFonts w:ascii="宋体" w:hAnsi="宋体"/>
                <w:b/>
                <w:color w:val="000000"/>
                <w:sz w:val="48"/>
              </w:rPr>
              <w:t>行政执法音像记录事项清单</w:t>
            </w:r>
          </w:p>
        </w:tc>
      </w:tr>
      <w:tr w14:paraId="62FD5B93">
        <w:tblPrEx>
          <w:tblCellMar>
            <w:top w:w="0" w:type="dxa"/>
            <w:left w:w="15" w:type="dxa"/>
            <w:bottom w:w="0" w:type="dxa"/>
            <w:right w:w="15" w:type="dxa"/>
          </w:tblCellMar>
        </w:tblPrEx>
        <w:trPr>
          <w:trHeight w:val="1089" w:hRule="atLeast"/>
        </w:trPr>
        <w:tc>
          <w:tcPr>
            <w:tcW w:w="924" w:type="dxa"/>
            <w:tcBorders>
              <w:top w:val="single" w:color="000000" w:sz="4" w:space="0"/>
              <w:left w:val="single" w:color="000000" w:sz="4" w:space="0"/>
              <w:bottom w:val="single" w:color="000000" w:sz="4" w:space="0"/>
              <w:right w:val="single" w:color="000000" w:sz="4" w:space="0"/>
            </w:tcBorders>
            <w:vAlign w:val="center"/>
          </w:tcPr>
          <w:p w14:paraId="3EF299E8">
            <w:pPr>
              <w:autoSpaceDN w:val="0"/>
              <w:jc w:val="center"/>
              <w:textAlignment w:val="center"/>
              <w:rPr>
                <w:rFonts w:ascii="宋体" w:hAnsi="宋体"/>
                <w:b/>
                <w:color w:val="000000"/>
                <w:sz w:val="24"/>
              </w:rPr>
            </w:pPr>
            <w:r>
              <w:rPr>
                <w:rFonts w:ascii="宋体" w:hAnsi="宋体"/>
                <w:b/>
                <w:color w:val="000000"/>
                <w:sz w:val="24"/>
              </w:rPr>
              <w:t>序号</w:t>
            </w:r>
          </w:p>
        </w:tc>
        <w:tc>
          <w:tcPr>
            <w:tcW w:w="1426" w:type="dxa"/>
            <w:gridSpan w:val="2"/>
            <w:tcBorders>
              <w:top w:val="single" w:color="000000" w:sz="4" w:space="0"/>
              <w:left w:val="single" w:color="000000" w:sz="4" w:space="0"/>
              <w:bottom w:val="single" w:color="000000" w:sz="4" w:space="0"/>
              <w:right w:val="single" w:color="000000" w:sz="4" w:space="0"/>
            </w:tcBorders>
            <w:vAlign w:val="center"/>
          </w:tcPr>
          <w:p w14:paraId="0208D987">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304B2351">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事项</w:t>
            </w:r>
          </w:p>
        </w:tc>
        <w:tc>
          <w:tcPr>
            <w:tcW w:w="716" w:type="dxa"/>
            <w:tcBorders>
              <w:top w:val="single" w:color="000000" w:sz="4" w:space="0"/>
              <w:left w:val="single" w:color="000000" w:sz="4" w:space="0"/>
              <w:bottom w:val="single" w:color="000000" w:sz="4" w:space="0"/>
              <w:right w:val="single" w:color="000000" w:sz="4" w:space="0"/>
            </w:tcBorders>
            <w:vAlign w:val="center"/>
          </w:tcPr>
          <w:p w14:paraId="2C860E3E">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事项</w:t>
            </w:r>
          </w:p>
        </w:tc>
        <w:tc>
          <w:tcPr>
            <w:tcW w:w="1058" w:type="dxa"/>
            <w:tcBorders>
              <w:top w:val="single" w:color="000000" w:sz="4" w:space="0"/>
              <w:left w:val="single" w:color="000000" w:sz="4" w:space="0"/>
              <w:bottom w:val="single" w:color="000000" w:sz="4" w:space="0"/>
              <w:right w:val="single" w:color="000000" w:sz="4" w:space="0"/>
            </w:tcBorders>
            <w:vAlign w:val="center"/>
          </w:tcPr>
          <w:p w14:paraId="1FEB5569">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场合</w:t>
            </w:r>
          </w:p>
        </w:tc>
        <w:tc>
          <w:tcPr>
            <w:tcW w:w="1015" w:type="dxa"/>
            <w:tcBorders>
              <w:top w:val="single" w:color="000000" w:sz="4" w:space="0"/>
              <w:left w:val="single" w:color="000000" w:sz="4" w:space="0"/>
              <w:bottom w:val="single" w:color="000000" w:sz="4" w:space="0"/>
              <w:right w:val="single" w:color="000000" w:sz="4" w:space="0"/>
            </w:tcBorders>
            <w:vAlign w:val="center"/>
          </w:tcPr>
          <w:p w14:paraId="65644300">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时限</w:t>
            </w:r>
          </w:p>
        </w:tc>
        <w:tc>
          <w:tcPr>
            <w:tcW w:w="1077" w:type="dxa"/>
            <w:tcBorders>
              <w:top w:val="single" w:color="000000" w:sz="4" w:space="0"/>
              <w:left w:val="single" w:color="000000" w:sz="4" w:space="0"/>
              <w:bottom w:val="single" w:color="000000" w:sz="4" w:space="0"/>
              <w:right w:val="single" w:color="000000" w:sz="4" w:space="0"/>
            </w:tcBorders>
            <w:vAlign w:val="center"/>
          </w:tcPr>
          <w:p w14:paraId="208D2228">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部门</w:t>
            </w:r>
          </w:p>
        </w:tc>
        <w:tc>
          <w:tcPr>
            <w:tcW w:w="1035" w:type="dxa"/>
            <w:tcBorders>
              <w:top w:val="single" w:color="000000" w:sz="4" w:space="0"/>
              <w:left w:val="single" w:color="000000" w:sz="4" w:space="0"/>
              <w:bottom w:val="single" w:color="000000" w:sz="4" w:space="0"/>
              <w:right w:val="single" w:color="000000" w:sz="4" w:space="0"/>
            </w:tcBorders>
            <w:vAlign w:val="center"/>
          </w:tcPr>
          <w:p w14:paraId="65B30819">
            <w:pPr>
              <w:autoSpaceDN w:val="0"/>
              <w:jc w:val="center"/>
              <w:textAlignment w:val="center"/>
              <w:rPr>
                <w:rFonts w:ascii="宋体" w:hAnsi="宋体"/>
                <w:b/>
                <w:color w:val="000000"/>
                <w:sz w:val="24"/>
              </w:rPr>
            </w:pPr>
            <w:r>
              <w:rPr>
                <w:rFonts w:ascii="宋体" w:hAnsi="宋体"/>
                <w:b/>
                <w:color w:val="000000"/>
                <w:sz w:val="24"/>
              </w:rPr>
              <w:t>记录人</w:t>
            </w:r>
          </w:p>
        </w:tc>
        <w:tc>
          <w:tcPr>
            <w:tcW w:w="1151" w:type="dxa"/>
            <w:tcBorders>
              <w:top w:val="single" w:color="000000" w:sz="4" w:space="0"/>
              <w:left w:val="single" w:color="000000" w:sz="4" w:space="0"/>
              <w:bottom w:val="single" w:color="000000" w:sz="4" w:space="0"/>
              <w:right w:val="single" w:color="000000" w:sz="4" w:space="0"/>
            </w:tcBorders>
            <w:vAlign w:val="center"/>
          </w:tcPr>
          <w:p w14:paraId="546607EC">
            <w:pPr>
              <w:autoSpaceDN w:val="0"/>
              <w:jc w:val="center"/>
              <w:textAlignment w:val="center"/>
              <w:rPr>
                <w:rFonts w:ascii="宋体" w:hAnsi="宋体"/>
                <w:b/>
                <w:color w:val="000000"/>
                <w:sz w:val="24"/>
              </w:rPr>
            </w:pPr>
            <w:r>
              <w:rPr>
                <w:rFonts w:ascii="宋体" w:hAnsi="宋体"/>
                <w:b/>
                <w:color w:val="000000"/>
                <w:sz w:val="24"/>
              </w:rPr>
              <w:t>开始记录时间</w:t>
            </w:r>
          </w:p>
        </w:tc>
        <w:tc>
          <w:tcPr>
            <w:tcW w:w="1037" w:type="dxa"/>
            <w:tcBorders>
              <w:top w:val="single" w:color="000000" w:sz="4" w:space="0"/>
              <w:left w:val="single" w:color="000000" w:sz="4" w:space="0"/>
              <w:bottom w:val="single" w:color="000000" w:sz="4" w:space="0"/>
              <w:right w:val="single" w:color="000000" w:sz="4" w:space="0"/>
            </w:tcBorders>
            <w:vAlign w:val="center"/>
          </w:tcPr>
          <w:p w14:paraId="554AD03A">
            <w:pPr>
              <w:autoSpaceDN w:val="0"/>
              <w:jc w:val="center"/>
              <w:textAlignment w:val="center"/>
              <w:rPr>
                <w:rFonts w:ascii="宋体" w:hAnsi="宋体"/>
                <w:b/>
                <w:color w:val="000000"/>
                <w:sz w:val="24"/>
              </w:rPr>
            </w:pPr>
            <w:r>
              <w:rPr>
                <w:rFonts w:ascii="宋体" w:hAnsi="宋体"/>
                <w:b/>
                <w:color w:val="000000"/>
                <w:sz w:val="24"/>
              </w:rPr>
              <w:t>记录过程</w:t>
            </w:r>
          </w:p>
        </w:tc>
        <w:tc>
          <w:tcPr>
            <w:tcW w:w="1124" w:type="dxa"/>
            <w:tcBorders>
              <w:top w:val="single" w:color="000000" w:sz="4" w:space="0"/>
              <w:left w:val="single" w:color="000000" w:sz="4" w:space="0"/>
              <w:bottom w:val="single" w:color="000000" w:sz="4" w:space="0"/>
              <w:right w:val="single" w:color="000000" w:sz="4" w:space="0"/>
            </w:tcBorders>
            <w:vAlign w:val="center"/>
          </w:tcPr>
          <w:p w14:paraId="7ABCA5AA">
            <w:pPr>
              <w:autoSpaceDN w:val="0"/>
              <w:jc w:val="center"/>
              <w:textAlignment w:val="center"/>
              <w:rPr>
                <w:rFonts w:ascii="宋体" w:hAnsi="宋体"/>
                <w:b/>
                <w:color w:val="000000"/>
                <w:sz w:val="24"/>
              </w:rPr>
            </w:pPr>
            <w:r>
              <w:rPr>
                <w:rFonts w:ascii="宋体" w:hAnsi="宋体"/>
                <w:b/>
                <w:color w:val="000000"/>
                <w:sz w:val="24"/>
              </w:rPr>
              <w:t>结束记录时间</w:t>
            </w:r>
          </w:p>
        </w:tc>
        <w:tc>
          <w:tcPr>
            <w:tcW w:w="1141" w:type="dxa"/>
            <w:tcBorders>
              <w:top w:val="single" w:color="000000" w:sz="4" w:space="0"/>
              <w:left w:val="single" w:color="000000" w:sz="4" w:space="0"/>
              <w:bottom w:val="single" w:color="000000" w:sz="4" w:space="0"/>
              <w:right w:val="single" w:color="000000" w:sz="4" w:space="0"/>
            </w:tcBorders>
            <w:vAlign w:val="center"/>
          </w:tcPr>
          <w:p w14:paraId="474FAE4B">
            <w:pPr>
              <w:autoSpaceDN w:val="0"/>
              <w:jc w:val="center"/>
              <w:textAlignment w:val="center"/>
              <w:rPr>
                <w:rFonts w:ascii="宋体" w:hAnsi="宋体"/>
                <w:b/>
                <w:color w:val="000000"/>
                <w:sz w:val="24"/>
              </w:rPr>
            </w:pPr>
            <w:r>
              <w:rPr>
                <w:rFonts w:ascii="宋体" w:hAnsi="宋体"/>
                <w:b/>
                <w:color w:val="000000"/>
                <w:sz w:val="24"/>
              </w:rPr>
              <w:t>执法记录类别</w:t>
            </w:r>
          </w:p>
        </w:tc>
        <w:tc>
          <w:tcPr>
            <w:tcW w:w="1072" w:type="dxa"/>
            <w:tcBorders>
              <w:top w:val="single" w:color="000000" w:sz="4" w:space="0"/>
              <w:left w:val="single" w:color="000000" w:sz="4" w:space="0"/>
              <w:bottom w:val="single" w:color="000000" w:sz="4" w:space="0"/>
              <w:right w:val="single" w:color="000000" w:sz="4" w:space="0"/>
            </w:tcBorders>
            <w:vAlign w:val="center"/>
          </w:tcPr>
          <w:p w14:paraId="7FBB236B">
            <w:pPr>
              <w:autoSpaceDN w:val="0"/>
              <w:jc w:val="center"/>
              <w:textAlignment w:val="center"/>
              <w:rPr>
                <w:rFonts w:ascii="宋体" w:hAnsi="宋体"/>
                <w:b/>
                <w:color w:val="000000"/>
                <w:sz w:val="24"/>
              </w:rPr>
            </w:pPr>
            <w:r>
              <w:rPr>
                <w:rFonts w:ascii="宋体" w:hAnsi="宋体"/>
                <w:b/>
                <w:color w:val="000000"/>
                <w:sz w:val="24"/>
              </w:rPr>
              <w:t>备注</w:t>
            </w:r>
          </w:p>
        </w:tc>
      </w:tr>
      <w:tr w14:paraId="6762D61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F7C4">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AF28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41FA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对疾病预防控制机构违反《传染病防治法》规定的处罚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8A7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F31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5FE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B3A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643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E2B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803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AA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B75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32B5">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8A015F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71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1FC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6085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对医疗机构违反《传染病防治法》规定的处罚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FD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FF0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8A4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912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8CB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D0D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C60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FED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51B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EAE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FCCD2A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F8D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60D1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A3004">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对采供血机构违反《传染病防治法》规定的处罚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6B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13A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45A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E04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61F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F38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E04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667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9AA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5CA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0F77F5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A4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BFB2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6486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饮用水供水单位、涉及饮用水卫生安全的产品生产单位、用于传染病防治的消毒产品生产单位、出售运输疫区中被传染病病原体污染或者可能被传染病病原体污染的物品的相关单位、生物制品生产单位生产的血液制品生产单位违反《传染病防治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83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69F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368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C9A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305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4D8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9D4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F16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1BE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759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B19F97F">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69A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561E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1D120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对疾病预防控制机构、医疗机构和从事病原微生物实验的相关单位违反《传染病防治法》规定的处罚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BC8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B0F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C51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B3A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C9E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689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BAF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0E4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702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57F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330747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B4A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8139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EF794">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对在国家确认的自然疫源地兴建水利、交通、旅游、能源等大型建设项目违反《传染病防治法》规定的处罚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6C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6A5D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419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D7E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DEA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E4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CD0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C6A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E0D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7A9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90007B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C37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FB12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F617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对从事高致病性病原微生物实验活动的相关单位违反《病原微生物实验室生物安全管理条例》规定的处罚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CC5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4AE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2A3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08F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32E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0AA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BF8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86A1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A0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FAAD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66EE4E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F94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5E87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D75BE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对从事病原微生物实验活动的相关单位在不符合相应生物安全要求的实验室从事病原微生物相关实验活动的处罚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C1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E4C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D64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DC8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F30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EF6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C86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1F5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F6D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69A3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14B020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A03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95D4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1D05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病原微生物实验活动的相关单位(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　(八)未依照规定制定实验室感染应急处置预案并备案的处罚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FDE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F8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B9B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425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FC1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651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F2B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80C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C48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FE5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F7CE0A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531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3FC5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C073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对从事高致病性病原微生物实验活动的相关单位未建立健全安全保卫制度，或者未采取安全保卫措施的处罚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A1A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B2B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2F7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103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D2C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C7B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DF8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1A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06B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245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64445A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4451">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2941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9D05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对运输或者承运高致病性病原微生物菌(毒)种或者样本的相关单位违反《病原微生物实验室生物安全管理条例》规定的处罚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23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54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7A8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543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3AC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3FD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068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03F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C84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0C5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CA4E1C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08C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C610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1B5EC">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对从事病原微生物实验活动的相关单位违反《病原微生物实验室生物安全管理条例》规定的处罚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0A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20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C39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524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7CF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A69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CF4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0A5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F892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C0BE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6C45F5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F8A">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C9F0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B8E0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对从事高致病性病原微生物实验活动的相关单位拒绝接受卫生主管部门、兽医主管部门依法开展有关高致病性病原微生物扩散的调查取证、采集样品等活动或者依照本条例规定采取有关预防、控制措施的处罚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E87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83A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13A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CE9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FDF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2B3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BA0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349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792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A3C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BA334D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B55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6357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9088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对从事病原微生物实验活动的相关单位、承运单位、护送人、保藏机构违反《病原微生物实验室生物安全管理条例》规定的处罚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67D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E0E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C88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12A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888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834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63C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21C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AAA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CB09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12F541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785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989FA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009B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对菌(毒)种和样本的保藏机构违反《病原微生物实验室生物安全管理条例》规定的处罚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DBA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19E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716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C77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D56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11B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008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2F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AA2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23B06">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AEF4DF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95D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3312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CB6B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对医疗机构违反《突发公共卫生事件应急条例》规定的处罚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661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521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0CC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00B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39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160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141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CAC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D92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AA7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366C56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F56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4D82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BBAD7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对疾病预防控制机构、乡级医疗卫生机构违反疫苗流通和预防接种管理有关规定的处罚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FA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4C0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451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8FB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EC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DDA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E54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DC7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A9C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80CC7">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803705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356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0EFA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C630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对预防接种单位违反疫苗流通和预防接种管理有关规定的处罚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AD5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8C7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B6F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87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9A8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7D6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55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903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861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8B5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04E3A9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C623">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27192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4644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对疾病预防控制机构、预防接种单位违反疫苗流通和预防接种管理有关规定的处罚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B36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291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2DF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28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350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96F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1E4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720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DA0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CFF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5EAD08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0B9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940D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667C4">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对疾病预防控制机构、接种单位、疫苗生产企业、接受委托配送疫苗的企业未在规定的冷藏条件下储存、运输疫苗的处罚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0E7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69C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511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F22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CC7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66E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09C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7A3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915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D7A6">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20C128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CC1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945D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FD1DB4">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对违反规定进行群体性预防接种的单位或个人违反疫苗流通和预防接种管理有关规定的处罚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B7F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3D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3DD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FCB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A25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CEA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717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FC3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0A7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E254">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4FAB6D7">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D5B1">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1684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B5D4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对医疗卫生机构违反《医疗废物管理条例》规定的处罚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274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67A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E94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F93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501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5C8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962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357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7C9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E495">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9A5253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CEC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24DF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E7B1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机构、医疗废物集中处置单位未对从事医疗废物收集、运送、贮存、处置等工作的人员和管理人员采取职业卫生防护措施的，（一）贮存设施或者设备不符合环境保护、卫生要求的；（二）未将医疗废物按照类别分置于专用包装物或者容器的；（三）未使用符合标准的运送工具运送医疗废物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AF2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A42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1BE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719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26F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870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187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18A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93A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465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8BED8E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71C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E9AB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A72E5">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机构（一）在医疗卫生机构内运送过程中丢弃医疗废物，在非贮存地点倾倒、堆放医疗废物或者将医疗废物混入其他废物和生活垃圾的；（二）未按照《条例》的规定对污水、传染病病人或者疑似传染病病人的排泄物，进行严格消毒的，或者未达到国家规定的排放标准，排入医疗卫生机构内的污水处理系统的；（三）对收治的传染病病人或者疑似传染病病人产生的生活垃圾，未按照医疗废物进行管理和处置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A18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FE8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C85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F6E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541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84E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512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033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395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4CD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D4C8DE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013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D009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9906D">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对医疗卫生机构发生医疗废物流失、泄露、扩散时，未采取紧急处理措施，或者未及时向卫生行政主管部门报告的处罚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E6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F95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1FA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794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D1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C61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5FB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40F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907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BAE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9B2D71F">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7C2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ED19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F81A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对医疗卫生机构、医疗废物集中处置单位违反《医疗废物管理条例》规定的处罚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3E0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9AC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629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791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497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E3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44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ACD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A68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3BE8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0D711F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EF8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FE68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60FF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对不具备集中处置医疗废物条件的农村的医疗卫生机构违反《医疗废物管理条例》规定的处罚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5BF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3E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64D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059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C04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BE7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824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215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D1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C4C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4BAEDA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9A71">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DA54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7665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对医疗卫生机构违反消毒管理办法有关规定的处罚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A61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945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AC1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1DD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A9A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9B9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CB0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5A7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7F9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CFE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B55F6BB">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79D1">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342A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A27D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对加工、出售、运输被传染病病原体污染和来自疫区可能被传染病病原体污染的皮毛、旧衣物衣生活用品的单位和个人违反《消毒管理办法》规定的处罚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992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EC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730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425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54F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2F4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E62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E42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B66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3882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0312E8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282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8053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BFC93">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对消毒产品生产经营单位违反消毒管理办法有关规定的处罚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BB6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5D1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111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B04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50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16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5B9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5E5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1AD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8018">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199E48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ED9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A248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D8A63">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对消毒服务机构违反消毒管理办法有关规定的处罚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926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707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568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960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955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007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96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68A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7CB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2CD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F14EC5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EB3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2442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C8F3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对医疗卫生机构违反《艾滋病防治条例》规定的处罚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62D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37F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BD0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6EE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C6F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CF8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6D0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054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7D6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784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3A97E7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CE6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E53D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A03A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对血站、单采血浆站《艾滋病防治条例》的处罚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41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6F4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372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302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93D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AB0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59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C3D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D2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030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8EBF35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351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D070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E246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对提供、使用未经出入境检验检疫机构检疫的进口人体血液、血浆、组织、器官、细胞、骨髓等的相关单位违反《艾滋病防治条例》规定的处罚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07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49A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F80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5DC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47B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4E2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0F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A8C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F1F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7B01">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A8885E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162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3208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24B88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对公共场所的经营者违反《艾滋病防治条例》规定的处罚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DEF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01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5EB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912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C0F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4F5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0E9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FF3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4DD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ACD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503B377">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01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0592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C78D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对执行职务的医疗卫生人员违反《突发公共卫生事件与传染病疫情监测信息报告管理办法》规定的处罚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6C6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C5B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DD6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417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49C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B9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FAB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4E1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0D6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DD9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B8909F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A924">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4EB4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AA68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对采集或者使用人体组织、器官、细胞、骨髓等的相关单位违反《艾滋病防治条例》规定的处罚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7F4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5AC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88F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45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9F4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0AC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BCD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BBE4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C9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DB678">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4CE580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EB1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2D4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A15B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对提供、使用未经出入境检验检疫机构检疫的进口人体血液、血浆、组织、器官、细胞、骨髓等的相关单位违反《艾滋病防治条例》规定的处罚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13A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FCC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8F3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AA5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56A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191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CD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60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F7B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311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33E271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267A">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CE91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15D0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对公共场所的经营者违反《艾滋病防治条例》规定的处罚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2F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F8F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31B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912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057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8BE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FC6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CBB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EE1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C2D5">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E1C1D1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A17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42B8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516B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对执行职务的医疗卫生人员违反《突发公共卫生事件与传染病疫情监测信息报告管理办法》规定的处罚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2E9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22A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B18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5A9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E1F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FA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EDC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CCD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CE3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A18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2094337">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0C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CB4E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E76C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对个体或私营医疗保健机构违反《突发公共卫生事件与传染病疫情监测信息报告管理办法》规定的处罚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61B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3F5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5E4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99E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98B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205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610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7E9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4B9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9D296">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78AD1D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E45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7B23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7049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对以不正当手段取得医师执业证书的处罚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A9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E77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0A4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AA3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7EF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48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6B6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001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8FB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D4E4">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01C63E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9BB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7C33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27D1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对医师违法行为的处罚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238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DDD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44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D13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365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9E9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677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A2F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F9D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AD16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85DEC7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118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1CAF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A83A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对未经批准擅自开办医疗机构行医或者非医师行医的处罚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BAE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E6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13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59F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20F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0F0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B5B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6D9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DC2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92AB1">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1571A5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0A4A">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FEDC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6354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对非法采集血液的、出售无偿献血的血液的、非法组织他人出卖血液的处罚。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C38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621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503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6A4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39D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8D3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C87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F52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E9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B2C7">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DA95D88">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79C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FF4F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1E55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对临床用血的包装、储运、运输，不符合国家规定的卫生标准和要求的处罚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880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02C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C6E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47D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6F7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47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1C4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53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0ED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4CC1">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5B058F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541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87BB8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8BE65">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对非法为他人施行计划生育手术的；利用超声技术和其他技术手段为他人进行非医学需要的胎儿性别鉴定或者选择性别的人工终止妊娠的；实施假节育手术、进行假医学鉴定、出具假计划生育证明的处罚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CB8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F5A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FB3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5AA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158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B06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30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DB0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854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EF0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6733B3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42ED">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BD76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EECA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对非法为他人施行计划生育手术的；利用超声技术和其他技术手段为他人进行非医学需要的胎儿性别鉴定或者选择性别的人工终止妊娠的；实施假节育手术、进行假医学鉴定、出具假计划生育证明的处罚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8F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C8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FBC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32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EF0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BBE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22C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4F3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F3E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033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CD7512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5F7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5289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50FB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对拒绝对送诊的疑似精神障碍患者作出诊断的；对依照规定实施住院治疗的患者未及时进行检查评估或者未根据评估结果作出处理的处罚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DFA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9B0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92E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2F4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C15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55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39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9DC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A4F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843D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D1DD049">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81C3">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8491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116D4">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对医疗机构及其工作人员违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BB2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9EA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5A4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312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01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29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4A1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87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AE0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D2F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8D1450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6CD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3646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F3C6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对从事心理咨询、心理治疗的医疗机构机构和人员的处罚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09A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13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8B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AD2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EEA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D5D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EFB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5E8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550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E3A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FED315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D74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98C8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B2B6C">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对未取得《单采血浆许可证》非法从事组织、采集、供应、倒卖原料血浆活动的的处罚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AF9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FDC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7C1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381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2E5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036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AB6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E91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D86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21D9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EB1E34F">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CB0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A655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0616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对单采血浆站违规采浆的处罚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ECB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421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9BC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5D3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2CF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B29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65D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052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917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69E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E96B7F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22B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E565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2428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对单采血浆站已知其采集的血浆检测结果呈阳性，仍向血液制品生产单位供应的的处罚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B36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AB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8CF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FD1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3A7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179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482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313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80C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08EB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095C2A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0CBD">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21BB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EFE6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对未取得《医疗机构执业许可证》擅自执业的的处罚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E60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99E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B26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783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C6F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1C2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4CB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82C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836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E11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31DB5C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430A">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0425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60B93">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对逾期不校验《医疗机构执业许可证》仍从事诊疗活动的的处罚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652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0AB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E87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CC9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683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5A2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B63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0ED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7AE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FC2B">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62AC56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B53">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AF25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7B82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对出卖、转让、出借《医疗机构执业许可证》的的处罚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2D2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23A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66B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4FB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D0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4DC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2E7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EDC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ED1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D65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9AA7C69">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E9D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FDA2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2CB43">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对医疗机构诊疗活动超出登记范围的的处罚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54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5E3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A50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626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E26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6C4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056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24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8A8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59B7">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3A146D8">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A8B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C96D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1109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对医疗机构使用非卫生技术人员从事医疗卫生技术工作的的处罚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0A7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EA3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05A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C0A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263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87A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14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1A3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79F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2C69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BEBF60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661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94D1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E843C">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对出具虚假证明文件的的处罚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63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635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658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0B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F1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786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22C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55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455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DE84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8A5E2BF">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B5A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D7EE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A8BD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对未经批准擅自开办中医医疗机构或者未按照规定通过执业医师或者执业助理医师资格考试取得执业许可，从事中医医疗活动的的处罚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FC1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D9B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23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F26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C4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452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BC4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5E5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B30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F96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A1F27FB">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193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3A43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11B2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对取得印鉴卡的医疗机构违反相关规定的处罚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D03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34E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D6C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A98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004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17F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EFA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C59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A55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86D0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BEA850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1EC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64AD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034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对未取得麻醉药品和第一类精神药品处方资格的执业医师擅自开具麻醉药品和第一类精神药品处方的处罚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E6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F99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58D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94C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8FB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00F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FF7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EF2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CDB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BF0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21D2088">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BFA">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BF92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7726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对买卖人体器官或者从事与买卖人体器官有关活动的处罚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DD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796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8C6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DDF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0FA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857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01A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3C0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F79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424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A27AAD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6DED">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AA69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B825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对医疗机构未办理人体器官移植诊疗科目登记擅自从事人体器官移植的以及从事人体器官移植的医务人员违反本条例规定泄露人体器官捐献人接受人或者申请人体器官移植手术患者个人资料的处罚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B94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D7F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43B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6E9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D61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EE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9D4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EF0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495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2A6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1E8F97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9B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E55F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983E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对医务人员摘取人体器官违</w:t>
            </w:r>
            <w:r>
              <w:rPr>
                <w:rFonts w:hint="eastAsia" w:ascii="仿宋_GB2312" w:hAnsi="仿宋_GB2312" w:eastAsia="仿宋_GB2312" w:cs="仿宋_GB2312"/>
                <w:sz w:val="18"/>
                <w:szCs w:val="18"/>
                <w:lang w:val="en-US" w:eastAsia="zh-CN"/>
              </w:rPr>
              <w:t>反</w:t>
            </w:r>
            <w:bookmarkStart w:id="0" w:name="_GoBack"/>
            <w:bookmarkEnd w:id="0"/>
            <w:r>
              <w:rPr>
                <w:rFonts w:hint="eastAsia" w:ascii="仿宋_GB2312" w:hAnsi="仿宋_GB2312" w:eastAsia="仿宋_GB2312" w:cs="仿宋_GB2312"/>
                <w:sz w:val="18"/>
                <w:szCs w:val="18"/>
              </w:rPr>
              <w:t>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F65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3BE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315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F86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D8A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9C1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E2D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539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A2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811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2569F3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CA6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24A7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161C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护士的配备数量低于国务院卫生主管部门规定的护士配备标准的;允许未取得护士执业证书的人员或者允许未依照本条例规定办理执业地点变更手续、延续执业注册有效期的护士在本机构从事诊疗技术规范规定的护理活动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F59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B40F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AFB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B19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260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1C3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C01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C8F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2D3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0A43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3FAEE5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7DB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A326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DE9F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对医疗机构未制定、实施本机构护士在职培训计划或者未保证护士接受培训的处罚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CCF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BA8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499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90E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2BA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D59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516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E68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DBD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B4D2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D7A727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64D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1F14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9398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对护士在执业活动中违反相关规定的处罚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D363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D8B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F1A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503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5DE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AA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853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94C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565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877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529FEE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3953">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D485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A0EC5">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对医疗机构发生医疗事故的处罚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713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F73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F78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265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49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B8F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71C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EE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2BB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2555">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59B77F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8B2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7F3D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A97A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对医疗机构未如实告知患者病情、医疗措施和医疗风险等行为的处罚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9DC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B14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473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AA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116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B31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A30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2C6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958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461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D34382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864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88D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E2F15">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对参加医疗事故技术鉴定工作的人员违反相关规定的处罚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295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E0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9D7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867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4C4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D35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4A0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5E8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D7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D9B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E8EE37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05D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7D60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11EF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对承担尸检任务的机构没有正当理由，拒绝进行尸检的和医疗机构或者其他有关机构涂改、伪造、隐匿、销毁病历资料的处罚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EDB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9ED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489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2E8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015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5B2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831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5D4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8EA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07C6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071E827">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ED8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C02B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330D3">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对未经注册在村医疗卫生机构从事医疗活动的处罚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0E8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6B3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B4C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552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BC0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3FB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207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2D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A20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A96C7">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1109DD7">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EA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6E10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23C4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对医疗机构违反规定发布医疗广告和未取得《医疗机构执业许可证》发布医疗广告的处罚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77F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95F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B8B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0F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F53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30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B4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3C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5EE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3F6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3CA305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6CC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71C8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5B855">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对药师未按照规定调剂处方药品的处罚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205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B6F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2F9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E82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68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F2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0F9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F37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B54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36918">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2ACE27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250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B794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1490CD">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对血站违反相关规定的处罚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AA9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961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FB2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8F6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DF6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85D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44B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413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28C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D6C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4941AF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056D">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9C2E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86DF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对单采血浆站违反相关规定的处罚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791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BE4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131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703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6CB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46D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775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F6A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7A5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CE6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95AD88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E65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6B2A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CF74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对医疗机构违反临床用血相关规定的处罚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610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39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A09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441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13B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92B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B14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071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870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E661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E90F01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AA7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B3C4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89F2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对医疗机构使用未经卫生行政部门指定的血站供应的血液的处罚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251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DDD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341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3A4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010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40A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828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BCB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36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542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A76FC19">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DAE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9686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C0E3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对医疗机构违反本办法关于应急用血采血规定的处罚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2C5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AEC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679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C8B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416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9F3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834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C94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A75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995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93DF55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B65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AE60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A215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  未取得放射诊疗许可从事放射诊疗工作的、未办理诊疗科目登记或者未按照规定进行校验的、未经批准擅自变更放射诊疗项目或者超出批准范围从事放射诊疗工作的处罚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BC4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35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AEC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05A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E7A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750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6E4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D23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DFA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DF1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626805B">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A85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9BF4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8D803">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医疗机构使用不具备相应资质的人员从事放射诊疗工作的处罚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D3F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558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6C9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499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FE8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4B4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827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632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D7D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7A9B">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B75D229">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2C4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85B2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1701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医疗机构违反建设项目卫生审查、竣工验收有关规定、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C1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726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601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215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AD7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41D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03C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C5C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C12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3CF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9080B5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9CF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C265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5B96C">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工作场所职业病危害因素检测、评价结果没有存档、上报、公布的;未采取本法第二十一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设置或者指定职业卫生管理机构或者组织，未配备专职或者兼职的职业卫生管理人员，负责本单位的职业病防治工作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FAC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56B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274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3AD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6E5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EC6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FAF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F5B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6AD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00E1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FED6F1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B3D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182F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5904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未按照规定及时、如实向安全生产监督管理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27D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E3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8CE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2AA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D46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F0B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1D2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8D3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A03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4CF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F8A0BC8">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952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28F5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ABD89">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D18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6C3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B49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803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8F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59C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216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E0E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FD0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D33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A727C7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AE03">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8E4A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126C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向用人单位提供可能产生职业病危害的设备、材料，未按照规定提供中文说明书或者设置警示标识和中文警示说明的处罚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91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188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E89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E3F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D40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99D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904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10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C6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41E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6DDC0A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263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4BCB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3AD9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隐瞒技术、工艺、设备、材料所产生的职业病危害而采用的；隐瞒本单位职业卫生真实情况的；可能发生急性职业损伤的有毒、有害工作场所、放射工作场所或者放射性同位素的运输、贮存不符合本法第二十六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87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15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3E9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74E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980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A3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E02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5BE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5B5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A41D4">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17CE11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614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EDDE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41C3D">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已经对劳动者生命健康造成严重损害的处罚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56E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1AF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A69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CC5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F46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CE0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66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F6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9A6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53F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CBF4CB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10D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8217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B743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用人单位和医疗卫生机构未按照规定报告职业病、疑似职业病的处罚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CC2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D5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04D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318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34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2F5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F8E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494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1F0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2BDE6">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9BFD49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FA0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8F79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8BBBC">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未取得职业卫生技术服务资质认可擅自从事职业卫生技术服务的，或者医疗卫生机构未经批准擅自从事职业病诊断的的处罚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71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E7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22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2CF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07B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200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190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602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19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0CA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E58347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A28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29D2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7CA3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超出资质认可或者批准范围从事职业卫生技术服务、职业病诊断的；不按照本法规定履行法定职责的；出具虚假证明文件的处罚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2E2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5A9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E98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613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F25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2E9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D6E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306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574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1C5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23B34D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B33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8583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30AA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未办理《放射工作人员证》的处罚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82E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1C3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4F7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D5C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7E9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12D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A2A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3D7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FDD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F11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40FE94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93A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9F48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471B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对学校教学环境、生活设施不符合国家卫生标准、未向学生提供充足的饮用水的处罚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0FE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171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692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9A4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61E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E89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C3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5A8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EBC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364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39F31E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A9D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52A5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64EC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学校拒绝或者妨碍卫生监督的处罚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FEB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CEE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410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78D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4C8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C63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AD0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26F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9FE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A5B6">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C15EE0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905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CADC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8A12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供水单位无许可证、健康证进行的处罚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D13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67E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8D0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BD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B86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F35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CD3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42E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2BF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7475">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A8C3A0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CB6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5AB9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9B00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供水单位饮用水不符合国家卫生标准和规范的处罚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B9D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F84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884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E5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97F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D1E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979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9C4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3EF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AD0D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74A2BF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C49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EE8F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4901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供水单位新、改、扩建的饮用水供水工程未按规定进行设计审查、竣工验收的处罚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CA8A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36A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AE0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4B0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2AA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03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518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D9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7E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4368">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49AA97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E74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B6F0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11B2D">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供水单位饮用水水源保护区未按规定修建或进行有碍水质卫生的</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CBD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3C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60B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7D5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EAA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7D7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C40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136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772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EAB88">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971C927">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D1B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C33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37A7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涉及饮用水卫生安全的产品卫生行政处罚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6B0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E82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11E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B2B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2BD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446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EE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0F3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B55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83A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F1904C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BF6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48E15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3549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公共场所无许可证，健康证进行的处罚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B92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5BA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CE4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14F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7FB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06D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738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8C2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91E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A4BF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E60F157">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939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D5B0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61E9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公共场所空气质量和用品用具不符合标准的处罚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1EB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343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21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38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DEB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90C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658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0FC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295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CB9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6B151E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F9E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8713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8DE2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公共场所未按规定建立卫生管理制度的处罚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F54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56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276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173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EB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9AF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75D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0A6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6F9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088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5EFD9C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2E2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40D0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74E3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公共场所发生危害健康事故导致危害扩大的处罚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A79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C4F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9E4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5437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21B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144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2C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75E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A68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F9C4">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F5498F9">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7D1B">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2AC6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CBD6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对非医师行医的处罚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410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9BC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D04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DE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D0F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EFE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E41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6F7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F69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A6A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F875B6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A91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8814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759A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对乡村医师非法行医的处罚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1FB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7AB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EA5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1F8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2A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6C3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DD0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37A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D5B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9E08">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94E18E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329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997A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8F257">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对医疗、保健机构或者人员未取得母婴保健技术许可擅自从事母婴保健技术服务活动的处罚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E68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165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9D4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00C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D05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38C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447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F19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ABC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72E1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8AB911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A4E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1073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15B7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对擅自采用技术手段对胎儿进行性别鉴定的处罚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439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F8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E40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DC5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61A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486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55E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1BC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F51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52C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FD8723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565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8858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81E0D">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对伪造、变造、买卖计划生育证明的处罚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038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C57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09F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6BD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510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2E3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27D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FBF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4C1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BF2D">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6D0C18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9074">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D95F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7AB4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对计划生育技术服务机构或者医疗、保健机构以外的机构或者人员违反规定，擅自从事计划生育技术服务的处罚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40E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FD9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7F7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0E9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6E5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F79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16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BF9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0CE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542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1066F3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5EE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9B35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010D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对计划生育技术服务机构和人员违反规定，未经批准擅自从事产前诊断和使用辅助生育技术治疗不育症的处罚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AB2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325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612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FD4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06C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409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E21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94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853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EC5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5D8CC9B">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569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3D3E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BE54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对逾期不校验计划生育技术服务执业许可证明文件，继续从事计划生育技术服务的处罚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48B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7F8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4B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02A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4B0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E92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D49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CD3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EB0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33D0B">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0C3B85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8523">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D58F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2AEC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对违反规定，买卖、出借、出租或者涂改、伪造计划生育技术服务执业许可证明文件的处罚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A72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D89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5D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DE4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0B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6D1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C2D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4DA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9E7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822E7">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7F7FC6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7CC6">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68DD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6D27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对从事计划生育技术服务的机构违反规定，向农村实行计划生育的育龄夫妻提供避孕、节育技术服务，收取费用的处罚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0A5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127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E42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61E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CB1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66C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AFF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773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26A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C28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AE2C94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E50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1431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A690D">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对从事计划生育技术服务的机构违反规定，未经批准擅自扩大计划生育技术服务项目的处罚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4C4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42F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5CA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AD6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794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558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3D6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BDF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83B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540B">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C718F6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0FF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F96E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DE7A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对从事计划生育技术服务的机构违反规定，使用没有依法取得相应的医师资格的人员从事与计划生育技术服务有关的临床医疗服务的处罚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37D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F3D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236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375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B4B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87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6A5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E2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C45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78CC">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81E7B2F">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35A5">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2E31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63F1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对从事计划生育技术服务的机构出具虚假证明文件尚不构成犯罪的处罚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0B4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14E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690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16D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F8B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49D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FDB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6FC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05F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0DC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E2211F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B1F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3DF4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5A20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对计划生育技术服务机构违反规定，使用没有依法取得《合格证》的人员从事计划生育技术服务的处罚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FFC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8AB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66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9EF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3D8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CA6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6CE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0F6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EB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ED41">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C2240B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7A54">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255B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A34EE">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对买卖、出借、出租或涂改、伪造计划生育技术服务人员合格证明文件的处罚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E7E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24B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FBD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0B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A2C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FFB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DAA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FC7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51D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B161">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9E6797C">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D53A">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EF9D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79EA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对从事计划生育技术服务的人员违反条例和本细则规定，擅自增加计划生育技术服务项目或在执业的机构外从事计划生育技术服务的处罚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4AB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7EC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864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8DD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B46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64D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8A1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F8F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32E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1C8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754942E">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7F2E">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A67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2E436">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对开展计划生育技术服务时，出具虚假证明文件、做假手术的处罚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661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1E0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7A8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E58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BD3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706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017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022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372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1275">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4C12624">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4304">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35F3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892E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对未经批准擅自开展产前诊断技术的非医疗保健机构的处罚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B0C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A24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BD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1E6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5CB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D16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8B3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48E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3DA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A04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B1010F8">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A87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9324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295A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对医疗保健机构未取得产前诊断执业许可或超越许可范围，擅自从事产前诊断的处罚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212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2BC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AAC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534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314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E06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788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E90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475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E4F2">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756C9FCB">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008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F208E">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124D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对未取得产前诊断类母婴保健技术考核合格证书的个人，擅自从事产前诊断或超越许可范围的处罚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B92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085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832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D7B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A7A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884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859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1F3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9D6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CFE7">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DF21A0A">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C9C">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046D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569F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对未经批准擅自设置人类精子库，采集、提供精子的处罚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B17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02E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C13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34E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37B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953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4E3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16D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E3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CD08">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0C97AC5">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895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5537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C019F">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对设置人类精子库的医疗机构违反规定的处罚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F15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67C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936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C98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F66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112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B9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6B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FC3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C71B">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410D26B">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B75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C745BB">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46B1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对开展人类辅助生殖技术的医疗机构违反有关规定的处罚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5E1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F1B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66F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CCB0">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C4F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C1D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F8A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E42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239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4114">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DAA1BE6">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23C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983B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87EC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对开展新生儿疾病筛查的医疗机构违反规定的处罚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8F9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2D8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2AD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58A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658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4C2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86B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53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924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C923">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21ADFC0">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A8D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2FA5C">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A4D01">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对母乳代用品生产者、销售者违反规定的处罚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A6C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39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4138">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75E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875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376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30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7B0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01F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0FE4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412886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133F">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6B42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2EEAB">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对医疗卫生保健机构或其人员违反《母乳代用品销售管理办法》的处罚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24F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3F1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8FB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78D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49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829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B8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9BA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584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FD6F">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77449F1">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498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95F4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431D8">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对经批准实施人工终止妊娠手术的机构未建立真实完整的终止妊娠药品购进记录，或者未按照规定为终止妊娠药品使用者建立完整用药档案的处罚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91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60C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F993">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E62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104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F6F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7BCE">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369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E54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C89E">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189A6572">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6257">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2E96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1B9BA">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对介绍、组织孕妇实施非医学需要的胎儿性别鉴定或者选择性别人工终止妊娠的处罚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C92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3430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2511">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78D2">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07F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48C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06B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027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4FA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E47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37BBF53D">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72A8">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8113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B004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对医疗机构违反有关医疗质量管理相关规定的处罚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69C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F18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47B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791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A927">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40C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8F8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921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ACF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6FB0">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04249E53">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4F09">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180C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8A200">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对医疗器械使用环节的违法行为的处罚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FF89">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729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814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252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500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C4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B2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290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C26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760A">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2B5E388">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912">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1554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23262">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对医疗机构聘用依据《中华人民共和国中医药法》不得从事管理工作的人员从事医疗机构管理工作的处罚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B82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3A5D">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0C65">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4FF4">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23A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A2E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511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377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0E8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668B">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2D18C736">
        <w:tblPrEx>
          <w:tblCellMar>
            <w:top w:w="0" w:type="dxa"/>
            <w:left w:w="15" w:type="dxa"/>
            <w:bottom w:w="0" w:type="dxa"/>
            <w:right w:w="15" w:type="dxa"/>
          </w:tblCellMar>
        </w:tblPrEx>
        <w:trPr>
          <w:trHeight w:val="80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273">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A2849">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A2A83">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对经考核取得医师资格的中医医师超出注册的执业范围从事医疗活动的处罚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5C64">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F6FB">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5C1D">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AE7">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E160">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5BA3">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E46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A861">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D65C">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2B39">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5B8EF25B">
        <w:tblPrEx>
          <w:tblCellMar>
            <w:top w:w="0" w:type="dxa"/>
            <w:left w:w="15" w:type="dxa"/>
            <w:bottom w:w="0" w:type="dxa"/>
            <w:right w:w="15" w:type="dxa"/>
          </w:tblCellMar>
        </w:tblPrEx>
        <w:trPr>
          <w:trHeight w:val="12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8C30">
            <w:pPr>
              <w:numPr>
                <w:ilvl w:val="0"/>
                <w:numId w:val="1"/>
              </w:numPr>
              <w:ind w:left="425" w:leftChars="0" w:hanging="425" w:firstLineChars="0"/>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18EE6">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 xml:space="preserve">行政处罚 </w:t>
            </w:r>
          </w:p>
        </w:tc>
        <w:tc>
          <w:tcPr>
            <w:tcW w:w="1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5047C">
            <w:pP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对举办中医诊所、炮制中药饮片、委托配制中药制剂应当备案而未备案，或者备案时提供虚假材料的处罚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BF85">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调查取证</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F42A">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执法现场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F69F">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适时</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3B8A">
            <w:pPr>
              <w:jc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sz w:val="18"/>
                <w:szCs w:val="18"/>
              </w:rPr>
              <w:t>运城市卫生健康委员会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F036">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执法人员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9EF">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执法开始</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9FA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执法全过程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E892">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执法结束</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CFC8">
            <w:pPr>
              <w:jc w:val="center"/>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sz w:val="18"/>
                <w:szCs w:val="18"/>
              </w:rPr>
              <w:t>场景类</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72E7">
            <w:pPr>
              <w:autoSpaceDN w:val="0"/>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r>
    </w:tbl>
    <w:p w14:paraId="42C532F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48FC9"/>
    <w:multiLevelType w:val="singleLevel"/>
    <w:tmpl w:val="5D848FC9"/>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5793A"/>
    <w:rsid w:val="00FF4672"/>
    <w:rsid w:val="1B5A1664"/>
    <w:rsid w:val="285B5A15"/>
    <w:rsid w:val="31762C75"/>
    <w:rsid w:val="33857B0B"/>
    <w:rsid w:val="394B34E5"/>
    <w:rsid w:val="41F33E73"/>
    <w:rsid w:val="438724EC"/>
    <w:rsid w:val="612927BF"/>
    <w:rsid w:val="6FD5793A"/>
    <w:rsid w:val="6FFA1E62"/>
    <w:rsid w:val="77A15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市卫生局</Company>
  <Pages>48</Pages>
  <Words>7351</Words>
  <Characters>7351</Characters>
  <Lines>0</Lines>
  <Paragraphs>0</Paragraphs>
  <TotalTime>1</TotalTime>
  <ScaleCrop>false</ScaleCrop>
  <LinksUpToDate>false</LinksUpToDate>
  <CharactersWithSpaces>7436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2019-09-11T01:34:00Z</dcterms:created>
  <dc:creator>hp</dc:creator>
  <cp:lastModifiedBy>chenqianqian</cp:lastModifiedBy>
  <dcterms:modified xsi:type="dcterms:W3CDTF">2025-03-17T02:23:07Z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eyJoZGlkIjoiZjEzOTViZjFmMzEyYjY0YmQ3MjRhMjJkMzI3NGJkNmUifQ==</vt:lpwstr>
  </property>
  <property fmtid="{D5CDD505-2E9C-101B-9397-08002B2CF9AE}" pid="4" name="ICV">
    <vt:lpwstr>3139080CB182443BB54AC313642C241B_12</vt:lpwstr>
  </property>
</Properties>
</file>