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2640" w:firstLineChars="6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  <w:t>运城市城市管理局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  <w:t>2022年政府信息公开工作年度报告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本年度报告主要内容包括：总体情况、主动公开政府信息情况、收到和处理政府信息公开申请情况、政府信息公开行政复议、行政诉讼情况、存在的主要问题及改进情况、其他需要报告的事项。本年度报告统计数据时限为2022年1月1日至12月31日，电子版在运城市人民政府</w:t>
      </w:r>
      <w:r>
        <w:rPr>
          <w:rFonts w:hint="eastAsia" w:ascii="仿宋_GB2312" w:hAnsi="仿宋_GB2312" w:eastAsia="仿宋_GB2312" w:cs="仿宋_GB2312"/>
          <w:color w:val="auto"/>
          <w:spacing w:val="-20"/>
          <w:kern w:val="2"/>
          <w:sz w:val="32"/>
          <w:szCs w:val="32"/>
          <w:lang w:val="en-US" w:eastAsia="zh-CN" w:bidi="ar-SA"/>
        </w:rPr>
        <w:t>（https://www.yuncheng.gov.cn/）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政府信息公开专栏发布。如对本报告有疑问，请与运城市城市管理局办公室联系（联系电话：0359-2381009）。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auto"/>
        <w:rPr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shd w:val="clear" w:fill="FFFFFF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lang w:val="en-US" w:eastAsia="zh-CN" w:bidi="ar-SA"/>
        </w:rPr>
        <w:t>2022年，运城市城市管理局在市委市政府的正确领导下，坚持以习近平新时代中国特色社会主义思想为指导，依法贯彻落实《中华人民共和国政府信息公开条例》规定，持续推进行政权力公开透明运行，主动在政府门户网站政务公开工作，认真答复政府信息公开申请，政府信息工作取得较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主动公开情况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3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 2022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年，我局结合工作实际，在市政府信息公开网站设置7个栏目，公开主动公开信息48条，政府信息公开6条，工作动态信息309条，通知通告19条，行政执法专栏13条，其他17条，共计412条。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信访接待处理方面，共办结市信访局交办信访事项38件，已全部办结，处理率达100%。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3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12345政务系统、“民呼我应”网络平台转办3609件，其中投诉类2827件，求助类450件，建议类191件，其他类136件，咨询类5件。按投诉、求助、建议、咨询问题划归相关部门落实处理，处理率为100%。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依申请公开情况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00" w:right="3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2022年度我局受理依申请公开事项3件，我局在答复申请时，严格按照《中华人民共和国政府信息公开条例》规定，均在法定期限内予以答复，没有因政府信息公开被申请行政复议、行政诉讼的情况。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政府信息管理情况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3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严格按照市政府工作要求,认真执行《条例》的贯彻落实,细化政府信息公开内容、完善政府信息公开相关制度、加强政府信息公开基础性工作，将政府信息公开工作纳入全年工作目标责任考核，有力推进了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30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1、加强组织领导，规范信息报送。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将政府信息公开要求纳入办文程序，成立工作领导小组，在公文起草、领导签发阶段就明确公文公开属性、发布渠道等内容，切实做好公文公开属性源头认定工作。二是完善工作流程建设，对所办文件的公开类型进行严格把关，并且文件一经签发生效后，确保在15个工作日内将可公开的信息予以发布，并在一季度内及时将有关政府信息公开文件提交。三是定期复查审查，对公开属性变化的信息进行动态调整，进一步提升公开率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2、建立健全工作机制和制度。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是积极配合市政府完成网站集约化整合，进一步发挥网站主渠道作用。规范政府公开信息发布格式，突出查阅的便捷性、信息的完整性、发布的实效性，力求使门户网站发布的信息精准、高效、无误。二是进一步完善工作制度，明确工作职责，加强工作人员的业务培训，进一步推进政府信息公开工作。进一步明确了政府信息公开的内容、程序、形式和时限，有效推动了我局政府信息公开工作常态化、规范化、制度化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（四）政府信息公开平台建设情况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我局高度重视政府网站信息内容更新保障工作，一是积极配合市政府完成网站集约化整合，结合政府网站栏目和政府信息公开平台建设要求，不断创新工作方法，加大信息报送力度，积极主动做好本单位信息更新工作，努力提升政府信息公开工作整体水平。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是依托“运城市人民政府官网”以及“运城城市管理在线”公众号、今日头条号、抖音号、人民号等推进政府信息公开。 2022年1月-12月31日，运城城市管理在线公众号发布586篇，城市摄氏度视频号59篇，运城城市管理抖音号62篇，运城城市管理今日头条号1126篇，运城城市管理人民号350篇。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30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（五）监督保障情况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30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结合我局工作实际，进一步完善政府信息公开工作相关制度，从公开内容、公开程序、接受监督、责任追究等各环节入手切实规范政府政务公开工作，将政府信息公开工作作为科室目标考核的重要内容，并纳入评优考核，确保信息公开工作落到实处。同时加强微信、视频号等公开渠道作用，加大政府信息公开的宣传工作，扩大影响力，让公众掌握最便捷的咨询和反映诉求的途径，保障社会公众的知情权，提升市民对政府信息公开工作的监督、宣传和引导，着力提升政务服务水平。对发现有不依法履行政府信息公开职责义务、故意隐瞒应公开信息、不受理不答复政府信息公开工作相关申请和投诉或拒绝、阻挠、干扰依法对政府信息公开工作进行的监督检查等行为的，将依法依规严肃处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Segoe UI" w:hAnsi="Segoe UI" w:eastAsia="Segoe UI" w:cs="Segoe UI"/>
          <w:i w:val="0"/>
          <w:iCs w:val="0"/>
          <w:caps w:val="0"/>
          <w:color w:val="000000"/>
          <w:spacing w:val="0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</w:rPr>
        <w:t>主动公开政府信息情况</w:t>
      </w:r>
    </w:p>
    <w:tbl>
      <w:tblPr>
        <w:tblStyle w:val="7"/>
        <w:tblW w:w="9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0"/>
        <w:gridCol w:w="2340"/>
        <w:gridCol w:w="234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9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发件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4287.3 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0" w:firstLineChars="100"/>
        <w:jc w:val="both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zh-CN" w:eastAsia="zh-CN" w:bidi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zh-CN" w:eastAsia="zh-CN" w:bidi="zh-CN"/>
        </w:rPr>
        <w:t>三、收到和处理政府信息公开申请情况</w:t>
      </w:r>
    </w:p>
    <w:tbl>
      <w:tblPr>
        <w:tblStyle w:val="7"/>
        <w:tblW w:w="92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2"/>
        <w:gridCol w:w="899"/>
        <w:gridCol w:w="3073"/>
        <w:gridCol w:w="655"/>
        <w:gridCol w:w="655"/>
        <w:gridCol w:w="655"/>
        <w:gridCol w:w="655"/>
        <w:gridCol w:w="655"/>
        <w:gridCol w:w="661"/>
        <w:gridCol w:w="65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70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5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7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2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470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7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470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732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</w:tr>
    </w:tbl>
    <w:p>
      <w:pPr>
        <w:spacing w:after="0"/>
        <w:jc w:val="both"/>
        <w:rPr>
          <w:color w:val="auto"/>
          <w:sz w:val="20"/>
        </w:rPr>
        <w:sectPr>
          <w:footerReference r:id="rId3" w:type="default"/>
          <w:pgSz w:w="11910" w:h="16840"/>
          <w:pgMar w:top="1803" w:right="1474" w:bottom="1746" w:left="1587" w:header="720" w:footer="720" w:gutter="0"/>
          <w:cols w:space="720" w:num="1"/>
        </w:sectPr>
      </w:pPr>
    </w:p>
    <w:p>
      <w:pPr>
        <w:pStyle w:val="3"/>
        <w:spacing w:before="54"/>
        <w:ind w:firstLine="640" w:firstLineChars="200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四、政府信息公开行政复议、行政诉讼情况</w:t>
      </w:r>
    </w:p>
    <w:tbl>
      <w:tblPr>
        <w:tblStyle w:val="7"/>
        <w:tblpPr w:leftFromText="180" w:rightFromText="180" w:vertAnchor="text" w:horzAnchor="page" w:tblpX="1965" w:tblpY="423"/>
        <w:tblOverlap w:val="never"/>
        <w:tblW w:w="861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573"/>
        <w:gridCol w:w="573"/>
        <w:gridCol w:w="573"/>
        <w:gridCol w:w="629"/>
        <w:gridCol w:w="453"/>
        <w:gridCol w:w="644"/>
        <w:gridCol w:w="574"/>
        <w:gridCol w:w="574"/>
        <w:gridCol w:w="577"/>
        <w:gridCol w:w="574"/>
        <w:gridCol w:w="574"/>
        <w:gridCol w:w="574"/>
        <w:gridCol w:w="575"/>
        <w:gridCol w:w="5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921" w:type="dxa"/>
            <w:gridSpan w:val="5"/>
            <w:noWrap w:val="0"/>
            <w:vAlign w:val="center"/>
          </w:tcPr>
          <w:p>
            <w:pPr>
              <w:pStyle w:val="33"/>
              <w:spacing w:before="27"/>
              <w:ind w:right="1098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 xml:space="preserve">          </w:t>
            </w:r>
            <w:r>
              <w:rPr>
                <w:color w:val="auto"/>
                <w:sz w:val="20"/>
              </w:rPr>
              <w:t>行政复议</w:t>
            </w:r>
          </w:p>
        </w:tc>
        <w:tc>
          <w:tcPr>
            <w:tcW w:w="5698" w:type="dxa"/>
            <w:gridSpan w:val="10"/>
            <w:noWrap w:val="0"/>
            <w:vAlign w:val="top"/>
          </w:tcPr>
          <w:p>
            <w:pPr>
              <w:pStyle w:val="33"/>
              <w:spacing w:before="27"/>
              <w:ind w:right="2561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lang w:val="en-US" w:eastAsia="zh-CN"/>
              </w:rPr>
              <w:t xml:space="preserve">                     </w:t>
            </w:r>
            <w:r>
              <w:rPr>
                <w:color w:val="auto"/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73" w:type="dxa"/>
            <w:vMerge w:val="restart"/>
            <w:noWrap w:val="0"/>
            <w:vAlign w:val="top"/>
          </w:tcPr>
          <w:p>
            <w:pPr>
              <w:pStyle w:val="33"/>
              <w:spacing w:before="2"/>
              <w:rPr>
                <w:rFonts w:ascii="仿宋_GB2312"/>
                <w:color w:val="auto"/>
                <w:sz w:val="15"/>
              </w:rPr>
            </w:pPr>
          </w:p>
          <w:p>
            <w:pPr>
              <w:pStyle w:val="33"/>
              <w:spacing w:line="292" w:lineRule="auto"/>
              <w:ind w:left="200" w:right="18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结果维持</w:t>
            </w:r>
          </w:p>
        </w:tc>
        <w:tc>
          <w:tcPr>
            <w:tcW w:w="573" w:type="dxa"/>
            <w:vMerge w:val="restart"/>
            <w:noWrap w:val="0"/>
            <w:vAlign w:val="top"/>
          </w:tcPr>
          <w:p>
            <w:pPr>
              <w:pStyle w:val="33"/>
              <w:spacing w:before="2"/>
              <w:rPr>
                <w:rFonts w:ascii="仿宋_GB2312"/>
                <w:color w:val="auto"/>
                <w:sz w:val="15"/>
              </w:rPr>
            </w:pPr>
          </w:p>
          <w:p>
            <w:pPr>
              <w:pStyle w:val="33"/>
              <w:spacing w:line="292" w:lineRule="auto"/>
              <w:ind w:left="201" w:right="18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结果纠正</w:t>
            </w:r>
          </w:p>
        </w:tc>
        <w:tc>
          <w:tcPr>
            <w:tcW w:w="573" w:type="dxa"/>
            <w:vMerge w:val="restart"/>
            <w:noWrap w:val="0"/>
            <w:vAlign w:val="top"/>
          </w:tcPr>
          <w:p>
            <w:pPr>
              <w:pStyle w:val="33"/>
              <w:spacing w:before="2"/>
              <w:rPr>
                <w:rFonts w:ascii="仿宋_GB2312"/>
                <w:color w:val="auto"/>
                <w:sz w:val="15"/>
              </w:rPr>
            </w:pPr>
          </w:p>
          <w:p>
            <w:pPr>
              <w:pStyle w:val="33"/>
              <w:spacing w:line="292" w:lineRule="auto"/>
              <w:ind w:left="202" w:right="180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其他结果</w:t>
            </w:r>
          </w:p>
        </w:tc>
        <w:tc>
          <w:tcPr>
            <w:tcW w:w="573" w:type="dxa"/>
            <w:vMerge w:val="restart"/>
            <w:noWrap w:val="0"/>
            <w:vAlign w:val="top"/>
          </w:tcPr>
          <w:p>
            <w:pPr>
              <w:pStyle w:val="33"/>
              <w:spacing w:before="2"/>
              <w:rPr>
                <w:rFonts w:ascii="仿宋_GB2312"/>
                <w:color w:val="auto"/>
                <w:sz w:val="15"/>
              </w:rPr>
            </w:pPr>
          </w:p>
          <w:p>
            <w:pPr>
              <w:pStyle w:val="33"/>
              <w:spacing w:line="292" w:lineRule="auto"/>
              <w:ind w:left="200" w:right="182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尚未审结</w:t>
            </w:r>
          </w:p>
        </w:tc>
        <w:tc>
          <w:tcPr>
            <w:tcW w:w="629" w:type="dxa"/>
            <w:vMerge w:val="restart"/>
            <w:noWrap w:val="0"/>
            <w:vAlign w:val="top"/>
          </w:tcPr>
          <w:p>
            <w:pPr>
              <w:pStyle w:val="33"/>
              <w:rPr>
                <w:rFonts w:ascii="仿宋_GB2312"/>
                <w:color w:val="auto"/>
                <w:sz w:val="20"/>
              </w:rPr>
            </w:pPr>
          </w:p>
          <w:p>
            <w:pPr>
              <w:pStyle w:val="33"/>
              <w:rPr>
                <w:rFonts w:ascii="仿宋_GB2312"/>
                <w:color w:val="auto"/>
                <w:sz w:val="20"/>
              </w:rPr>
            </w:pPr>
          </w:p>
          <w:p>
            <w:pPr>
              <w:pStyle w:val="33"/>
              <w:spacing w:before="150"/>
              <w:ind w:left="129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总计</w:t>
            </w:r>
          </w:p>
        </w:tc>
        <w:tc>
          <w:tcPr>
            <w:tcW w:w="2822" w:type="dxa"/>
            <w:gridSpan w:val="5"/>
            <w:noWrap w:val="0"/>
            <w:vAlign w:val="top"/>
          </w:tcPr>
          <w:p>
            <w:pPr>
              <w:pStyle w:val="33"/>
              <w:spacing w:before="28"/>
              <w:ind w:left="683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未经复议直接起诉</w:t>
            </w:r>
          </w:p>
        </w:tc>
        <w:tc>
          <w:tcPr>
            <w:tcW w:w="2876" w:type="dxa"/>
            <w:gridSpan w:val="5"/>
            <w:noWrap w:val="0"/>
            <w:vAlign w:val="top"/>
          </w:tcPr>
          <w:p>
            <w:pPr>
              <w:pStyle w:val="33"/>
              <w:spacing w:before="28"/>
              <w:ind w:left="1013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1" w:hRule="atLeast"/>
        </w:trPr>
        <w:tc>
          <w:tcPr>
            <w:tcW w:w="5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453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174" w:right="154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结果维</w:t>
            </w:r>
          </w:p>
          <w:p>
            <w:pPr>
              <w:pStyle w:val="33"/>
              <w:spacing w:line="254" w:lineRule="exact"/>
              <w:ind w:left="174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持</w:t>
            </w:r>
          </w:p>
        </w:tc>
        <w:tc>
          <w:tcPr>
            <w:tcW w:w="644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0" w:right="18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结果纠</w:t>
            </w:r>
          </w:p>
          <w:p>
            <w:pPr>
              <w:pStyle w:val="33"/>
              <w:spacing w:line="254" w:lineRule="exact"/>
              <w:ind w:left="200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正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0" w:right="18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其他结</w:t>
            </w:r>
          </w:p>
          <w:p>
            <w:pPr>
              <w:pStyle w:val="33"/>
              <w:spacing w:line="254" w:lineRule="exact"/>
              <w:ind w:left="200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果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0" w:right="18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尚未审</w:t>
            </w:r>
          </w:p>
          <w:p>
            <w:pPr>
              <w:pStyle w:val="33"/>
              <w:spacing w:line="254" w:lineRule="exact"/>
              <w:ind w:left="200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结</w:t>
            </w:r>
          </w:p>
        </w:tc>
        <w:tc>
          <w:tcPr>
            <w:tcW w:w="577" w:type="dxa"/>
            <w:noWrap w:val="0"/>
            <w:vAlign w:val="top"/>
          </w:tcPr>
          <w:p>
            <w:pPr>
              <w:pStyle w:val="33"/>
              <w:spacing w:before="6"/>
              <w:rPr>
                <w:rFonts w:ascii="仿宋_GB2312"/>
                <w:color w:val="auto"/>
                <w:sz w:val="26"/>
              </w:rPr>
            </w:pPr>
          </w:p>
          <w:p>
            <w:pPr>
              <w:pStyle w:val="33"/>
              <w:spacing w:before="1" w:line="292" w:lineRule="auto"/>
              <w:ind w:left="202" w:right="18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总计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2" w:right="18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结果维</w:t>
            </w:r>
          </w:p>
          <w:p>
            <w:pPr>
              <w:pStyle w:val="33"/>
              <w:spacing w:line="254" w:lineRule="exact"/>
              <w:ind w:left="202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持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2" w:right="181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结果纠</w:t>
            </w:r>
          </w:p>
          <w:p>
            <w:pPr>
              <w:pStyle w:val="33"/>
              <w:spacing w:line="254" w:lineRule="exact"/>
              <w:ind w:left="202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正</w:t>
            </w:r>
          </w:p>
        </w:tc>
        <w:tc>
          <w:tcPr>
            <w:tcW w:w="574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2" w:right="18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w w:val="95"/>
                <w:sz w:val="20"/>
              </w:rPr>
              <w:t>其他结</w:t>
            </w:r>
          </w:p>
          <w:p>
            <w:pPr>
              <w:pStyle w:val="33"/>
              <w:spacing w:line="254" w:lineRule="exact"/>
              <w:ind w:left="202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果</w:t>
            </w:r>
          </w:p>
        </w:tc>
        <w:tc>
          <w:tcPr>
            <w:tcW w:w="575" w:type="dxa"/>
            <w:noWrap w:val="0"/>
            <w:vAlign w:val="top"/>
          </w:tcPr>
          <w:p>
            <w:pPr>
              <w:pStyle w:val="33"/>
              <w:spacing w:before="28" w:line="292" w:lineRule="auto"/>
              <w:ind w:left="201" w:right="183"/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尚未审</w:t>
            </w:r>
          </w:p>
          <w:p>
            <w:pPr>
              <w:pStyle w:val="33"/>
              <w:spacing w:line="254" w:lineRule="exact"/>
              <w:ind w:left="201"/>
              <w:rPr>
                <w:color w:val="auto"/>
                <w:sz w:val="20"/>
              </w:rPr>
            </w:pPr>
            <w:r>
              <w:rPr>
                <w:color w:val="auto"/>
                <w:w w:val="99"/>
                <w:sz w:val="20"/>
              </w:rPr>
              <w:t>结</w:t>
            </w:r>
          </w:p>
        </w:tc>
        <w:tc>
          <w:tcPr>
            <w:tcW w:w="579" w:type="dxa"/>
            <w:noWrap w:val="0"/>
            <w:vAlign w:val="top"/>
          </w:tcPr>
          <w:p>
            <w:pPr>
              <w:pStyle w:val="33"/>
              <w:spacing w:before="6"/>
              <w:rPr>
                <w:rFonts w:ascii="仿宋_GB2312"/>
                <w:color w:val="auto"/>
                <w:sz w:val="26"/>
              </w:rPr>
            </w:pPr>
          </w:p>
          <w:p>
            <w:pPr>
              <w:pStyle w:val="33"/>
              <w:spacing w:before="1" w:line="292" w:lineRule="auto"/>
              <w:ind w:left="203" w:right="183"/>
              <w:rPr>
                <w:color w:val="auto"/>
                <w:sz w:val="20"/>
              </w:rPr>
            </w:pPr>
            <w:r>
              <w:rPr>
                <w:color w:val="auto"/>
                <w:w w:val="95"/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73" w:type="dxa"/>
            <w:noWrap w:val="0"/>
            <w:vAlign w:val="center"/>
          </w:tcPr>
          <w:p>
            <w:pPr>
              <w:pStyle w:val="33"/>
              <w:spacing w:before="34"/>
              <w:ind w:left="62" w:leftChars="0"/>
              <w:jc w:val="center"/>
              <w:rPr>
                <w:rFonts w:hint="eastAsia" w:ascii="Calibri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Calibri"/>
                <w:color w:val="auto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Style w:val="33"/>
              <w:spacing w:before="34"/>
              <w:ind w:right="25" w:rightChars="0"/>
              <w:jc w:val="center"/>
              <w:rPr>
                <w:rFonts w:hint="eastAsia" w:ascii="Calibri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Calibri"/>
                <w:color w:val="auto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573" w:type="dxa"/>
            <w:noWrap w:val="0"/>
            <w:vAlign w:val="center"/>
          </w:tcPr>
          <w:p>
            <w:pPr>
              <w:pStyle w:val="33"/>
              <w:spacing w:before="34"/>
              <w:ind w:left="17" w:leftChars="0"/>
              <w:jc w:val="center"/>
              <w:rPr>
                <w:rFonts w:hint="eastAsia" w:ascii="Calibri" w:eastAsia="宋体"/>
                <w:color w:val="auto"/>
                <w:sz w:val="20"/>
                <w:lang w:eastAsia="zh-CN"/>
              </w:rPr>
            </w:pPr>
          </w:p>
        </w:tc>
        <w:tc>
          <w:tcPr>
            <w:tcW w:w="573" w:type="dxa"/>
            <w:noWrap w:val="0"/>
            <w:vAlign w:val="center"/>
          </w:tcPr>
          <w:p>
            <w:pPr>
              <w:pStyle w:val="33"/>
              <w:spacing w:before="34"/>
              <w:ind w:left="62" w:leftChars="0"/>
              <w:jc w:val="center"/>
              <w:rPr>
                <w:rFonts w:hint="eastAsia" w:ascii="Calibri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Calibri"/>
                <w:color w:val="auto"/>
                <w:sz w:val="20"/>
                <w:highlight w:val="none"/>
                <w:lang w:val="en-US" w:eastAsia="zh-CN"/>
              </w:rPr>
              <w:t>1</w:t>
            </w:r>
          </w:p>
        </w:tc>
        <w:tc>
          <w:tcPr>
            <w:tcW w:w="629" w:type="dxa"/>
            <w:noWrap w:val="0"/>
            <w:vAlign w:val="center"/>
          </w:tcPr>
          <w:p>
            <w:pPr>
              <w:pStyle w:val="33"/>
              <w:spacing w:before="34"/>
              <w:ind w:left="62" w:leftChars="0"/>
              <w:jc w:val="center"/>
              <w:rPr>
                <w:rFonts w:hint="eastAsia" w:ascii="Calibri" w:eastAsia="宋体"/>
                <w:color w:val="auto"/>
                <w:sz w:val="20"/>
                <w:lang w:eastAsia="zh-CN"/>
              </w:rPr>
            </w:pPr>
            <w:r>
              <w:rPr>
                <w:rFonts w:hint="eastAsia" w:ascii="Calibri"/>
                <w:color w:val="auto"/>
                <w:sz w:val="20"/>
                <w:highlight w:val="none"/>
                <w:lang w:val="en-US" w:eastAsia="zh-CN"/>
              </w:rPr>
              <w:t>6</w:t>
            </w:r>
          </w:p>
        </w:tc>
        <w:tc>
          <w:tcPr>
            <w:tcW w:w="453" w:type="dxa"/>
            <w:noWrap w:val="0"/>
            <w:vAlign w:val="center"/>
          </w:tcPr>
          <w:p>
            <w:pPr>
              <w:pStyle w:val="33"/>
              <w:spacing w:before="27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3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pStyle w:val="33"/>
              <w:spacing w:before="27"/>
              <w:ind w:left="351" w:leftChars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2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pStyle w:val="33"/>
              <w:spacing w:before="27"/>
              <w:ind w:left="152" w:leftChars="0"/>
              <w:jc w:val="center"/>
              <w:rPr>
                <w:color w:val="auto"/>
                <w:sz w:val="20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pStyle w:val="33"/>
              <w:spacing w:before="27"/>
              <w:ind w:left="351" w:leftChars="0"/>
              <w:jc w:val="center"/>
              <w:rPr>
                <w:color w:val="auto"/>
                <w:sz w:val="20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pStyle w:val="33"/>
              <w:spacing w:before="27"/>
              <w:ind w:left="152" w:leftChars="0"/>
              <w:jc w:val="center"/>
              <w:rPr>
                <w:rFonts w:hint="eastAsia" w:eastAsia="宋体"/>
                <w:color w:val="auto"/>
                <w:sz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highlight w:val="none"/>
                <w:lang w:val="en-US" w:eastAsia="zh-CN"/>
              </w:rPr>
              <w:t>5</w:t>
            </w:r>
          </w:p>
        </w:tc>
        <w:tc>
          <w:tcPr>
            <w:tcW w:w="574" w:type="dxa"/>
            <w:noWrap w:val="0"/>
            <w:vAlign w:val="center"/>
          </w:tcPr>
          <w:p>
            <w:pPr>
              <w:pStyle w:val="33"/>
              <w:spacing w:before="27"/>
              <w:ind w:left="351" w:leftChars="0"/>
              <w:jc w:val="center"/>
              <w:rPr>
                <w:color w:val="auto"/>
                <w:sz w:val="20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pStyle w:val="33"/>
              <w:spacing w:before="27"/>
              <w:ind w:left="151"/>
              <w:jc w:val="center"/>
              <w:rPr>
                <w:rFonts w:hint="eastAsia" w:eastAsia="宋体"/>
                <w:color w:val="auto"/>
                <w:sz w:val="20"/>
                <w:lang w:val="en-US" w:eastAsia="zh-CN"/>
              </w:rPr>
            </w:pPr>
          </w:p>
        </w:tc>
        <w:tc>
          <w:tcPr>
            <w:tcW w:w="574" w:type="dxa"/>
            <w:noWrap w:val="0"/>
            <w:vAlign w:val="center"/>
          </w:tcPr>
          <w:p>
            <w:pPr>
              <w:pStyle w:val="33"/>
              <w:spacing w:before="27"/>
              <w:ind w:left="151"/>
              <w:jc w:val="center"/>
              <w:rPr>
                <w:color w:val="auto"/>
                <w:sz w:val="20"/>
              </w:rPr>
            </w:pPr>
          </w:p>
        </w:tc>
        <w:tc>
          <w:tcPr>
            <w:tcW w:w="575" w:type="dxa"/>
            <w:noWrap w:val="0"/>
            <w:vAlign w:val="center"/>
          </w:tcPr>
          <w:p>
            <w:pPr>
              <w:pStyle w:val="33"/>
              <w:spacing w:before="27"/>
              <w:ind w:left="151"/>
              <w:jc w:val="center"/>
              <w:rPr>
                <w:color w:val="auto"/>
                <w:sz w:val="20"/>
              </w:rPr>
            </w:pPr>
          </w:p>
        </w:tc>
        <w:tc>
          <w:tcPr>
            <w:tcW w:w="579" w:type="dxa"/>
            <w:noWrap w:val="0"/>
            <w:vAlign w:val="top"/>
          </w:tcPr>
          <w:p>
            <w:pPr>
              <w:pStyle w:val="33"/>
              <w:spacing w:before="4" w:line="288" w:lineRule="exact"/>
              <w:ind w:left="106"/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2022年我局政务公开工作取得了一定的成效，同时也存在着一些问题。一是信息公开范围不够广、个别信息更新不及时；二是政民互动的有效性有待进一步提高。下一步，我局将坚持需求导向、问题导向，继续完善政府信息公开工作。一是加强沟通学习。积极学习其他部门和单位关于政府信息公开工作的新方法、好经验，结合城市管理工作实际，推进政府信息公开工作取得新成效。二是丰富政策解读形式。积极探索拓展社会公众喜闻乐见的解读形式，扩大传播范围和受众面。三是加强政民互动。加强宣传引导，切实保障公众的知情权、参与权、监督权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　　2023年，我局将继续按照市政府关于政府信息公开工作的各项要求，进一步加强城市管理政府信息公开工作，力争在规范化、制度化、程序化等方面取得新进展。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六、其他需要报告的事项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60" w:lineRule="exact"/>
        <w:ind w:left="0" w:right="0"/>
        <w:jc w:val="left"/>
        <w:textAlignment w:val="auto"/>
        <w:rPr>
          <w:rFonts w:hint="eastAsia" w:eastAsia="微软雅黑"/>
          <w:color w:val="auto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运城市城市管理局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2023年1月31日</w:t>
      </w:r>
    </w:p>
    <w:sectPr>
      <w:pgSz w:w="11906" w:h="16838"/>
      <w:pgMar w:top="189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B1942"/>
    <w:multiLevelType w:val="singleLevel"/>
    <w:tmpl w:val="570B19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ZWZmZGY5Yzc4NmYxOWVhOWY3NjYxMDhkZDU0OTEifQ=="/>
  </w:docVars>
  <w:rsids>
    <w:rsidRoot w:val="5E1C6DD5"/>
    <w:rsid w:val="0002561E"/>
    <w:rsid w:val="069957F6"/>
    <w:rsid w:val="06D0066C"/>
    <w:rsid w:val="0E1D508C"/>
    <w:rsid w:val="0F917BBA"/>
    <w:rsid w:val="11421B57"/>
    <w:rsid w:val="18C9062F"/>
    <w:rsid w:val="2D3619B4"/>
    <w:rsid w:val="35CE6E2D"/>
    <w:rsid w:val="35D76ECB"/>
    <w:rsid w:val="37991DE9"/>
    <w:rsid w:val="3849765D"/>
    <w:rsid w:val="3870436D"/>
    <w:rsid w:val="40DB7EB8"/>
    <w:rsid w:val="44020D16"/>
    <w:rsid w:val="44850357"/>
    <w:rsid w:val="473E1565"/>
    <w:rsid w:val="474456A1"/>
    <w:rsid w:val="4A5676C5"/>
    <w:rsid w:val="4BE56CEC"/>
    <w:rsid w:val="4E9E163B"/>
    <w:rsid w:val="57572DD9"/>
    <w:rsid w:val="59577CDB"/>
    <w:rsid w:val="5D220706"/>
    <w:rsid w:val="5D2F1B62"/>
    <w:rsid w:val="5E1C6DD5"/>
    <w:rsid w:val="5EBD78BB"/>
    <w:rsid w:val="666255D6"/>
    <w:rsid w:val="6BC55CFF"/>
    <w:rsid w:val="6DFB4D03"/>
    <w:rsid w:val="718D25D3"/>
    <w:rsid w:val="770B50C1"/>
    <w:rsid w:val="773A3D47"/>
    <w:rsid w:val="78064946"/>
    <w:rsid w:val="783469E8"/>
    <w:rsid w:val="7E203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28"/>
      <w:outlineLvl w:val="0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555555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555555"/>
      <w:u w:val="non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character" w:customStyle="1" w:styleId="13">
    <w:name w:val="sl"/>
    <w:basedOn w:val="8"/>
    <w:qFormat/>
    <w:uiPriority w:val="0"/>
    <w:rPr>
      <w:sz w:val="21"/>
      <w:szCs w:val="21"/>
    </w:rPr>
  </w:style>
  <w:style w:type="character" w:customStyle="1" w:styleId="14">
    <w:name w:val="icon8"/>
    <w:basedOn w:val="8"/>
    <w:qFormat/>
    <w:uiPriority w:val="0"/>
  </w:style>
  <w:style w:type="character" w:customStyle="1" w:styleId="15">
    <w:name w:val="icon5"/>
    <w:basedOn w:val="8"/>
    <w:qFormat/>
    <w:uiPriority w:val="0"/>
  </w:style>
  <w:style w:type="character" w:customStyle="1" w:styleId="16">
    <w:name w:val="icon1"/>
    <w:basedOn w:val="8"/>
    <w:qFormat/>
    <w:uiPriority w:val="0"/>
  </w:style>
  <w:style w:type="character" w:customStyle="1" w:styleId="17">
    <w:name w:val="icon3"/>
    <w:basedOn w:val="8"/>
    <w:qFormat/>
    <w:uiPriority w:val="0"/>
  </w:style>
  <w:style w:type="character" w:customStyle="1" w:styleId="18">
    <w:name w:val="icon7"/>
    <w:basedOn w:val="8"/>
    <w:qFormat/>
    <w:uiPriority w:val="0"/>
  </w:style>
  <w:style w:type="character" w:customStyle="1" w:styleId="19">
    <w:name w:val="icon2"/>
    <w:basedOn w:val="8"/>
    <w:qFormat/>
    <w:uiPriority w:val="0"/>
  </w:style>
  <w:style w:type="character" w:customStyle="1" w:styleId="20">
    <w:name w:val="icon4"/>
    <w:basedOn w:val="8"/>
    <w:qFormat/>
    <w:uiPriority w:val="0"/>
  </w:style>
  <w:style w:type="character" w:customStyle="1" w:styleId="21">
    <w:name w:val="icon6"/>
    <w:basedOn w:val="8"/>
    <w:qFormat/>
    <w:uiPriority w:val="0"/>
  </w:style>
  <w:style w:type="character" w:customStyle="1" w:styleId="22">
    <w:name w:val="on2"/>
    <w:basedOn w:val="8"/>
    <w:qFormat/>
    <w:uiPriority w:val="0"/>
    <w:rPr>
      <w:b/>
      <w:bCs/>
      <w:color w:val="D10200"/>
      <w:shd w:val="clear" w:fill="F2F2F2"/>
    </w:rPr>
  </w:style>
  <w:style w:type="character" w:customStyle="1" w:styleId="23">
    <w:name w:val="fy_go"/>
    <w:basedOn w:val="8"/>
    <w:qFormat/>
    <w:uiPriority w:val="0"/>
    <w:rPr>
      <w:color w:val="FFFFFF"/>
      <w:sz w:val="21"/>
      <w:szCs w:val="21"/>
      <w:shd w:val="clear" w:fill="D10200"/>
    </w:rPr>
  </w:style>
  <w:style w:type="character" w:customStyle="1" w:styleId="24">
    <w:name w:val="line"/>
    <w:basedOn w:val="8"/>
    <w:qFormat/>
    <w:uiPriority w:val="0"/>
  </w:style>
  <w:style w:type="character" w:customStyle="1" w:styleId="25">
    <w:name w:val="line1"/>
    <w:basedOn w:val="8"/>
    <w:qFormat/>
    <w:uiPriority w:val="0"/>
  </w:style>
  <w:style w:type="character" w:customStyle="1" w:styleId="26">
    <w:name w:val="hover9"/>
    <w:basedOn w:val="8"/>
    <w:qFormat/>
    <w:uiPriority w:val="0"/>
    <w:rPr>
      <w:color w:val="FFFFFF"/>
    </w:rPr>
  </w:style>
  <w:style w:type="character" w:customStyle="1" w:styleId="27">
    <w:name w:val="active"/>
    <w:basedOn w:val="8"/>
    <w:qFormat/>
    <w:uiPriority w:val="0"/>
    <w:rPr>
      <w:color w:val="FFFFFF"/>
    </w:rPr>
  </w:style>
  <w:style w:type="character" w:customStyle="1" w:styleId="28">
    <w:name w:val="page_prev"/>
    <w:basedOn w:val="8"/>
    <w:qFormat/>
    <w:uiPriority w:val="0"/>
  </w:style>
  <w:style w:type="character" w:customStyle="1" w:styleId="29">
    <w:name w:val="page_next"/>
    <w:basedOn w:val="8"/>
    <w:qFormat/>
    <w:uiPriority w:val="0"/>
  </w:style>
  <w:style w:type="character" w:customStyle="1" w:styleId="30">
    <w:name w:val="active1"/>
    <w:basedOn w:val="8"/>
    <w:qFormat/>
    <w:uiPriority w:val="0"/>
    <w:rPr>
      <w:color w:val="FFFFFF"/>
    </w:rPr>
  </w:style>
  <w:style w:type="character" w:customStyle="1" w:styleId="31">
    <w:name w:val="active3"/>
    <w:basedOn w:val="8"/>
    <w:qFormat/>
    <w:uiPriority w:val="0"/>
    <w:rPr>
      <w:color w:val="FFFFFF"/>
    </w:rPr>
  </w:style>
  <w:style w:type="character" w:customStyle="1" w:styleId="32">
    <w:name w:val="hover11"/>
    <w:basedOn w:val="8"/>
    <w:qFormat/>
    <w:uiPriority w:val="0"/>
    <w:rPr>
      <w:color w:val="FFFFFF"/>
    </w:rPr>
  </w:style>
  <w:style w:type="paragraph" w:customStyle="1" w:styleId="3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34">
    <w:name w:val="bds_nopic"/>
    <w:basedOn w:val="8"/>
    <w:qFormat/>
    <w:uiPriority w:val="0"/>
  </w:style>
  <w:style w:type="character" w:customStyle="1" w:styleId="35">
    <w:name w:val="bds_nopic1"/>
    <w:basedOn w:val="8"/>
    <w:qFormat/>
    <w:uiPriority w:val="0"/>
  </w:style>
  <w:style w:type="character" w:customStyle="1" w:styleId="36">
    <w:name w:val="bds_more"/>
    <w:basedOn w:val="8"/>
    <w:qFormat/>
    <w:uiPriority w:val="0"/>
  </w:style>
  <w:style w:type="character" w:customStyle="1" w:styleId="37">
    <w:name w:val="bds_more1"/>
    <w:basedOn w:val="8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2"/>
    <w:basedOn w:val="8"/>
    <w:qFormat/>
    <w:uiPriority w:val="0"/>
  </w:style>
  <w:style w:type="character" w:customStyle="1" w:styleId="39">
    <w:name w:val="hover24"/>
    <w:basedOn w:val="8"/>
    <w:qFormat/>
    <w:uiPriority w:val="0"/>
    <w:rPr>
      <w:color w:val="FFFFFF"/>
    </w:rPr>
  </w:style>
  <w:style w:type="character" w:customStyle="1" w:styleId="40">
    <w:name w:val="hover23"/>
    <w:basedOn w:val="8"/>
    <w:qFormat/>
    <w:uiPriority w:val="0"/>
    <w:rPr>
      <w:color w:val="FFFFFF"/>
    </w:rPr>
  </w:style>
  <w:style w:type="character" w:customStyle="1" w:styleId="41">
    <w:name w:val="bds_nopic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市人大办公厅</Company>
  <Pages>7</Pages>
  <Words>2789</Words>
  <Characters>2926</Characters>
  <Lines>0</Lines>
  <Paragraphs>0</Paragraphs>
  <TotalTime>3</TotalTime>
  <ScaleCrop>false</ScaleCrop>
  <LinksUpToDate>false</LinksUpToDate>
  <CharactersWithSpaces>3196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2022-01-26T02:53:00Z</dcterms:created>
  <dc:creator>夏天</dc:creator>
  <cp:lastModifiedBy>局机关</cp:lastModifiedBy>
  <cp:lastPrinted>2023-02-22T03:09:00Z</cp:lastPrinted>
  <dcterms:modified xsi:type="dcterms:W3CDTF">2023-03-07T02:48:52Z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FD6F5475C62C414A9FAC274F51B7AA2D</vt:lpwstr>
  </property>
</Properties>
</file>