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hAnsiTheme="majorEastAsia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Theme="majorEastAsia"/>
          <w:spacing w:val="-20"/>
          <w:sz w:val="44"/>
          <w:szCs w:val="44"/>
        </w:rPr>
      </w:pPr>
      <w:r>
        <w:rPr>
          <w:rFonts w:hint="eastAsia" w:ascii="方正小标宋简体" w:eastAsia="方正小标宋简体" w:hAnsiTheme="majorEastAsia"/>
          <w:spacing w:val="-20"/>
          <w:sz w:val="44"/>
          <w:szCs w:val="44"/>
          <w:lang w:val="en-US" w:eastAsia="zh-CN"/>
        </w:rPr>
        <w:t>运城市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Theme="majorEastAsia"/>
          <w:spacing w:val="-20"/>
          <w:sz w:val="44"/>
          <w:szCs w:val="44"/>
        </w:rPr>
      </w:pP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关于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批次不合格食品核查处置情况的</w:t>
      </w:r>
      <w:r>
        <w:rPr>
          <w:rFonts w:hint="default" w:ascii="方正小标宋简体" w:eastAsia="方正小标宋简体" w:hAnsiTheme="majorEastAsia"/>
          <w:spacing w:val="-20"/>
          <w:sz w:val="44"/>
          <w:szCs w:val="44"/>
        </w:rPr>
        <w:t>公</w:t>
      </w:r>
      <w:bookmarkStart w:id="0" w:name="_GoBack"/>
      <w:bookmarkEnd w:id="0"/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市场监管总局发布的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食品安全监督抽检信息通告中</w:t>
      </w:r>
      <w:r>
        <w:rPr>
          <w:rFonts w:hint="eastAsia" w:ascii="仿宋" w:hAnsi="仿宋" w:eastAsia="仿宋" w:cs="仿宋"/>
          <w:sz w:val="32"/>
          <w:szCs w:val="32"/>
        </w:rPr>
        <w:t>，涉及我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批次食品不合格。现将不合格食品核查处置情况通告如下：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山西米汤泉酿造有限公司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生产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山西陈醋（酿造食醋）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山西米汤泉酿造有限公司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生产的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日期为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山西陈醋（酿造食醋）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山西省检验检测中心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不挥发酸（以乳酸计）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风险控制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山西米汤泉酿造有限公司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进行调查。</w:t>
      </w:r>
      <w:r>
        <w:rPr>
          <w:rFonts w:hint="eastAsia" w:ascii="仿宋" w:hAnsi="仿宋" w:eastAsia="仿宋" w:cs="仿宋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山西陈醋（酿造食醋）</w:t>
      </w:r>
      <w:r>
        <w:rPr>
          <w:rFonts w:hint="eastAsia" w:ascii="仿宋" w:hAnsi="仿宋" w:eastAsia="仿宋" w:cs="仿宋"/>
          <w:sz w:val="32"/>
          <w:szCs w:val="32"/>
        </w:rPr>
        <w:t>共生产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189箱，共计2835公斤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货值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3760元；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销售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排查整改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经排查，导致不合格的原因是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气温较低，影响不挥发酸的生产，检验员使用不挥发酸的试剂操作失误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。整改措施：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（立即召回不合格产品；增加发酵车间的温控设施；购置有检验资质的检验试剂）。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已于2022年9月22日组织复查验收，并提交整改报告。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（四）依法处罚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2022年9月20日对该案件进行立案查处。经调查，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山西米汤泉酿造有限公司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仿宋" w:hAnsi="仿宋" w:eastAsia="仿宋" w:cs="仿宋"/>
          <w:sz w:val="32"/>
          <w:szCs w:val="32"/>
        </w:rPr>
        <w:t>《中华人民共和国食品安全法》第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（十三）项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《中华人民共和国食品安全法》第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一百二十四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第二款、第一款的规定</w:t>
      </w:r>
      <w:r>
        <w:rPr>
          <w:rFonts w:hint="eastAsia" w:ascii="仿宋" w:hAnsi="仿宋" w:eastAsia="仿宋" w:cs="仿宋"/>
          <w:sz w:val="32"/>
          <w:szCs w:val="32"/>
        </w:rPr>
        <w:t>对该企业作出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没收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非法所得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3760元；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；共计人民币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88760元整。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二、运城市海源食品有限公司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生产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运城市海源食品有限公司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生产的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日期为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四川省食品检验研究院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（二）风险控制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运城市海源食品有限公司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进行调查。</w:t>
      </w:r>
      <w:r>
        <w:rPr>
          <w:rFonts w:hint="eastAsia" w:ascii="仿宋" w:hAnsi="仿宋" w:eastAsia="仿宋" w:cs="仿宋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  <w:r>
        <w:rPr>
          <w:rFonts w:hint="eastAsia" w:ascii="仿宋" w:hAnsi="仿宋" w:eastAsia="仿宋" w:cs="仿宋"/>
          <w:sz w:val="32"/>
          <w:szCs w:val="32"/>
        </w:rPr>
        <w:t>共生产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30箱，共计73公斤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货值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1200元；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销售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（三）排查整改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经排查，导致不合格的原因是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1、销售商的贮存条件存在不符合食品安全标准等情况；2、生产自动包装机存在食品安全风险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。整改措施：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1、对销售商的运输、储存发安全预警；2、增强员工卫生意识；3、加强环境设备管理；4、完善食品质量安全内控制度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已于2022年9月29日组织复查验收，并提交整改报告。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依法处罚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监督管理局于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2022年9月27日对该案件进行立案查处。经调查，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运城市海源食品有限公司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仿宋" w:hAnsi="仿宋" w:eastAsia="仿宋" w:cs="仿宋"/>
          <w:sz w:val="32"/>
          <w:szCs w:val="32"/>
        </w:rPr>
        <w:t>《中华人民共和国食品安全法》第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（十三）项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《中华人民共和国食品安全法》第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一百二十四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第二款、第一款的规定</w:t>
      </w:r>
      <w:r>
        <w:rPr>
          <w:rFonts w:hint="eastAsia" w:ascii="仿宋" w:hAnsi="仿宋" w:eastAsia="仿宋" w:cs="仿宋"/>
          <w:sz w:val="32"/>
          <w:szCs w:val="32"/>
        </w:rPr>
        <w:t>对该企业作出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没收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非法所得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人民币61200元整。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三、运城经济技术开发区改妹副食店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运城经济技术开发区改妹副食店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  <w:lang w:eastAsia="zh-CN"/>
        </w:rPr>
        <w:t>销售的标称生产企业为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运城市海源食品有限公司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四川省食品检验研究院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检验，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运城经济技术开发区改妹副食店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36袋，共计7.3公斤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156.48元；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运城经济技术开发区改妹副食店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运乐锅巴（牛排味）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（对不合格批次的食品进行召回）。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已于2022年10月7日组织复查验收，并提交整改报告。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2022年9月27日对该案件进行立案查处。经调查，运城经济技术开发区改妹副食店违反了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（十三）项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一百二十四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第二款、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第一款、第一百三十六条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四、永济市客乐优购生活超市有限公司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居来香小磨芝麻香油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永济市客乐优购生活超市有限公司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销售的标称生产企业为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山西居来香调味食品有限公司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1批次居来香小磨芝麻香油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成都市食品检验研究院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苯并[a]芘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永济市客乐优购生活超市有限公司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居来香小磨芝麻香油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72瓶，共计9公斤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351.5元；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37瓶，剩余35瓶被上游商家召回。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永济市客乐优购生活超市有限公司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居来香小磨芝麻香油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1、对问题产品下架处理；2、积极联系该产品客户，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对不合格批次的食品进行召回；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3、加强食品安全意识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已于2022年10月1日组织复查验收，并提交整改报告。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2022年9月30日对该案件进行立案查处。经调查，永济市客乐优购生活超市有限公司违反了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第二项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一百二十四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第一款第一项、第一百三十六条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Noto Serif CJK JP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EAD37"/>
    <w:multiLevelType w:val="singleLevel"/>
    <w:tmpl w:val="F7BEAD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A362DA"/>
    <w:multiLevelType w:val="singleLevel"/>
    <w:tmpl w:val="32A362DA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4938B8CF"/>
    <w:multiLevelType w:val="singleLevel"/>
    <w:tmpl w:val="4938B8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B0DB60D"/>
    <w:multiLevelType w:val="singleLevel"/>
    <w:tmpl w:val="7B0DB6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mUwNDI1ODg0ZTBhNTRmOTY4ZDdjZDVmNzQ4M2YifQ=="/>
  </w:docVars>
  <w:rsids>
    <w:rsidRoot w:val="000836CA"/>
    <w:rsid w:val="000419D9"/>
    <w:rsid w:val="00043622"/>
    <w:rsid w:val="00051860"/>
    <w:rsid w:val="000836CA"/>
    <w:rsid w:val="00083C7F"/>
    <w:rsid w:val="00086D08"/>
    <w:rsid w:val="00095FE6"/>
    <w:rsid w:val="000B4CDD"/>
    <w:rsid w:val="000C6F91"/>
    <w:rsid w:val="00106F8F"/>
    <w:rsid w:val="00137556"/>
    <w:rsid w:val="00163F94"/>
    <w:rsid w:val="0016583C"/>
    <w:rsid w:val="0016591C"/>
    <w:rsid w:val="001B022F"/>
    <w:rsid w:val="001B2F14"/>
    <w:rsid w:val="001E37FE"/>
    <w:rsid w:val="001E5E68"/>
    <w:rsid w:val="001E6376"/>
    <w:rsid w:val="002104C6"/>
    <w:rsid w:val="002413CE"/>
    <w:rsid w:val="0026056D"/>
    <w:rsid w:val="002C1D73"/>
    <w:rsid w:val="00323594"/>
    <w:rsid w:val="00334CD7"/>
    <w:rsid w:val="00385CD7"/>
    <w:rsid w:val="003A5485"/>
    <w:rsid w:val="003B41F6"/>
    <w:rsid w:val="003C6DA0"/>
    <w:rsid w:val="004031E6"/>
    <w:rsid w:val="00413973"/>
    <w:rsid w:val="004A03B5"/>
    <w:rsid w:val="004B01E2"/>
    <w:rsid w:val="004D17B5"/>
    <w:rsid w:val="005055DE"/>
    <w:rsid w:val="005204BB"/>
    <w:rsid w:val="00526E01"/>
    <w:rsid w:val="00531D04"/>
    <w:rsid w:val="005362EA"/>
    <w:rsid w:val="00566D69"/>
    <w:rsid w:val="00583056"/>
    <w:rsid w:val="005B4C36"/>
    <w:rsid w:val="005C0297"/>
    <w:rsid w:val="005D762E"/>
    <w:rsid w:val="005D7677"/>
    <w:rsid w:val="006002EA"/>
    <w:rsid w:val="00634EF7"/>
    <w:rsid w:val="00674ED6"/>
    <w:rsid w:val="0068510C"/>
    <w:rsid w:val="0069182E"/>
    <w:rsid w:val="00693429"/>
    <w:rsid w:val="006A5DB4"/>
    <w:rsid w:val="0071549C"/>
    <w:rsid w:val="0071646B"/>
    <w:rsid w:val="0074683F"/>
    <w:rsid w:val="0075535C"/>
    <w:rsid w:val="007E7195"/>
    <w:rsid w:val="007F405B"/>
    <w:rsid w:val="0084759C"/>
    <w:rsid w:val="00861FCE"/>
    <w:rsid w:val="00877E87"/>
    <w:rsid w:val="0088748D"/>
    <w:rsid w:val="008B747D"/>
    <w:rsid w:val="008C6F3C"/>
    <w:rsid w:val="008E4562"/>
    <w:rsid w:val="00915147"/>
    <w:rsid w:val="00946406"/>
    <w:rsid w:val="00965044"/>
    <w:rsid w:val="00970200"/>
    <w:rsid w:val="00971392"/>
    <w:rsid w:val="009D1390"/>
    <w:rsid w:val="00A01B67"/>
    <w:rsid w:val="00A4497A"/>
    <w:rsid w:val="00A53FBD"/>
    <w:rsid w:val="00A84D33"/>
    <w:rsid w:val="00AA1726"/>
    <w:rsid w:val="00AB53E8"/>
    <w:rsid w:val="00AE6A5F"/>
    <w:rsid w:val="00B12BF0"/>
    <w:rsid w:val="00B25D91"/>
    <w:rsid w:val="00B46F57"/>
    <w:rsid w:val="00B5276C"/>
    <w:rsid w:val="00B5567E"/>
    <w:rsid w:val="00BC4E34"/>
    <w:rsid w:val="00BC54B0"/>
    <w:rsid w:val="00BD49C2"/>
    <w:rsid w:val="00C43598"/>
    <w:rsid w:val="00C72C80"/>
    <w:rsid w:val="00C8417B"/>
    <w:rsid w:val="00CF5C86"/>
    <w:rsid w:val="00D21072"/>
    <w:rsid w:val="00D2558B"/>
    <w:rsid w:val="00D32CE5"/>
    <w:rsid w:val="00D93403"/>
    <w:rsid w:val="00D93932"/>
    <w:rsid w:val="00DA7642"/>
    <w:rsid w:val="00DB70B1"/>
    <w:rsid w:val="00DB7C70"/>
    <w:rsid w:val="00DC0F83"/>
    <w:rsid w:val="00DC1BBC"/>
    <w:rsid w:val="00DE127B"/>
    <w:rsid w:val="00E052B1"/>
    <w:rsid w:val="00E13058"/>
    <w:rsid w:val="00E47AE9"/>
    <w:rsid w:val="00E91D03"/>
    <w:rsid w:val="00EC5874"/>
    <w:rsid w:val="00EF0D45"/>
    <w:rsid w:val="00EF45FD"/>
    <w:rsid w:val="00F03968"/>
    <w:rsid w:val="00F4322E"/>
    <w:rsid w:val="00F45B6D"/>
    <w:rsid w:val="00F93335"/>
    <w:rsid w:val="00FC1DD5"/>
    <w:rsid w:val="04E70FED"/>
    <w:rsid w:val="0530678A"/>
    <w:rsid w:val="075D6FEF"/>
    <w:rsid w:val="080E41FF"/>
    <w:rsid w:val="087F3280"/>
    <w:rsid w:val="09FE6388"/>
    <w:rsid w:val="0B6F2BD0"/>
    <w:rsid w:val="11712005"/>
    <w:rsid w:val="124035AC"/>
    <w:rsid w:val="128A3C53"/>
    <w:rsid w:val="13802A6F"/>
    <w:rsid w:val="15995BBE"/>
    <w:rsid w:val="16436291"/>
    <w:rsid w:val="169C7F06"/>
    <w:rsid w:val="177DA593"/>
    <w:rsid w:val="1783430F"/>
    <w:rsid w:val="1A8D26E3"/>
    <w:rsid w:val="1AC21DEC"/>
    <w:rsid w:val="1CD84F69"/>
    <w:rsid w:val="1D03137F"/>
    <w:rsid w:val="1D627540"/>
    <w:rsid w:val="1DA223D7"/>
    <w:rsid w:val="1E7E2B10"/>
    <w:rsid w:val="1EF41FB9"/>
    <w:rsid w:val="22883309"/>
    <w:rsid w:val="25802580"/>
    <w:rsid w:val="268A114C"/>
    <w:rsid w:val="28C80903"/>
    <w:rsid w:val="29C66ACE"/>
    <w:rsid w:val="2F0301C4"/>
    <w:rsid w:val="2F0449BF"/>
    <w:rsid w:val="2F6E4FAD"/>
    <w:rsid w:val="2FEFD2FC"/>
    <w:rsid w:val="307B22BA"/>
    <w:rsid w:val="30E3036A"/>
    <w:rsid w:val="333E1150"/>
    <w:rsid w:val="3489236F"/>
    <w:rsid w:val="34CD37F5"/>
    <w:rsid w:val="35EE0E9E"/>
    <w:rsid w:val="36636750"/>
    <w:rsid w:val="36FF768A"/>
    <w:rsid w:val="3A195363"/>
    <w:rsid w:val="3B26656C"/>
    <w:rsid w:val="404D613F"/>
    <w:rsid w:val="45700BA9"/>
    <w:rsid w:val="4A696C98"/>
    <w:rsid w:val="4C640516"/>
    <w:rsid w:val="4DA0781B"/>
    <w:rsid w:val="4FFB4272"/>
    <w:rsid w:val="53091DCC"/>
    <w:rsid w:val="55A213A6"/>
    <w:rsid w:val="55B91E42"/>
    <w:rsid w:val="56E24507"/>
    <w:rsid w:val="57A219B6"/>
    <w:rsid w:val="58F704E7"/>
    <w:rsid w:val="5A68698B"/>
    <w:rsid w:val="5B98192E"/>
    <w:rsid w:val="5D034315"/>
    <w:rsid w:val="5F076D88"/>
    <w:rsid w:val="5FBDE0E7"/>
    <w:rsid w:val="61306F79"/>
    <w:rsid w:val="61376A88"/>
    <w:rsid w:val="64663D58"/>
    <w:rsid w:val="659E4D92"/>
    <w:rsid w:val="66810F6F"/>
    <w:rsid w:val="677F37FA"/>
    <w:rsid w:val="67E5BCE3"/>
    <w:rsid w:val="68631A45"/>
    <w:rsid w:val="68965331"/>
    <w:rsid w:val="6C797C7F"/>
    <w:rsid w:val="6CAC6A2D"/>
    <w:rsid w:val="6CB4591E"/>
    <w:rsid w:val="6D8D1C44"/>
    <w:rsid w:val="6D9F4EDF"/>
    <w:rsid w:val="6EC20D58"/>
    <w:rsid w:val="6EFB526F"/>
    <w:rsid w:val="6F5A3D24"/>
    <w:rsid w:val="7093791C"/>
    <w:rsid w:val="70A638CE"/>
    <w:rsid w:val="729F6831"/>
    <w:rsid w:val="76550A4E"/>
    <w:rsid w:val="76E511D0"/>
    <w:rsid w:val="76F5C403"/>
    <w:rsid w:val="79C42722"/>
    <w:rsid w:val="79F530BD"/>
    <w:rsid w:val="7A7DF355"/>
    <w:rsid w:val="7C4D1A98"/>
    <w:rsid w:val="7CA91F08"/>
    <w:rsid w:val="7F4D213E"/>
    <w:rsid w:val="8FFA94FA"/>
    <w:rsid w:val="E1FA2880"/>
    <w:rsid w:val="EFFD0E09"/>
    <w:rsid w:val="FFB8B634"/>
    <w:rsid w:val="FFB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1022</Characters>
  <Lines>7</Lines>
  <Paragraphs>2</Paragraphs>
  <TotalTime>16</TotalTime>
  <ScaleCrop>false</ScaleCrop>
  <LinksUpToDate>false</LinksUpToDate>
  <CharactersWithSpaces>1022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2021-11-13T04:08:00Z</dcterms:created>
  <dc:creator>Administrator</dc:creator>
  <cp:lastModifiedBy>uos</cp:lastModifiedBy>
  <cp:lastPrinted>2023-01-20T07:37:00Z</cp:lastPrinted>
  <dcterms:modified xsi:type="dcterms:W3CDTF">2023-01-19T10:04:11Z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9EED327D42A14B4EA238E1AF29AC460C</vt:lpwstr>
  </property>
</Properties>
</file>