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600" w:lineRule="exact"/>
        <w:jc w:val="center"/>
        <w:rPr>
          <w:kern w:val="0"/>
          <w:sz w:val="30"/>
          <w:szCs w:val="30"/>
        </w:rPr>
      </w:pPr>
      <w:bookmarkStart w:id="0" w:name="_Toc15874"/>
      <w:bookmarkStart w:id="1" w:name="_Toc9381_WPSOffice_Level2"/>
      <w:bookmarkStart w:id="2" w:name="_Toc100"/>
      <w:bookmarkStart w:id="3" w:name="_Toc13460"/>
      <w:bookmarkStart w:id="4" w:name="_Toc15643"/>
      <w:bookmarkStart w:id="5" w:name="_Toc9876"/>
    </w:p>
    <w:p>
      <w:pPr>
        <w:pStyle w:val="7"/>
        <w:rPr>
          <w:szCs w:val="30"/>
        </w:rPr>
      </w:pPr>
    </w:p>
    <w:p>
      <w:pPr>
        <w:autoSpaceDE w:val="0"/>
        <w:autoSpaceDN w:val="0"/>
        <w:adjustRightInd w:val="0"/>
        <w:spacing w:line="600" w:lineRule="exact"/>
        <w:jc w:val="center"/>
        <w:rPr>
          <w:kern w:val="0"/>
          <w:sz w:val="30"/>
          <w:szCs w:val="30"/>
        </w:rPr>
      </w:pPr>
    </w:p>
    <w:p>
      <w:pPr>
        <w:autoSpaceDE w:val="0"/>
        <w:autoSpaceDN w:val="0"/>
        <w:adjustRightInd w:val="0"/>
        <w:spacing w:line="600" w:lineRule="exact"/>
        <w:jc w:val="center"/>
        <w:rPr>
          <w:kern w:val="0"/>
          <w:sz w:val="30"/>
          <w:szCs w:val="30"/>
        </w:rPr>
      </w:pPr>
      <w:r>
        <w:rPr>
          <w:rFonts w:hint="eastAsia"/>
          <w:kern w:val="0"/>
          <w:sz w:val="30"/>
          <w:szCs w:val="30"/>
        </w:rPr>
        <w:t>运城市人力资源和社会保障局</w:t>
      </w:r>
    </w:p>
    <w:p>
      <w:pPr>
        <w:autoSpaceDE w:val="0"/>
        <w:autoSpaceDN w:val="0"/>
        <w:adjustRightInd w:val="0"/>
        <w:spacing w:line="600" w:lineRule="exact"/>
        <w:jc w:val="center"/>
        <w:rPr>
          <w:kern w:val="0"/>
          <w:sz w:val="30"/>
          <w:szCs w:val="30"/>
        </w:rPr>
      </w:pPr>
      <w:r>
        <w:rPr>
          <w:rFonts w:hint="eastAsia"/>
          <w:kern w:val="0"/>
          <w:sz w:val="30"/>
          <w:szCs w:val="30"/>
        </w:rPr>
        <w:t>2021年部门整体支出绩效评价报告</w:t>
      </w:r>
    </w:p>
    <w:p>
      <w:pPr>
        <w:autoSpaceDE w:val="0"/>
        <w:autoSpaceDN w:val="0"/>
        <w:adjustRightInd w:val="0"/>
        <w:spacing w:line="360" w:lineRule="auto"/>
        <w:jc w:val="center"/>
        <w:rPr>
          <w:kern w:val="0"/>
          <w:sz w:val="30"/>
          <w:szCs w:val="30"/>
        </w:rPr>
      </w:pPr>
    </w:p>
    <w:p>
      <w:pPr>
        <w:autoSpaceDE w:val="0"/>
        <w:autoSpaceDN w:val="0"/>
        <w:adjustRightInd w:val="0"/>
        <w:spacing w:line="360" w:lineRule="auto"/>
        <w:jc w:val="center"/>
        <w:rPr>
          <w:kern w:val="0"/>
          <w:sz w:val="30"/>
          <w:szCs w:val="30"/>
        </w:rPr>
      </w:pPr>
    </w:p>
    <w:p>
      <w:pPr>
        <w:autoSpaceDE w:val="0"/>
        <w:autoSpaceDN w:val="0"/>
        <w:adjustRightInd w:val="0"/>
        <w:spacing w:line="360" w:lineRule="auto"/>
        <w:jc w:val="center"/>
        <w:rPr>
          <w:kern w:val="0"/>
          <w:sz w:val="30"/>
          <w:szCs w:val="30"/>
        </w:rPr>
      </w:pPr>
    </w:p>
    <w:p>
      <w:pPr>
        <w:autoSpaceDE w:val="0"/>
        <w:autoSpaceDN w:val="0"/>
        <w:adjustRightInd w:val="0"/>
        <w:spacing w:line="360" w:lineRule="auto"/>
        <w:jc w:val="center"/>
        <w:rPr>
          <w:kern w:val="0"/>
          <w:sz w:val="30"/>
          <w:szCs w:val="30"/>
        </w:rPr>
      </w:pPr>
    </w:p>
    <w:p>
      <w:pPr>
        <w:autoSpaceDE w:val="0"/>
        <w:autoSpaceDN w:val="0"/>
        <w:adjustRightInd w:val="0"/>
        <w:spacing w:line="360" w:lineRule="auto"/>
        <w:jc w:val="center"/>
        <w:rPr>
          <w:kern w:val="0"/>
          <w:sz w:val="30"/>
          <w:szCs w:val="30"/>
        </w:rPr>
      </w:pPr>
    </w:p>
    <w:p>
      <w:pPr>
        <w:autoSpaceDE w:val="0"/>
        <w:autoSpaceDN w:val="0"/>
        <w:adjustRightInd w:val="0"/>
        <w:spacing w:line="360" w:lineRule="auto"/>
        <w:jc w:val="center"/>
        <w:rPr>
          <w:kern w:val="0"/>
          <w:sz w:val="30"/>
          <w:szCs w:val="30"/>
        </w:rPr>
      </w:pPr>
    </w:p>
    <w:p>
      <w:pPr>
        <w:spacing w:before="120" w:after="120" w:line="600" w:lineRule="exact"/>
        <w:ind w:firstLine="900" w:firstLineChars="300"/>
        <w:rPr>
          <w:kern w:val="0"/>
          <w:sz w:val="30"/>
          <w:szCs w:val="30"/>
        </w:rPr>
      </w:pPr>
      <w:r>
        <w:rPr>
          <w:rFonts w:hint="eastAsia"/>
          <w:kern w:val="0"/>
          <w:sz w:val="30"/>
          <w:szCs w:val="30"/>
        </w:rPr>
        <w:t>被评价单位</w:t>
      </w:r>
      <w:r>
        <w:rPr>
          <w:kern w:val="0"/>
          <w:sz w:val="30"/>
          <w:szCs w:val="30"/>
        </w:rPr>
        <w:t>：</w:t>
      </w:r>
      <w:r>
        <w:rPr>
          <w:rFonts w:hint="eastAsia"/>
          <w:kern w:val="0"/>
          <w:sz w:val="30"/>
          <w:szCs w:val="30"/>
        </w:rPr>
        <w:t>运城市人力资源和社会保障局</w:t>
      </w:r>
    </w:p>
    <w:p>
      <w:pPr>
        <w:spacing w:before="120" w:after="120" w:line="600" w:lineRule="exact"/>
        <w:ind w:firstLine="900" w:firstLineChars="300"/>
        <w:rPr>
          <w:kern w:val="0"/>
          <w:sz w:val="30"/>
          <w:szCs w:val="30"/>
        </w:rPr>
      </w:pPr>
      <w:r>
        <w:rPr>
          <w:kern w:val="0"/>
          <w:sz w:val="30"/>
          <w:szCs w:val="30"/>
        </w:rPr>
        <w:t>委托单位：</w:t>
      </w:r>
      <w:r>
        <w:rPr>
          <w:rFonts w:hint="eastAsia"/>
          <w:kern w:val="0"/>
          <w:sz w:val="30"/>
          <w:szCs w:val="30"/>
        </w:rPr>
        <w:t>运城市财政局</w:t>
      </w:r>
    </w:p>
    <w:p>
      <w:pPr>
        <w:spacing w:before="120" w:after="120" w:line="600" w:lineRule="exact"/>
        <w:ind w:firstLine="900" w:firstLineChars="300"/>
        <w:rPr>
          <w:kern w:val="0"/>
          <w:sz w:val="30"/>
          <w:szCs w:val="30"/>
        </w:rPr>
      </w:pPr>
      <w:r>
        <w:rPr>
          <w:kern w:val="0"/>
          <w:sz w:val="30"/>
          <w:szCs w:val="30"/>
        </w:rPr>
        <w:t>评价机构：</w:t>
      </w:r>
      <w:r>
        <w:rPr>
          <w:rFonts w:hint="eastAsia"/>
          <w:kern w:val="0"/>
          <w:sz w:val="30"/>
          <w:szCs w:val="30"/>
        </w:rPr>
        <w:t>山西高盛新会计师事务所有限公司</w:t>
      </w:r>
    </w:p>
    <w:p>
      <w:pPr>
        <w:autoSpaceDE w:val="0"/>
        <w:autoSpaceDN w:val="0"/>
        <w:adjustRightInd w:val="0"/>
        <w:spacing w:line="360" w:lineRule="auto"/>
        <w:ind w:firstLine="900" w:firstLineChars="300"/>
        <w:rPr>
          <w:kern w:val="0"/>
          <w:sz w:val="30"/>
          <w:szCs w:val="30"/>
        </w:rPr>
      </w:pPr>
      <w:r>
        <w:rPr>
          <w:rFonts w:hint="eastAsia"/>
          <w:bCs/>
          <w:kern w:val="0"/>
          <w:sz w:val="30"/>
          <w:szCs w:val="30"/>
        </w:rPr>
        <w:t>主评人：李建岭</w:t>
      </w:r>
    </w:p>
    <w:p>
      <w:pPr>
        <w:autoSpaceDE w:val="0"/>
        <w:autoSpaceDN w:val="0"/>
        <w:adjustRightInd w:val="0"/>
        <w:spacing w:line="360" w:lineRule="auto"/>
        <w:jc w:val="center"/>
        <w:rPr>
          <w:kern w:val="0"/>
          <w:sz w:val="30"/>
          <w:szCs w:val="30"/>
        </w:rPr>
      </w:pPr>
    </w:p>
    <w:p>
      <w:pPr>
        <w:autoSpaceDE w:val="0"/>
        <w:autoSpaceDN w:val="0"/>
        <w:adjustRightInd w:val="0"/>
        <w:spacing w:line="360" w:lineRule="auto"/>
        <w:jc w:val="center"/>
        <w:rPr>
          <w:kern w:val="0"/>
          <w:sz w:val="30"/>
          <w:szCs w:val="30"/>
        </w:rPr>
      </w:pPr>
    </w:p>
    <w:p>
      <w:pPr>
        <w:autoSpaceDE w:val="0"/>
        <w:autoSpaceDN w:val="0"/>
        <w:adjustRightInd w:val="0"/>
        <w:spacing w:line="360" w:lineRule="auto"/>
        <w:jc w:val="center"/>
        <w:rPr>
          <w:kern w:val="0"/>
          <w:sz w:val="30"/>
          <w:szCs w:val="30"/>
        </w:rPr>
      </w:pPr>
    </w:p>
    <w:p>
      <w:pPr>
        <w:autoSpaceDE w:val="0"/>
        <w:autoSpaceDN w:val="0"/>
        <w:adjustRightInd w:val="0"/>
        <w:spacing w:line="360" w:lineRule="auto"/>
        <w:jc w:val="center"/>
        <w:rPr>
          <w:kern w:val="0"/>
          <w:sz w:val="30"/>
          <w:szCs w:val="30"/>
        </w:rPr>
      </w:pPr>
    </w:p>
    <w:p>
      <w:pPr>
        <w:autoSpaceDE w:val="0"/>
        <w:autoSpaceDN w:val="0"/>
        <w:adjustRightInd w:val="0"/>
        <w:spacing w:line="360" w:lineRule="auto"/>
        <w:jc w:val="center"/>
        <w:rPr>
          <w:kern w:val="0"/>
          <w:sz w:val="30"/>
          <w:szCs w:val="30"/>
        </w:rPr>
      </w:pPr>
      <w:r>
        <w:rPr>
          <w:rFonts w:hint="eastAsia"/>
          <w:kern w:val="0"/>
          <w:sz w:val="30"/>
          <w:szCs w:val="30"/>
        </w:rPr>
        <w:t>2022年9月30日</w:t>
      </w:r>
    </w:p>
    <w:p>
      <w:pPr>
        <w:pStyle w:val="13"/>
        <w:tabs>
          <w:tab w:val="right" w:leader="dot" w:pos="8306"/>
        </w:tabs>
        <w:jc w:val="center"/>
        <w:rPr>
          <w:b/>
          <w:bCs/>
          <w:sz w:val="44"/>
          <w:szCs w:val="44"/>
        </w:rPr>
        <w:sectPr>
          <w:footerReference r:id="rId3" w:type="default"/>
          <w:pgSz w:w="11906" w:h="16838"/>
          <w:pgMar w:top="1440" w:right="1800" w:bottom="1440" w:left="1800" w:header="851" w:footer="992" w:gutter="0"/>
          <w:pgNumType w:start="1"/>
          <w:cols w:space="425" w:num="1"/>
          <w:docGrid w:type="lines" w:linePitch="312" w:charSpace="0"/>
        </w:sectPr>
      </w:pPr>
    </w:p>
    <w:sdt>
      <w:sdtPr>
        <w:rPr>
          <w:rFonts w:hint="eastAsia" w:ascii="仿宋_GB2312" w:eastAsia="仿宋_GB2312"/>
          <w:b/>
          <w:bCs/>
          <w:sz w:val="44"/>
          <w:szCs w:val="44"/>
        </w:rPr>
        <w:id w:val="147463823"/>
        <w:docPartObj>
          <w:docPartGallery w:val="Table of Contents"/>
          <w:docPartUnique/>
        </w:docPartObj>
      </w:sdtPr>
      <w:sdtEndPr>
        <w:rPr>
          <w:rFonts w:hint="eastAsia" w:ascii="仿宋_GB2312" w:eastAsia="仿宋_GB2312"/>
          <w:b/>
          <w:bCs/>
          <w:sz w:val="30"/>
          <w:szCs w:val="28"/>
        </w:rPr>
      </w:sdtEndPr>
      <w:sdtContent>
        <w:p>
          <w:pPr>
            <w:spacing w:line="480" w:lineRule="exact"/>
            <w:jc w:val="center"/>
            <w:rPr>
              <w:b/>
              <w:bCs/>
              <w:sz w:val="44"/>
              <w:szCs w:val="44"/>
            </w:rPr>
          </w:pPr>
          <w:r>
            <w:rPr>
              <w:rFonts w:hint="eastAsia"/>
              <w:b/>
              <w:bCs/>
              <w:sz w:val="44"/>
              <w:szCs w:val="44"/>
            </w:rPr>
            <w:t>目  录</w:t>
          </w:r>
        </w:p>
        <w:p>
          <w:pPr>
            <w:pStyle w:val="13"/>
            <w:tabs>
              <w:tab w:val="right" w:leader="dot" w:pos="8504"/>
            </w:tabs>
            <w:spacing w:line="560" w:lineRule="exact"/>
            <w:rPr>
              <w:sz w:val="28"/>
            </w:rPr>
          </w:pPr>
          <w:r>
            <w:rPr>
              <w:rFonts w:hint="eastAsia"/>
              <w:sz w:val="24"/>
              <w:szCs w:val="24"/>
            </w:rPr>
            <w:fldChar w:fldCharType="begin"/>
          </w:r>
          <w:r>
            <w:rPr>
              <w:rFonts w:hint="eastAsia"/>
              <w:sz w:val="24"/>
              <w:szCs w:val="24"/>
            </w:rPr>
            <w:instrText xml:space="preserve">TOC \o "1-2" \h \u </w:instrText>
          </w:r>
          <w:r>
            <w:rPr>
              <w:rFonts w:hint="eastAsia"/>
              <w:sz w:val="24"/>
              <w:szCs w:val="24"/>
            </w:rPr>
            <w:fldChar w:fldCharType="separate"/>
          </w:r>
          <w:r>
            <w:fldChar w:fldCharType="begin"/>
          </w:r>
          <w:r>
            <w:instrText xml:space="preserve"> HYPERLINK \l "_Toc8803" </w:instrText>
          </w:r>
          <w:r>
            <w:fldChar w:fldCharType="separate"/>
          </w:r>
          <w:r>
            <w:rPr>
              <w:rFonts w:hint="eastAsia"/>
              <w:sz w:val="28"/>
            </w:rPr>
            <w:t>摘 要</w:t>
          </w:r>
          <w:r>
            <w:rPr>
              <w:sz w:val="28"/>
            </w:rPr>
            <w:tab/>
          </w:r>
          <w:r>
            <w:rPr>
              <w:sz w:val="28"/>
            </w:rPr>
            <w:fldChar w:fldCharType="begin"/>
          </w:r>
          <w:r>
            <w:rPr>
              <w:sz w:val="28"/>
            </w:rPr>
            <w:instrText xml:space="preserve"> PAGEREF _Toc8803 \h </w:instrText>
          </w:r>
          <w:r>
            <w:rPr>
              <w:sz w:val="28"/>
            </w:rPr>
            <w:fldChar w:fldCharType="separate"/>
          </w:r>
          <w:r>
            <w:rPr>
              <w:sz w:val="28"/>
            </w:rPr>
            <w:t>1</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"_Toc28698" </w:instrText>
          </w:r>
          <w:r>
            <w:fldChar w:fldCharType="separate"/>
          </w:r>
          <w:r>
            <w:rPr>
              <w:rFonts w:hint="eastAsia"/>
              <w:sz w:val="28"/>
            </w:rPr>
            <w:t>绩效评价报告</w:t>
          </w:r>
          <w:r>
            <w:rPr>
              <w:sz w:val="28"/>
            </w:rPr>
            <w:tab/>
          </w:r>
          <w:r>
            <w:rPr>
              <w:sz w:val="28"/>
            </w:rPr>
            <w:fldChar w:fldCharType="begin"/>
          </w:r>
          <w:r>
            <w:rPr>
              <w:sz w:val="28"/>
            </w:rPr>
            <w:instrText xml:space="preserve"> PAGEREF _Toc28698 \h </w:instrText>
          </w:r>
          <w:r>
            <w:rPr>
              <w:sz w:val="28"/>
            </w:rPr>
            <w:fldChar w:fldCharType="separate"/>
          </w:r>
          <w:r>
            <w:rPr>
              <w:sz w:val="28"/>
            </w:rPr>
            <w:t>7</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"_Toc32029" </w:instrText>
          </w:r>
          <w:r>
            <w:fldChar w:fldCharType="separate"/>
          </w:r>
          <w:r>
            <w:rPr>
              <w:rFonts w:hint="eastAsia"/>
              <w:sz w:val="28"/>
            </w:rPr>
            <w:t>一、部门概况</w:t>
          </w:r>
          <w:r>
            <w:rPr>
              <w:sz w:val="28"/>
            </w:rPr>
            <w:tab/>
          </w:r>
          <w:r>
            <w:rPr>
              <w:sz w:val="28"/>
            </w:rPr>
            <w:fldChar w:fldCharType="begin"/>
          </w:r>
          <w:r>
            <w:rPr>
              <w:sz w:val="28"/>
            </w:rPr>
            <w:instrText xml:space="preserve"> PAGEREF _Toc32029 \h </w:instrText>
          </w:r>
          <w:r>
            <w:rPr>
              <w:sz w:val="28"/>
            </w:rPr>
            <w:fldChar w:fldCharType="separate"/>
          </w:r>
          <w:r>
            <w:rPr>
              <w:sz w:val="28"/>
            </w:rPr>
            <w:t>7</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"_Toc19725" </w:instrText>
          </w:r>
          <w:r>
            <w:fldChar w:fldCharType="separate"/>
          </w:r>
          <w:r>
            <w:rPr>
              <w:rFonts w:hint="eastAsia"/>
              <w:sz w:val="28"/>
            </w:rPr>
            <w:t>（一）部门基本情况</w:t>
          </w:r>
          <w:r>
            <w:rPr>
              <w:sz w:val="28"/>
            </w:rPr>
            <w:tab/>
          </w:r>
          <w:r>
            <w:rPr>
              <w:sz w:val="28"/>
            </w:rPr>
            <w:fldChar w:fldCharType="begin"/>
          </w:r>
          <w:r>
            <w:rPr>
              <w:sz w:val="28"/>
            </w:rPr>
            <w:instrText xml:space="preserve"> PAGEREF _Toc19725 \h </w:instrText>
          </w:r>
          <w:r>
            <w:rPr>
              <w:sz w:val="28"/>
            </w:rPr>
            <w:fldChar w:fldCharType="separate"/>
          </w:r>
          <w:r>
            <w:rPr>
              <w:sz w:val="28"/>
            </w:rPr>
            <w:t>7</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"_Toc11267" </w:instrText>
          </w:r>
          <w:r>
            <w:fldChar w:fldCharType="separate"/>
          </w:r>
          <w:r>
            <w:rPr>
              <w:rFonts w:hint="eastAsia"/>
              <w:sz w:val="28"/>
            </w:rPr>
            <w:t>（二）部门预算收支及结转结余情况</w:t>
          </w:r>
          <w:r>
            <w:rPr>
              <w:sz w:val="28"/>
            </w:rPr>
            <w:tab/>
          </w:r>
          <w:r>
            <w:rPr>
              <w:sz w:val="28"/>
            </w:rPr>
            <w:fldChar w:fldCharType="begin"/>
          </w:r>
          <w:r>
            <w:rPr>
              <w:sz w:val="28"/>
            </w:rPr>
            <w:instrText xml:space="preserve"> PAGEREF _Toc11267 \h </w:instrText>
          </w:r>
          <w:r>
            <w:rPr>
              <w:sz w:val="28"/>
            </w:rPr>
            <w:fldChar w:fldCharType="separate"/>
          </w:r>
          <w:r>
            <w:rPr>
              <w:sz w:val="28"/>
            </w:rPr>
            <w:t>13</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"_Toc18372" </w:instrText>
          </w:r>
          <w:r>
            <w:fldChar w:fldCharType="separate"/>
          </w:r>
          <w:r>
            <w:rPr>
              <w:rFonts w:hint="eastAsia"/>
              <w:sz w:val="28"/>
            </w:rPr>
            <w:t>（三）部门固定资产情况</w:t>
          </w:r>
          <w:r>
            <w:rPr>
              <w:sz w:val="28"/>
            </w:rPr>
            <w:tab/>
          </w:r>
          <w:r>
            <w:rPr>
              <w:sz w:val="28"/>
            </w:rPr>
            <w:fldChar w:fldCharType="begin"/>
          </w:r>
          <w:r>
            <w:rPr>
              <w:sz w:val="28"/>
            </w:rPr>
            <w:instrText xml:space="preserve"> PAGEREF _Toc18372 \h </w:instrText>
          </w:r>
          <w:r>
            <w:rPr>
              <w:sz w:val="28"/>
            </w:rPr>
            <w:fldChar w:fldCharType="separate"/>
          </w:r>
          <w:r>
            <w:rPr>
              <w:sz w:val="28"/>
            </w:rPr>
            <w:t>15</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"_Toc7113" </w:instrText>
          </w:r>
          <w:r>
            <w:fldChar w:fldCharType="separate"/>
          </w:r>
          <w:r>
            <w:rPr>
              <w:rFonts w:hint="eastAsia"/>
              <w:sz w:val="28"/>
            </w:rPr>
            <w:t>（四）2021年部门工作开展情况</w:t>
          </w:r>
          <w:r>
            <w:rPr>
              <w:sz w:val="28"/>
            </w:rPr>
            <w:tab/>
          </w:r>
          <w:r>
            <w:rPr>
              <w:sz w:val="28"/>
            </w:rPr>
            <w:fldChar w:fldCharType="begin"/>
          </w:r>
          <w:r>
            <w:rPr>
              <w:sz w:val="28"/>
            </w:rPr>
            <w:instrText xml:space="preserve"> PAGEREF _Toc7113 \h </w:instrText>
          </w:r>
          <w:r>
            <w:rPr>
              <w:sz w:val="28"/>
            </w:rPr>
            <w:fldChar w:fldCharType="separate"/>
          </w:r>
          <w:r>
            <w:rPr>
              <w:sz w:val="28"/>
            </w:rPr>
            <w:t>16</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"_Toc30289" </w:instrText>
          </w:r>
          <w:r>
            <w:fldChar w:fldCharType="separate"/>
          </w:r>
          <w:r>
            <w:rPr>
              <w:rFonts w:hint="eastAsia"/>
              <w:sz w:val="28"/>
            </w:rPr>
            <w:t>（五）部门整体支出绩效目标</w:t>
          </w:r>
          <w:r>
            <w:rPr>
              <w:sz w:val="28"/>
            </w:rPr>
            <w:tab/>
          </w:r>
          <w:r>
            <w:rPr>
              <w:sz w:val="28"/>
            </w:rPr>
            <w:fldChar w:fldCharType="begin"/>
          </w:r>
          <w:r>
            <w:rPr>
              <w:sz w:val="28"/>
            </w:rPr>
            <w:instrText xml:space="preserve"> PAGEREF _Toc30289 \h </w:instrText>
          </w:r>
          <w:r>
            <w:rPr>
              <w:sz w:val="28"/>
            </w:rPr>
            <w:fldChar w:fldCharType="separate"/>
          </w:r>
          <w:r>
            <w:rPr>
              <w:sz w:val="28"/>
            </w:rPr>
            <w:t>20</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"_Toc15780" </w:instrText>
          </w:r>
          <w:r>
            <w:fldChar w:fldCharType="separate"/>
          </w:r>
          <w:r>
            <w:rPr>
              <w:rFonts w:hint="eastAsia"/>
              <w:sz w:val="28"/>
            </w:rPr>
            <w:t>二、绩效评价工作开展情况</w:t>
          </w:r>
          <w:r>
            <w:rPr>
              <w:sz w:val="28"/>
            </w:rPr>
            <w:tab/>
          </w:r>
          <w:r>
            <w:rPr>
              <w:sz w:val="28"/>
            </w:rPr>
            <w:fldChar w:fldCharType="begin"/>
          </w:r>
          <w:r>
            <w:rPr>
              <w:sz w:val="28"/>
            </w:rPr>
            <w:instrText xml:space="preserve"> PAGEREF _Toc15780 \h </w:instrText>
          </w:r>
          <w:r>
            <w:rPr>
              <w:sz w:val="28"/>
            </w:rPr>
            <w:fldChar w:fldCharType="separate"/>
          </w:r>
          <w:r>
            <w:rPr>
              <w:sz w:val="28"/>
            </w:rPr>
            <w:t>21</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"_Toc4824" </w:instrText>
          </w:r>
          <w:r>
            <w:fldChar w:fldCharType="separate"/>
          </w:r>
          <w:r>
            <w:rPr>
              <w:rFonts w:hint="eastAsia"/>
              <w:sz w:val="28"/>
            </w:rPr>
            <w:t>（一）绩效评价的目的和依据</w:t>
          </w:r>
          <w:r>
            <w:rPr>
              <w:sz w:val="28"/>
            </w:rPr>
            <w:tab/>
          </w:r>
          <w:r>
            <w:rPr>
              <w:sz w:val="28"/>
            </w:rPr>
            <w:fldChar w:fldCharType="begin"/>
          </w:r>
          <w:r>
            <w:rPr>
              <w:sz w:val="28"/>
            </w:rPr>
            <w:instrText xml:space="preserve"> PAGEREF _Toc4824 \h </w:instrText>
          </w:r>
          <w:r>
            <w:rPr>
              <w:sz w:val="28"/>
            </w:rPr>
            <w:fldChar w:fldCharType="separate"/>
          </w:r>
          <w:r>
            <w:rPr>
              <w:sz w:val="28"/>
            </w:rPr>
            <w:t>21</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"_Toc16866" </w:instrText>
          </w:r>
          <w:r>
            <w:fldChar w:fldCharType="separate"/>
          </w:r>
          <w:r>
            <w:rPr>
              <w:rFonts w:hint="eastAsia"/>
              <w:sz w:val="28"/>
            </w:rPr>
            <w:t>（二）绩效评价的对象和范围</w:t>
          </w:r>
          <w:r>
            <w:rPr>
              <w:sz w:val="28"/>
            </w:rPr>
            <w:tab/>
          </w:r>
          <w:r>
            <w:rPr>
              <w:sz w:val="28"/>
            </w:rPr>
            <w:fldChar w:fldCharType="begin"/>
          </w:r>
          <w:r>
            <w:rPr>
              <w:sz w:val="28"/>
            </w:rPr>
            <w:instrText xml:space="preserve"> PAGEREF _Toc16866 \h </w:instrText>
          </w:r>
          <w:r>
            <w:rPr>
              <w:sz w:val="28"/>
            </w:rPr>
            <w:fldChar w:fldCharType="separate"/>
          </w:r>
          <w:r>
            <w:rPr>
              <w:sz w:val="28"/>
            </w:rPr>
            <w:t>22</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"_Toc22597" </w:instrText>
          </w:r>
          <w:r>
            <w:fldChar w:fldCharType="separate"/>
          </w:r>
          <w:r>
            <w:rPr>
              <w:rFonts w:hint="eastAsia"/>
              <w:sz w:val="28"/>
            </w:rPr>
            <w:t>（三）绩效评价原则</w:t>
          </w:r>
          <w:r>
            <w:rPr>
              <w:sz w:val="28"/>
            </w:rPr>
            <w:tab/>
          </w:r>
          <w:r>
            <w:rPr>
              <w:sz w:val="28"/>
            </w:rPr>
            <w:fldChar w:fldCharType="begin"/>
          </w:r>
          <w:r>
            <w:rPr>
              <w:sz w:val="28"/>
            </w:rPr>
            <w:instrText xml:space="preserve"> PAGEREF _Toc22597 \h </w:instrText>
          </w:r>
          <w:r>
            <w:rPr>
              <w:sz w:val="28"/>
            </w:rPr>
            <w:fldChar w:fldCharType="separate"/>
          </w:r>
          <w:r>
            <w:rPr>
              <w:sz w:val="28"/>
            </w:rPr>
            <w:t>22</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"_Toc23624" </w:instrText>
          </w:r>
          <w:r>
            <w:fldChar w:fldCharType="separate"/>
          </w:r>
          <w:r>
            <w:rPr>
              <w:rFonts w:hint="eastAsia"/>
              <w:sz w:val="28"/>
            </w:rPr>
            <w:t>（四）绩效评价方法</w:t>
          </w:r>
          <w:r>
            <w:rPr>
              <w:sz w:val="28"/>
            </w:rPr>
            <w:tab/>
          </w:r>
          <w:r>
            <w:rPr>
              <w:sz w:val="28"/>
            </w:rPr>
            <w:fldChar w:fldCharType="begin"/>
          </w:r>
          <w:r>
            <w:rPr>
              <w:sz w:val="28"/>
            </w:rPr>
            <w:instrText xml:space="preserve"> PAGEREF _Toc23624 \h </w:instrText>
          </w:r>
          <w:r>
            <w:rPr>
              <w:sz w:val="28"/>
            </w:rPr>
            <w:fldChar w:fldCharType="separate"/>
          </w:r>
          <w:r>
            <w:rPr>
              <w:sz w:val="28"/>
            </w:rPr>
            <w:t>23</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"_Toc9637" </w:instrText>
          </w:r>
          <w:r>
            <w:fldChar w:fldCharType="separate"/>
          </w:r>
          <w:r>
            <w:rPr>
              <w:rFonts w:hint="eastAsia"/>
              <w:sz w:val="28"/>
            </w:rPr>
            <w:t>（五）绩效评价的指标体系</w:t>
          </w:r>
          <w:r>
            <w:rPr>
              <w:sz w:val="28"/>
            </w:rPr>
            <w:tab/>
          </w:r>
          <w:r>
            <w:rPr>
              <w:sz w:val="28"/>
            </w:rPr>
            <w:fldChar w:fldCharType="begin"/>
          </w:r>
          <w:r>
            <w:rPr>
              <w:sz w:val="28"/>
            </w:rPr>
            <w:instrText xml:space="preserve"> PAGEREF _Toc9637 \h </w:instrText>
          </w:r>
          <w:r>
            <w:rPr>
              <w:sz w:val="28"/>
            </w:rPr>
            <w:fldChar w:fldCharType="separate"/>
          </w:r>
          <w:r>
            <w:rPr>
              <w:sz w:val="28"/>
            </w:rPr>
            <w:t>23</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"_Toc2189" </w:instrText>
          </w:r>
          <w:r>
            <w:fldChar w:fldCharType="separate"/>
          </w:r>
          <w:r>
            <w:rPr>
              <w:rFonts w:hint="eastAsia"/>
              <w:sz w:val="28"/>
            </w:rPr>
            <w:t>（六）绩效评价工作组及人员分工</w:t>
          </w:r>
          <w:r>
            <w:rPr>
              <w:sz w:val="28"/>
            </w:rPr>
            <w:tab/>
          </w:r>
          <w:r>
            <w:rPr>
              <w:sz w:val="28"/>
            </w:rPr>
            <w:fldChar w:fldCharType="begin"/>
          </w:r>
          <w:r>
            <w:rPr>
              <w:sz w:val="28"/>
            </w:rPr>
            <w:instrText xml:space="preserve"> PAGEREF _Toc2189 \h </w:instrText>
          </w:r>
          <w:r>
            <w:rPr>
              <w:sz w:val="28"/>
            </w:rPr>
            <w:fldChar w:fldCharType="separate"/>
          </w:r>
          <w:r>
            <w:rPr>
              <w:sz w:val="28"/>
            </w:rPr>
            <w:t>25</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"_Toc9547" </w:instrText>
          </w:r>
          <w:r>
            <w:fldChar w:fldCharType="separate"/>
          </w:r>
          <w:r>
            <w:rPr>
              <w:rFonts w:hint="eastAsia"/>
              <w:sz w:val="28"/>
            </w:rPr>
            <w:t>（七）绩效评价工作过程</w:t>
          </w:r>
          <w:r>
            <w:rPr>
              <w:sz w:val="28"/>
            </w:rPr>
            <w:tab/>
          </w:r>
          <w:r>
            <w:rPr>
              <w:sz w:val="28"/>
            </w:rPr>
            <w:fldChar w:fldCharType="begin"/>
          </w:r>
          <w:r>
            <w:rPr>
              <w:sz w:val="28"/>
            </w:rPr>
            <w:instrText xml:space="preserve"> PAGEREF _Toc9547 \h </w:instrText>
          </w:r>
          <w:r>
            <w:rPr>
              <w:sz w:val="28"/>
            </w:rPr>
            <w:fldChar w:fldCharType="separate"/>
          </w:r>
          <w:r>
            <w:rPr>
              <w:sz w:val="28"/>
            </w:rPr>
            <w:t>25</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"_Toc14174" </w:instrText>
          </w:r>
          <w:r>
            <w:fldChar w:fldCharType="separate"/>
          </w:r>
          <w:r>
            <w:rPr>
              <w:rFonts w:hint="eastAsia"/>
              <w:sz w:val="28"/>
            </w:rPr>
            <w:t>三、绩效评价结论</w:t>
          </w:r>
          <w:r>
            <w:rPr>
              <w:sz w:val="28"/>
            </w:rPr>
            <w:tab/>
          </w:r>
          <w:r>
            <w:rPr>
              <w:sz w:val="28"/>
            </w:rPr>
            <w:fldChar w:fldCharType="begin"/>
          </w:r>
          <w:r>
            <w:rPr>
              <w:sz w:val="28"/>
            </w:rPr>
            <w:instrText xml:space="preserve"> PAGEREF _Toc14174 \h </w:instrText>
          </w:r>
          <w:r>
            <w:rPr>
              <w:sz w:val="28"/>
            </w:rPr>
            <w:fldChar w:fldCharType="separate"/>
          </w:r>
          <w:r>
            <w:rPr>
              <w:sz w:val="28"/>
            </w:rPr>
            <w:t>27</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"_Toc24110" </w:instrText>
          </w:r>
          <w:r>
            <w:fldChar w:fldCharType="separate"/>
          </w:r>
          <w:r>
            <w:rPr>
              <w:rFonts w:hint="eastAsia"/>
              <w:sz w:val="28"/>
            </w:rPr>
            <w:t>（一）评价结论</w:t>
          </w:r>
          <w:r>
            <w:rPr>
              <w:sz w:val="28"/>
            </w:rPr>
            <w:tab/>
          </w:r>
          <w:r>
            <w:rPr>
              <w:sz w:val="28"/>
            </w:rPr>
            <w:fldChar w:fldCharType="begin"/>
          </w:r>
          <w:r>
            <w:rPr>
              <w:sz w:val="28"/>
            </w:rPr>
            <w:instrText xml:space="preserve"> PAGEREF _Toc24110 \h </w:instrText>
          </w:r>
          <w:r>
            <w:rPr>
              <w:sz w:val="28"/>
            </w:rPr>
            <w:fldChar w:fldCharType="separate"/>
          </w:r>
          <w:r>
            <w:rPr>
              <w:sz w:val="28"/>
            </w:rPr>
            <w:t>27</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"_Toc20689" </w:instrText>
          </w:r>
          <w:r>
            <w:fldChar w:fldCharType="separate"/>
          </w:r>
          <w:r>
            <w:rPr>
              <w:rFonts w:hint="eastAsia"/>
              <w:sz w:val="28"/>
            </w:rPr>
            <w:t>（二）绩效评价指标分析</w:t>
          </w:r>
          <w:r>
            <w:rPr>
              <w:sz w:val="28"/>
            </w:rPr>
            <w:tab/>
          </w:r>
          <w:r>
            <w:rPr>
              <w:sz w:val="28"/>
            </w:rPr>
            <w:fldChar w:fldCharType="begin"/>
          </w:r>
          <w:r>
            <w:rPr>
              <w:sz w:val="28"/>
            </w:rPr>
            <w:instrText xml:space="preserve"> PAGEREF _Toc20689 \h </w:instrText>
          </w:r>
          <w:r>
            <w:rPr>
              <w:sz w:val="28"/>
            </w:rPr>
            <w:fldChar w:fldCharType="separate"/>
          </w:r>
          <w:r>
            <w:rPr>
              <w:sz w:val="28"/>
            </w:rPr>
            <w:t>28</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"_Toc2338" </w:instrText>
          </w:r>
          <w:r>
            <w:fldChar w:fldCharType="separate"/>
          </w:r>
          <w:r>
            <w:rPr>
              <w:rFonts w:hint="eastAsia"/>
              <w:sz w:val="28"/>
            </w:rPr>
            <w:t>四、绩效评价结果应用建议</w:t>
          </w:r>
          <w:r>
            <w:rPr>
              <w:sz w:val="28"/>
            </w:rPr>
            <w:tab/>
          </w:r>
          <w:r>
            <w:rPr>
              <w:sz w:val="28"/>
            </w:rPr>
            <w:fldChar w:fldCharType="begin"/>
          </w:r>
          <w:r>
            <w:rPr>
              <w:sz w:val="28"/>
            </w:rPr>
            <w:instrText xml:space="preserve"> PAGEREF _Toc2338 \h </w:instrText>
          </w:r>
          <w:r>
            <w:rPr>
              <w:sz w:val="28"/>
            </w:rPr>
            <w:fldChar w:fldCharType="separate"/>
          </w:r>
          <w:r>
            <w:rPr>
              <w:sz w:val="28"/>
            </w:rPr>
            <w:t>48</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"_Toc7991" </w:instrText>
          </w:r>
          <w:r>
            <w:fldChar w:fldCharType="separate"/>
          </w:r>
          <w:r>
            <w:rPr>
              <w:rFonts w:hint="eastAsia"/>
              <w:sz w:val="28"/>
            </w:rPr>
            <w:t>五、主要做法、存在的问题和建议</w:t>
          </w:r>
          <w:r>
            <w:rPr>
              <w:sz w:val="28"/>
            </w:rPr>
            <w:tab/>
          </w:r>
          <w:r>
            <w:rPr>
              <w:sz w:val="28"/>
            </w:rPr>
            <w:fldChar w:fldCharType="begin"/>
          </w:r>
          <w:r>
            <w:rPr>
              <w:sz w:val="28"/>
            </w:rPr>
            <w:instrText xml:space="preserve"> PAGEREF _Toc7991 \h </w:instrText>
          </w:r>
          <w:r>
            <w:rPr>
              <w:sz w:val="28"/>
            </w:rPr>
            <w:fldChar w:fldCharType="separate"/>
          </w:r>
          <w:r>
            <w:rPr>
              <w:sz w:val="28"/>
            </w:rPr>
            <w:t>49</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"_Toc4305" </w:instrText>
          </w:r>
          <w:r>
            <w:fldChar w:fldCharType="separate"/>
          </w:r>
          <w:r>
            <w:rPr>
              <w:rFonts w:hint="eastAsia"/>
              <w:bCs/>
              <w:sz w:val="28"/>
            </w:rPr>
            <w:t>（一）主要经验和做法</w:t>
          </w:r>
          <w:r>
            <w:rPr>
              <w:sz w:val="28"/>
            </w:rPr>
            <w:tab/>
          </w:r>
          <w:r>
            <w:rPr>
              <w:sz w:val="28"/>
            </w:rPr>
            <w:fldChar w:fldCharType="begin"/>
          </w:r>
          <w:r>
            <w:rPr>
              <w:sz w:val="28"/>
            </w:rPr>
            <w:instrText xml:space="preserve"> PAGEREF _Toc4305 \h </w:instrText>
          </w:r>
          <w:r>
            <w:rPr>
              <w:sz w:val="28"/>
            </w:rPr>
            <w:fldChar w:fldCharType="separate"/>
          </w:r>
          <w:r>
            <w:rPr>
              <w:sz w:val="28"/>
            </w:rPr>
            <w:t>49</w:t>
          </w:r>
          <w:r>
            <w:rPr>
              <w:sz w:val="28"/>
            </w:rPr>
            <w:fldChar w:fldCharType="end"/>
          </w:r>
          <w:r>
            <w:rPr>
              <w:sz w:val="28"/>
            </w:rPr>
            <w:fldChar w:fldCharType="end"/>
          </w:r>
        </w:p>
        <w:p>
          <w:pPr>
            <w:pStyle w:val="16"/>
            <w:tabs>
              <w:tab w:val="right" w:leader="dot" w:pos="8504"/>
            </w:tabs>
            <w:spacing w:line="560" w:lineRule="exact"/>
            <w:rPr>
              <w:sz w:val="28"/>
            </w:rPr>
          </w:pPr>
          <w:r>
            <w:fldChar w:fldCharType="begin"/>
          </w:r>
          <w:r>
            <w:instrText xml:space="preserve"> HYPERLINK \l "_Toc3494" </w:instrText>
          </w:r>
          <w:r>
            <w:fldChar w:fldCharType="separate"/>
          </w:r>
          <w:r>
            <w:rPr>
              <w:rFonts w:hint="eastAsia"/>
              <w:bCs/>
              <w:sz w:val="28"/>
            </w:rPr>
            <w:t>（二）存在的问题及建议</w:t>
          </w:r>
          <w:r>
            <w:rPr>
              <w:sz w:val="28"/>
            </w:rPr>
            <w:tab/>
          </w:r>
          <w:r>
            <w:rPr>
              <w:sz w:val="28"/>
            </w:rPr>
            <w:fldChar w:fldCharType="begin"/>
          </w:r>
          <w:r>
            <w:rPr>
              <w:sz w:val="28"/>
            </w:rPr>
            <w:instrText xml:space="preserve"> PAGEREF _Toc3494 \h </w:instrText>
          </w:r>
          <w:r>
            <w:rPr>
              <w:sz w:val="28"/>
            </w:rPr>
            <w:fldChar w:fldCharType="separate"/>
          </w:r>
          <w:r>
            <w:rPr>
              <w:sz w:val="28"/>
            </w:rPr>
            <w:t>49</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"_Toc6828" </w:instrText>
          </w:r>
          <w:r>
            <w:fldChar w:fldCharType="separate"/>
          </w:r>
          <w:r>
            <w:rPr>
              <w:rFonts w:hint="eastAsia"/>
              <w:sz w:val="28"/>
            </w:rPr>
            <w:t>附件1：项目支出资金一览表</w:t>
          </w:r>
          <w:r>
            <w:rPr>
              <w:sz w:val="28"/>
            </w:rPr>
            <w:tab/>
          </w:r>
          <w:r>
            <w:rPr>
              <w:sz w:val="28"/>
            </w:rPr>
            <w:fldChar w:fldCharType="begin"/>
          </w:r>
          <w:r>
            <w:rPr>
              <w:sz w:val="28"/>
            </w:rPr>
            <w:instrText xml:space="preserve"> PAGEREF _Toc6828 \h </w:instrText>
          </w:r>
          <w:r>
            <w:rPr>
              <w:sz w:val="28"/>
            </w:rPr>
            <w:fldChar w:fldCharType="separate"/>
          </w:r>
          <w:r>
            <w:rPr>
              <w:sz w:val="28"/>
            </w:rPr>
            <w:t>52</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"_Toc16313" </w:instrText>
          </w:r>
          <w:r>
            <w:fldChar w:fldCharType="separate"/>
          </w:r>
          <w:r>
            <w:rPr>
              <w:rFonts w:hint="eastAsia"/>
              <w:sz w:val="28"/>
            </w:rPr>
            <w:t>附件2：部门整体支出项目绩效评价指标体系及得分</w:t>
          </w:r>
          <w:r>
            <w:rPr>
              <w:sz w:val="28"/>
            </w:rPr>
            <w:tab/>
          </w:r>
          <w:r>
            <w:rPr>
              <w:sz w:val="28"/>
            </w:rPr>
            <w:fldChar w:fldCharType="begin"/>
          </w:r>
          <w:r>
            <w:rPr>
              <w:sz w:val="28"/>
            </w:rPr>
            <w:instrText xml:space="preserve"> PAGEREF _Toc16313 \h </w:instrText>
          </w:r>
          <w:r>
            <w:rPr>
              <w:sz w:val="28"/>
            </w:rPr>
            <w:fldChar w:fldCharType="separate"/>
          </w:r>
          <w:r>
            <w:rPr>
              <w:sz w:val="28"/>
            </w:rPr>
            <w:t>55</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"_Toc10278" </w:instrText>
          </w:r>
          <w:r>
            <w:fldChar w:fldCharType="separate"/>
          </w:r>
          <w:r>
            <w:rPr>
              <w:rFonts w:hint="eastAsia"/>
              <w:sz w:val="28"/>
            </w:rPr>
            <w:t>附件3:部门基础信息及部门自评情况表</w:t>
          </w:r>
          <w:r>
            <w:rPr>
              <w:sz w:val="28"/>
            </w:rPr>
            <w:tab/>
          </w:r>
          <w:r>
            <w:rPr>
              <w:rFonts w:hint="eastAsia"/>
              <w:sz w:val="28"/>
            </w:rPr>
            <w:t>6</w:t>
          </w:r>
          <w:r>
            <w:rPr>
              <w:rFonts w:hint="eastAsia"/>
              <w:sz w:val="28"/>
            </w:rPr>
            <w:fldChar w:fldCharType="end"/>
          </w:r>
          <w:r>
            <w:rPr>
              <w:rFonts w:hint="eastAsia"/>
              <w:sz w:val="28"/>
            </w:rPr>
            <w:t>4</w:t>
          </w:r>
        </w:p>
        <w:p>
          <w:pPr>
            <w:pStyle w:val="16"/>
            <w:tabs>
              <w:tab w:val="right" w:leader="dot" w:pos="8504"/>
            </w:tabs>
            <w:spacing w:line="560" w:lineRule="exact"/>
            <w:ind w:left="0"/>
            <w:rPr>
              <w:sz w:val="28"/>
            </w:rPr>
          </w:pPr>
          <w:r>
            <w:fldChar w:fldCharType="begin"/>
          </w:r>
          <w:r>
            <w:instrText xml:space="preserve"> HYPERLINK \l "_Toc29775" </w:instrText>
          </w:r>
          <w:r>
            <w:fldChar w:fldCharType="separate"/>
          </w:r>
          <w:r>
            <w:rPr>
              <w:rFonts w:hint="eastAsia"/>
              <w:sz w:val="28"/>
            </w:rPr>
            <w:t>附件4：访谈报告</w:t>
          </w:r>
          <w:r>
            <w:rPr>
              <w:sz w:val="28"/>
            </w:rPr>
            <w:tab/>
          </w:r>
          <w:r>
            <w:rPr>
              <w:sz w:val="28"/>
            </w:rPr>
            <w:fldChar w:fldCharType="begin"/>
          </w:r>
          <w:r>
            <w:rPr>
              <w:sz w:val="28"/>
            </w:rPr>
            <w:instrText xml:space="preserve"> PAGEREF _Toc29775 \h </w:instrText>
          </w:r>
          <w:r>
            <w:rPr>
              <w:sz w:val="28"/>
            </w:rPr>
            <w:fldChar w:fldCharType="separate"/>
          </w:r>
          <w:r>
            <w:rPr>
              <w:sz w:val="28"/>
            </w:rPr>
            <w:t>66</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"_Toc6900" </w:instrText>
          </w:r>
          <w:r>
            <w:fldChar w:fldCharType="separate"/>
          </w:r>
          <w:r>
            <w:rPr>
              <w:rFonts w:hint="eastAsia"/>
              <w:sz w:val="28"/>
            </w:rPr>
            <w:t>附件5：合规性报告</w:t>
          </w:r>
          <w:r>
            <w:rPr>
              <w:sz w:val="28"/>
            </w:rPr>
            <w:tab/>
          </w:r>
          <w:r>
            <w:rPr>
              <w:sz w:val="28"/>
            </w:rPr>
            <w:fldChar w:fldCharType="begin"/>
          </w:r>
          <w:r>
            <w:rPr>
              <w:sz w:val="28"/>
            </w:rPr>
            <w:instrText xml:space="preserve"> PAGEREF _Toc6900 \h </w:instrText>
          </w:r>
          <w:r>
            <w:rPr>
              <w:sz w:val="28"/>
            </w:rPr>
            <w:fldChar w:fldCharType="separate"/>
          </w:r>
          <w:r>
            <w:rPr>
              <w:sz w:val="28"/>
            </w:rPr>
            <w:t>72</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"_Toc29527" </w:instrText>
          </w:r>
          <w:r>
            <w:fldChar w:fldCharType="separate"/>
          </w:r>
          <w:r>
            <w:rPr>
              <w:rFonts w:hint="eastAsia"/>
              <w:bCs/>
              <w:sz w:val="28"/>
            </w:rPr>
            <w:t>附件6：</w:t>
          </w:r>
          <w:r>
            <w:rPr>
              <w:rFonts w:hint="eastAsia"/>
              <w:sz w:val="28"/>
            </w:rPr>
            <w:t>社会调查问卷(服务对象)汇总分析报告</w:t>
          </w:r>
          <w:r>
            <w:rPr>
              <w:sz w:val="28"/>
            </w:rPr>
            <w:tab/>
          </w:r>
          <w:r>
            <w:rPr>
              <w:sz w:val="28"/>
            </w:rPr>
            <w:fldChar w:fldCharType="begin"/>
          </w:r>
          <w:r>
            <w:rPr>
              <w:sz w:val="28"/>
            </w:rPr>
            <w:instrText xml:space="preserve"> PAGEREF _Toc29527 \h </w:instrText>
          </w:r>
          <w:r>
            <w:rPr>
              <w:sz w:val="28"/>
            </w:rPr>
            <w:fldChar w:fldCharType="separate"/>
          </w:r>
          <w:r>
            <w:rPr>
              <w:sz w:val="28"/>
            </w:rPr>
            <w:t>74</w:t>
          </w:r>
          <w:r>
            <w:rPr>
              <w:sz w:val="28"/>
            </w:rPr>
            <w:fldChar w:fldCharType="end"/>
          </w:r>
          <w:r>
            <w:rPr>
              <w:sz w:val="28"/>
            </w:rPr>
            <w:fldChar w:fldCharType="end"/>
          </w:r>
        </w:p>
        <w:p>
          <w:pPr>
            <w:pStyle w:val="13"/>
            <w:tabs>
              <w:tab w:val="right" w:leader="dot" w:pos="8504"/>
            </w:tabs>
            <w:spacing w:line="560" w:lineRule="exact"/>
            <w:rPr>
              <w:sz w:val="28"/>
            </w:rPr>
          </w:pPr>
          <w:r>
            <w:fldChar w:fldCharType="begin"/>
          </w:r>
          <w:r>
            <w:instrText xml:space="preserve"> HYPERLINK \l "_Toc9373" </w:instrText>
          </w:r>
          <w:r>
            <w:fldChar w:fldCharType="separate"/>
          </w:r>
          <w:r>
            <w:rPr>
              <w:rFonts w:hint="eastAsia"/>
              <w:bCs/>
              <w:sz w:val="28"/>
            </w:rPr>
            <w:t>附件7：</w:t>
          </w:r>
          <w:r>
            <w:rPr>
              <w:rFonts w:hint="eastAsia"/>
              <w:sz w:val="28"/>
            </w:rPr>
            <w:t>社会调查问卷(管理对象)汇总分析报告</w:t>
          </w:r>
          <w:r>
            <w:rPr>
              <w:sz w:val="28"/>
            </w:rPr>
            <w:tab/>
          </w:r>
          <w:r>
            <w:rPr>
              <w:sz w:val="28"/>
            </w:rPr>
            <w:fldChar w:fldCharType="begin"/>
          </w:r>
          <w:r>
            <w:rPr>
              <w:sz w:val="28"/>
            </w:rPr>
            <w:instrText xml:space="preserve"> PAGEREF _Toc9373 \h </w:instrText>
          </w:r>
          <w:r>
            <w:rPr>
              <w:sz w:val="28"/>
            </w:rPr>
            <w:fldChar w:fldCharType="separate"/>
          </w:r>
          <w:r>
            <w:rPr>
              <w:sz w:val="28"/>
            </w:rPr>
            <w:t>78</w:t>
          </w:r>
          <w:r>
            <w:rPr>
              <w:sz w:val="28"/>
            </w:rPr>
            <w:fldChar w:fldCharType="end"/>
          </w:r>
          <w:r>
            <w:rPr>
              <w:sz w:val="28"/>
            </w:rPr>
            <w:fldChar w:fldCharType="end"/>
          </w:r>
        </w:p>
        <w:p>
          <w:pPr>
            <w:pStyle w:val="13"/>
            <w:tabs>
              <w:tab w:val="right" w:leader="dot" w:pos="8504"/>
            </w:tabs>
            <w:spacing w:line="560" w:lineRule="exact"/>
          </w:pPr>
          <w:r>
            <w:fldChar w:fldCharType="begin"/>
          </w:r>
          <w:r>
            <w:instrText xml:space="preserve"> HYPERLINK \l "_Toc9541" </w:instrText>
          </w:r>
          <w:r>
            <w:fldChar w:fldCharType="separate"/>
          </w:r>
          <w:r>
            <w:rPr>
              <w:rFonts w:hint="eastAsia"/>
              <w:sz w:val="28"/>
            </w:rPr>
            <w:t>附件8：实地调研照片</w:t>
          </w:r>
          <w:r>
            <w:rPr>
              <w:sz w:val="28"/>
            </w:rPr>
            <w:tab/>
          </w:r>
          <w:r>
            <w:rPr>
              <w:sz w:val="28"/>
            </w:rPr>
            <w:fldChar w:fldCharType="begin"/>
          </w:r>
          <w:r>
            <w:rPr>
              <w:sz w:val="28"/>
            </w:rPr>
            <w:instrText xml:space="preserve"> PAGEREF _Toc9541 \h </w:instrText>
          </w:r>
          <w:r>
            <w:rPr>
              <w:sz w:val="28"/>
            </w:rPr>
            <w:fldChar w:fldCharType="separate"/>
          </w:r>
          <w:r>
            <w:rPr>
              <w:sz w:val="28"/>
            </w:rPr>
            <w:t>81</w:t>
          </w:r>
          <w:r>
            <w:rPr>
              <w:sz w:val="28"/>
            </w:rPr>
            <w:fldChar w:fldCharType="end"/>
          </w:r>
          <w:r>
            <w:rPr>
              <w:sz w:val="28"/>
            </w:rPr>
            <w:fldChar w:fldCharType="end"/>
          </w:r>
        </w:p>
        <w:p>
          <w:pPr>
            <w:pStyle w:val="7"/>
            <w:spacing w:line="480" w:lineRule="exact"/>
          </w:pPr>
          <w:r>
            <w:rPr>
              <w:rFonts w:hint="eastAsia" w:ascii="仿宋" w:eastAsia="仿宋"/>
              <w:szCs w:val="24"/>
            </w:rPr>
            <w:fldChar w:fldCharType="end"/>
          </w:r>
        </w:p>
      </w:sdtContent>
    </w:sdt>
    <w:p>
      <w:pPr>
        <w:spacing w:line="640" w:lineRule="exact"/>
        <w:jc w:val="center"/>
        <w:rPr>
          <w:b/>
          <w:bCs/>
          <w:sz w:val="32"/>
          <w:szCs w:val="32"/>
        </w:rPr>
        <w:sectPr>
          <w:headerReference r:id="rId4" w:type="default"/>
          <w:footerReference r:id="rId5" w:type="default"/>
          <w:pgSz w:w="11906" w:h="16838"/>
          <w:pgMar w:top="1247" w:right="1701" w:bottom="1247" w:left="1701" w:header="851" w:footer="992" w:gutter="0"/>
          <w:pgNumType w:start="1"/>
          <w:cols w:space="720" w:num="1"/>
          <w:docGrid w:type="lines" w:linePitch="381" w:charSpace="0"/>
        </w:sectPr>
      </w:pPr>
      <w:bookmarkStart w:id="6" w:name="_Toc36"/>
      <w:bookmarkStart w:id="7" w:name="_Toc25751"/>
      <w:bookmarkStart w:id="8" w:name="_Toc24682"/>
      <w:bookmarkStart w:id="9" w:name="_Toc8261"/>
      <w:bookmarkStart w:id="10" w:name="_Toc14552"/>
      <w:bookmarkStart w:id="11" w:name="_Toc31547_WPSOffice_Level1"/>
      <w:bookmarkStart w:id="12" w:name="_Toc28680"/>
      <w:bookmarkStart w:id="13" w:name="_Toc18093_WPSOffice_Level1"/>
    </w:p>
    <w:bookmarkEnd w:id="6"/>
    <w:bookmarkEnd w:id="7"/>
    <w:bookmarkEnd w:id="8"/>
    <w:p>
      <w:pPr>
        <w:pStyle w:val="3"/>
        <w:spacing w:before="0" w:after="0" w:line="560" w:lineRule="exact"/>
        <w:jc w:val="center"/>
      </w:pPr>
      <w:bookmarkStart w:id="14" w:name="_Toc8803"/>
      <w:bookmarkStart w:id="15" w:name="_Toc8206_WPSOffice_Level1"/>
      <w:bookmarkStart w:id="16" w:name="_Toc17812"/>
      <w:bookmarkStart w:id="17" w:name="_Toc7713_WPSOffice_Level1"/>
      <w:bookmarkStart w:id="18" w:name="_Toc10604"/>
      <w:bookmarkStart w:id="19" w:name="_Toc23537"/>
      <w:bookmarkStart w:id="20" w:name="_Toc17850"/>
      <w:bookmarkStart w:id="21" w:name="_Toc168_WPSOffice_Level1"/>
      <w:bookmarkStart w:id="22" w:name="_Toc7437"/>
      <w:bookmarkStart w:id="23" w:name="_Toc20652_WPSOffice_Level1"/>
      <w:bookmarkStart w:id="24" w:name="_Toc6145_WPSOffice_Level1"/>
      <w:r>
        <w:rPr>
          <w:rFonts w:hint="eastAsia"/>
        </w:rPr>
        <w:t>摘 要</w:t>
      </w:r>
      <w:bookmarkEnd w:id="14"/>
    </w:p>
    <w:p>
      <w:pPr>
        <w:widowControl w:val="0"/>
        <w:spacing w:line="560" w:lineRule="exact"/>
        <w:ind w:firstLine="562" w:firstLineChars="200"/>
        <w:rPr>
          <w:b/>
          <w:bCs/>
        </w:rPr>
      </w:pPr>
      <w:r>
        <w:rPr>
          <w:rFonts w:hint="eastAsia"/>
          <w:b/>
          <w:bCs/>
        </w:rPr>
        <w:t>一、部门基本情况</w:t>
      </w:r>
    </w:p>
    <w:p>
      <w:pPr>
        <w:widowControl w:val="0"/>
        <w:spacing w:line="560" w:lineRule="exact"/>
        <w:ind w:firstLine="560" w:firstLineChars="200"/>
      </w:pPr>
      <w:r>
        <w:rPr>
          <w:rFonts w:hint="eastAsia"/>
        </w:rPr>
        <w:t>运城市人力资源和社会保障局位于运城市盐湖区河东东街248号，正处级建制，为市政府职能部门，贯彻落实国家、省人力资源和社会保障事业发展规划和政策，拟定全市人力资源和社会保障事业发展规划和政策并组织实施和监督检查，负责全市就业促进，推进建立覆盖城乡的多层次社会保障体系等工作。</w:t>
      </w:r>
    </w:p>
    <w:p>
      <w:pPr>
        <w:widowControl w:val="0"/>
        <w:spacing w:line="560" w:lineRule="exact"/>
        <w:ind w:firstLine="560" w:firstLineChars="200"/>
      </w:pPr>
      <w:r>
        <w:rPr>
          <w:rFonts w:hint="eastAsia"/>
        </w:rPr>
        <w:t>（一）机构设置情况</w:t>
      </w:r>
    </w:p>
    <w:p>
      <w:pPr>
        <w:widowControl w:val="0"/>
        <w:spacing w:line="560" w:lineRule="exact"/>
        <w:ind w:firstLine="560" w:firstLineChars="200"/>
      </w:pPr>
      <w:r>
        <w:rPr>
          <w:rFonts w:hint="eastAsia"/>
        </w:rPr>
        <w:t>运城市人力资源和社会保障局内设办公室、人事科、规划财务科、就业促进科等14个行政科室，局属事业单位9个，其中：县处级事业单位3个（市社会保险中心、市就业服务中心、市劳动保障监察综合行政执法队）；科级事业单位6个（市劳动人事争议仲裁院、市人事考试中心、市人社综合服务中心、技能运城建设服务中心、市人力资源市场、市职业能力建设服务中心）。</w:t>
      </w:r>
    </w:p>
    <w:p>
      <w:pPr>
        <w:widowControl w:val="0"/>
        <w:spacing w:line="560" w:lineRule="exact"/>
        <w:ind w:firstLine="560" w:firstLineChars="200"/>
      </w:pPr>
      <w:r>
        <w:rPr>
          <w:rFonts w:hint="eastAsia"/>
        </w:rPr>
        <w:t>（二）人员情况</w:t>
      </w:r>
    </w:p>
    <w:p>
      <w:pPr>
        <w:widowControl w:val="0"/>
        <w:spacing w:line="560" w:lineRule="exact"/>
        <w:ind w:firstLine="560" w:firstLineChars="200"/>
      </w:pPr>
      <w:r>
        <w:rPr>
          <w:rFonts w:hint="eastAsia"/>
        </w:rPr>
        <w:t>1、编制人员情况</w:t>
      </w:r>
    </w:p>
    <w:p>
      <w:pPr>
        <w:widowControl w:val="0"/>
        <w:spacing w:line="560" w:lineRule="exact"/>
        <w:ind w:firstLine="560" w:firstLineChars="200"/>
      </w:pPr>
      <w:r>
        <w:rPr>
          <w:rFonts w:hint="eastAsia"/>
        </w:rPr>
        <w:t>运城市人力资源和社会保障局核定编制304名，其中：机关39名、局属事业单位265名（财政拨款197名、财政补助6名、自收自支62名）。</w:t>
      </w:r>
    </w:p>
    <w:p>
      <w:pPr>
        <w:widowControl w:val="0"/>
        <w:spacing w:line="560" w:lineRule="exact"/>
        <w:ind w:firstLine="560" w:firstLineChars="200"/>
      </w:pPr>
      <w:r>
        <w:rPr>
          <w:rFonts w:hint="eastAsia"/>
        </w:rPr>
        <w:t>2、人员实有情况</w:t>
      </w:r>
    </w:p>
    <w:p>
      <w:pPr>
        <w:widowControl w:val="0"/>
        <w:spacing w:line="560" w:lineRule="exact"/>
        <w:ind w:firstLine="560" w:firstLineChars="200"/>
      </w:pPr>
      <w:r>
        <w:rPr>
          <w:rFonts w:hint="eastAsia"/>
        </w:rPr>
        <w:t>运城市人力资源和社会保障局实有在编人数369人，其中：机关44人、局直属事业单位325人（财政拨款182人、财政补助6人、自收自支137人）。</w:t>
      </w:r>
    </w:p>
    <w:p>
      <w:pPr>
        <w:widowControl w:val="0"/>
        <w:spacing w:line="560" w:lineRule="exact"/>
        <w:ind w:firstLine="560" w:firstLineChars="200"/>
      </w:pPr>
      <w:r>
        <w:rPr>
          <w:rFonts w:hint="eastAsia"/>
        </w:rPr>
        <w:t>（三）主要工作职责</w:t>
      </w:r>
    </w:p>
    <w:p>
      <w:pPr>
        <w:widowControl w:val="0"/>
        <w:spacing w:line="560" w:lineRule="exact"/>
        <w:ind w:firstLine="560" w:firstLineChars="200"/>
      </w:pPr>
      <w:r>
        <w:rPr>
          <w:rFonts w:hint="eastAsia"/>
        </w:rPr>
        <w:t>1、贯彻落实国家、省人力资源和社会保障事业发展规划和政策，拟订全市人力资源和社会保障事业发展政策、规划并组织实施和监督检查。</w:t>
      </w:r>
    </w:p>
    <w:p>
      <w:pPr>
        <w:widowControl w:val="0"/>
        <w:spacing w:line="560" w:lineRule="exact"/>
        <w:ind w:firstLine="560" w:firstLineChars="200"/>
      </w:pPr>
      <w:r>
        <w:rPr>
          <w:rFonts w:hint="eastAsia"/>
        </w:rPr>
        <w:t>2、拟订全市人力资源市场发展规划和人力资源服务业发展、人力资源流动政策，促进人力资源合理流动，有效配置。</w:t>
      </w:r>
    </w:p>
    <w:p>
      <w:pPr>
        <w:widowControl w:val="0"/>
        <w:spacing w:line="560" w:lineRule="exact"/>
        <w:ind w:firstLine="560" w:firstLineChars="200"/>
      </w:pPr>
      <w:r>
        <w:rPr>
          <w:rFonts w:hint="eastAsia"/>
        </w:rPr>
        <w:t>3、负责就业促进工作，拟订全市统筹城乡的就业发展规划，完善公共就业创业服务体系，统筹建立面向城乡劳动者的职业技能培训制度，贯彻落实就业援助制度、高校毕业生就业政策等。</w:t>
      </w:r>
    </w:p>
    <w:p>
      <w:pPr>
        <w:widowControl w:val="0"/>
        <w:spacing w:line="560" w:lineRule="exact"/>
        <w:ind w:firstLine="560" w:firstLineChars="200"/>
      </w:pPr>
      <w:r>
        <w:rPr>
          <w:rFonts w:hint="eastAsia"/>
        </w:rPr>
        <w:t>4、统筹推进建立覆盖城乡的多层次社会保障体系。</w:t>
      </w:r>
    </w:p>
    <w:p>
      <w:pPr>
        <w:widowControl w:val="0"/>
        <w:spacing w:line="560" w:lineRule="exact"/>
        <w:ind w:firstLine="560" w:firstLineChars="200"/>
      </w:pPr>
      <w:r>
        <w:rPr>
          <w:rFonts w:hint="eastAsia"/>
        </w:rPr>
        <w:t>5、负责全市就业、失业和相关社会保险基金预测预警和信息引导，拟订应对预案，实施预防、调节和控制，保持就业形势稳定和相关社会保险基金总体收支平衡。</w:t>
      </w:r>
    </w:p>
    <w:p>
      <w:pPr>
        <w:widowControl w:val="0"/>
        <w:spacing w:line="560" w:lineRule="exact"/>
        <w:ind w:firstLine="560" w:firstLineChars="200"/>
      </w:pPr>
      <w:r>
        <w:rPr>
          <w:rFonts w:hint="eastAsia"/>
        </w:rPr>
        <w:t>6、统筹拟订全市劳动人事争议调解仲裁制度，贯彻落实劳动关系政策，完善劳动关系协商协调机制，职工工作时间、休息休假和假期制度，监督落实消除非法使用童工政策和女工、未成年工特殊劳动保护政策。负责劳动保障监察综合执法工作，组织实施劳动保障监察，协调劳动者维权工作，依法查处重大案件。</w:t>
      </w:r>
    </w:p>
    <w:p>
      <w:pPr>
        <w:widowControl w:val="0"/>
        <w:spacing w:line="560" w:lineRule="exact"/>
        <w:ind w:firstLine="560" w:firstLineChars="200"/>
      </w:pPr>
      <w:r>
        <w:rPr>
          <w:rFonts w:hint="eastAsia"/>
        </w:rPr>
        <w:t>7、牵头推进深化职称制度改革，组织实施专业技术人员管理、继续教育和博士后管理等政策，负责全市高层次专业技术人才选拔和培养工作。认真落实技能人才培养、评价、使用和激励政策，完善职业资格制度，健全职业技能多元化评价机制。</w:t>
      </w:r>
    </w:p>
    <w:p>
      <w:pPr>
        <w:widowControl w:val="0"/>
        <w:spacing w:line="560" w:lineRule="exact"/>
        <w:ind w:firstLine="560" w:firstLineChars="200"/>
      </w:pPr>
      <w:r>
        <w:rPr>
          <w:rFonts w:hint="eastAsia"/>
        </w:rPr>
        <w:t>8、会同有关部门指导全市事业单位人事制度改革，企事业单位人员管理工作，按照管理权限负责规范事业单位岗位设置、公开招聘、聘用合同等人事综合管理工作，拟订全市事业单位工作人员和机关工勤人员管理制度。</w:t>
      </w:r>
    </w:p>
    <w:p>
      <w:pPr>
        <w:widowControl w:val="0"/>
        <w:spacing w:line="560" w:lineRule="exact"/>
        <w:ind w:firstLine="560" w:firstLineChars="200"/>
      </w:pPr>
      <w:r>
        <w:rPr>
          <w:rFonts w:hint="eastAsia"/>
        </w:rPr>
        <w:t>9、会同有关部门贯彻落实事业单位人员工资收入分配政策，建立企事业单位人员工资正常增长和支付保障机制。贯彻落实企事业单位人员福利和离退休政策。</w:t>
      </w:r>
    </w:p>
    <w:p>
      <w:pPr>
        <w:widowControl w:val="0"/>
        <w:spacing w:line="560" w:lineRule="exact"/>
        <w:ind w:firstLine="560" w:firstLineChars="200"/>
      </w:pPr>
      <w:r>
        <w:rPr>
          <w:rFonts w:hint="eastAsia"/>
        </w:rPr>
        <w:t>10、会同有关部门拟订农民工工作的综合性制度和规划，推动相关政策落实，协调解决重点难点问题，维护农民工合法权益。</w:t>
      </w:r>
    </w:p>
    <w:p>
      <w:pPr>
        <w:widowControl w:val="0"/>
        <w:spacing w:line="560" w:lineRule="exact"/>
        <w:ind w:firstLine="560" w:firstLineChars="200"/>
      </w:pPr>
      <w:r>
        <w:rPr>
          <w:rFonts w:hint="eastAsia"/>
        </w:rPr>
        <w:t>11、会同有关部门组织实施政府表彰制度，拟订市政府奖励制度草案，配合有关部门开展政府绩效考核。按照干部管理权限，承办市人大常委会和市人民政府的人事任免事项。</w:t>
      </w:r>
    </w:p>
    <w:p>
      <w:pPr>
        <w:widowControl w:val="0"/>
        <w:spacing w:line="560" w:lineRule="exact"/>
        <w:ind w:firstLine="560" w:firstLineChars="200"/>
      </w:pPr>
      <w:r>
        <w:rPr>
          <w:rFonts w:hint="eastAsia"/>
        </w:rPr>
        <w:t>12、完成市委市政府交办的其他任务。</w:t>
      </w:r>
    </w:p>
    <w:p>
      <w:pPr>
        <w:widowControl w:val="0"/>
        <w:spacing w:line="560" w:lineRule="exact"/>
        <w:ind w:firstLine="560" w:firstLineChars="200"/>
      </w:pPr>
      <w:r>
        <w:rPr>
          <w:rFonts w:hint="eastAsia"/>
        </w:rPr>
        <w:t>13、职能转变。市人社局要大力精简行政审批事项，压缩涉民涉企审批和服务时限，提高事项“网上办理”比例；扩大自主评审范围，下放职称评审权；落实事业单位用人自主权，下放岗位聘用认定权限；开展“多证合一”试点，促进人力资源和社会保障公共服务便民化，切实保障和改善民生。</w:t>
      </w:r>
    </w:p>
    <w:p>
      <w:pPr>
        <w:widowControl w:val="0"/>
        <w:spacing w:line="560" w:lineRule="exact"/>
        <w:ind w:firstLine="560" w:firstLineChars="200"/>
      </w:pPr>
      <w:r>
        <w:rPr>
          <w:rFonts w:hint="eastAsia"/>
        </w:rPr>
        <w:t>14、有关职责分工。</w:t>
      </w:r>
    </w:p>
    <w:p>
      <w:pPr>
        <w:widowControl w:val="0"/>
        <w:spacing w:line="560" w:lineRule="exact"/>
        <w:ind w:firstLine="560" w:firstLineChars="200"/>
      </w:pPr>
      <w:r>
        <w:rPr>
          <w:rFonts w:hint="eastAsia"/>
        </w:rPr>
        <w:t>与市教育局的有关职责分工。高校毕业生就业政策由市人社局牵头，会同市教育局等部门拟订，高校毕业生离校前的就业指导和服务工作，由市教育局负责；高校毕业生离校后的就业指导和服务工作，由市人社局负责。</w:t>
      </w:r>
    </w:p>
    <w:p>
      <w:pPr>
        <w:widowControl w:val="0"/>
        <w:spacing w:line="560" w:lineRule="exact"/>
        <w:ind w:firstLine="562" w:firstLineChars="200"/>
        <w:rPr>
          <w:b/>
          <w:bCs/>
        </w:rPr>
      </w:pPr>
      <w:bookmarkStart w:id="25" w:name="_Hlk112081448"/>
      <w:r>
        <w:rPr>
          <w:rFonts w:hint="eastAsia"/>
          <w:b/>
          <w:bCs/>
        </w:rPr>
        <w:t>二、部门资金情况</w:t>
      </w:r>
      <w:r>
        <w:rPr>
          <w:rFonts w:hint="eastAsia"/>
          <w:b/>
          <w:bCs/>
        </w:rPr>
        <w:tab/>
      </w:r>
    </w:p>
    <w:p>
      <w:pPr>
        <w:widowControl w:val="0"/>
        <w:spacing w:line="560" w:lineRule="exact"/>
        <w:ind w:firstLine="560" w:firstLineChars="200"/>
      </w:pPr>
      <w:r>
        <w:rPr>
          <w:rFonts w:hint="eastAsia"/>
        </w:rPr>
        <w:t>2021年运城市人力资源和社会保障局部门预算资金（可支配资金）总额6,416.61万元（2021年年初结余资金530.34万元，2021年调整预算资金2,953.58万元、非同级财政拨款2,931.15万元、利息收入1.54万元），其中：基本支出1,459.38万元，项目支出4,957.23万元。</w:t>
      </w:r>
    </w:p>
    <w:p>
      <w:pPr>
        <w:widowControl w:val="0"/>
        <w:spacing w:line="560" w:lineRule="exact"/>
        <w:ind w:firstLine="560" w:firstLineChars="200"/>
      </w:pPr>
      <w:r>
        <w:rPr>
          <w:rFonts w:hint="eastAsia"/>
        </w:rPr>
        <w:t>2021年部门可支配资金总额6,416.61万元，2021年部门支出5,409.65万元，年末结转结余资金1,006.96万元，主要为欠薪应急周转金500万元、市社保基金（职业技能提升资金）496.51万元。</w:t>
      </w:r>
    </w:p>
    <w:bookmarkEnd w:id="25"/>
    <w:p>
      <w:pPr>
        <w:widowControl w:val="0"/>
        <w:spacing w:line="560" w:lineRule="exact"/>
        <w:ind w:firstLine="562" w:firstLineChars="200"/>
        <w:rPr>
          <w:b/>
          <w:bCs/>
        </w:rPr>
      </w:pPr>
      <w:r>
        <w:rPr>
          <w:rFonts w:hint="eastAsia"/>
          <w:b/>
          <w:bCs/>
        </w:rPr>
        <w:t>三、评价思路</w:t>
      </w:r>
    </w:p>
    <w:p>
      <w:pPr>
        <w:widowControl w:val="0"/>
        <w:spacing w:line="560" w:lineRule="exact"/>
        <w:ind w:firstLine="560" w:firstLineChars="200"/>
      </w:pPr>
      <w:r>
        <w:rPr>
          <w:rFonts w:hint="eastAsia"/>
        </w:rPr>
        <w:t>本次绩效评价工作基准日为2021年12月31日，通过核实部门总结、业务及财务资料，掌握部门职责履行情况。依据相关政策规定、在检查业务及财务资料、现场核实的基础上，对运城市人力资源和社会保障局部门整体支出进行评价。</w:t>
      </w:r>
    </w:p>
    <w:p>
      <w:pPr>
        <w:widowControl w:val="0"/>
        <w:spacing w:line="560" w:lineRule="exact"/>
        <w:ind w:firstLine="562" w:firstLineChars="200"/>
        <w:rPr>
          <w:b/>
          <w:bCs/>
        </w:rPr>
      </w:pPr>
      <w:r>
        <w:rPr>
          <w:rFonts w:hint="eastAsia"/>
          <w:b/>
          <w:bCs/>
        </w:rPr>
        <w:t>四、评价结论</w:t>
      </w:r>
    </w:p>
    <w:p>
      <w:pPr>
        <w:widowControl w:val="0"/>
        <w:spacing w:line="560" w:lineRule="exact"/>
        <w:ind w:firstLine="560" w:firstLineChars="200"/>
      </w:pPr>
      <w:r>
        <w:rPr>
          <w:rFonts w:hint="eastAsia"/>
        </w:rPr>
        <w:t>经项目组评价，本项目得分为</w:t>
      </w:r>
      <w:r>
        <w:rPr>
          <w:rFonts w:hint="eastAsia"/>
          <w:lang w:eastAsia="zh-CN"/>
        </w:rPr>
        <w:t>88.93</w:t>
      </w:r>
      <w:r>
        <w:rPr>
          <w:rFonts w:hint="eastAsia"/>
        </w:rPr>
        <w:t>分，绩效评价等级为</w:t>
      </w:r>
      <w:r>
        <w:rPr>
          <w:rFonts w:hint="eastAsia"/>
          <w:lang w:val="en-US" w:eastAsia="zh-CN"/>
        </w:rPr>
        <w:t>良</w:t>
      </w:r>
      <w:r>
        <w:rPr>
          <w:rFonts w:hint="eastAsia"/>
        </w:rPr>
        <w:t>。具体得分情况如下表所示：</w:t>
      </w:r>
    </w:p>
    <w:p>
      <w:pPr>
        <w:pStyle w:val="71"/>
        <w:spacing w:line="360" w:lineRule="auto"/>
        <w:ind w:firstLine="420"/>
        <w:rPr>
          <w:rFonts w:ascii="仿宋" w:hAnsi="仿宋" w:eastAsia="仿宋"/>
          <w:szCs w:val="24"/>
        </w:rPr>
      </w:pPr>
      <w:r>
        <w:rPr>
          <w:rFonts w:hint="eastAsia" w:ascii="仿宋" w:hAnsi="仿宋" w:eastAsia="仿宋"/>
          <w:szCs w:val="24"/>
        </w:rPr>
        <w:t>项目绩效评价得分表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575"/>
        <w:gridCol w:w="1455"/>
        <w:gridCol w:w="1395"/>
        <w:gridCol w:w="1533"/>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185" w:type="dxa"/>
            <w:tcBorders>
              <w:bottom w:val="single" w:color="auto" w:sz="4" w:space="0"/>
            </w:tcBorders>
            <w:shd w:val="clear" w:color="auto" w:fill="FFFFFF"/>
            <w:noWrap/>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指标</w:t>
            </w:r>
          </w:p>
        </w:tc>
        <w:tc>
          <w:tcPr>
            <w:tcW w:w="1575" w:type="dxa"/>
            <w:tcBorders>
              <w:bottom w:val="single" w:color="auto" w:sz="4" w:space="0"/>
            </w:tcBorders>
            <w:shd w:val="clear" w:color="auto" w:fill="FFFFFF"/>
            <w:noWrap/>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A履职效能</w:t>
            </w:r>
          </w:p>
        </w:tc>
        <w:tc>
          <w:tcPr>
            <w:tcW w:w="1455" w:type="dxa"/>
            <w:tcBorders>
              <w:bottom w:val="single" w:color="auto" w:sz="4" w:space="0"/>
            </w:tcBorders>
            <w:shd w:val="clear" w:color="auto" w:fill="FFFFFF"/>
            <w:noWrap/>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B管理效率</w:t>
            </w:r>
          </w:p>
        </w:tc>
        <w:tc>
          <w:tcPr>
            <w:tcW w:w="1395" w:type="dxa"/>
            <w:tcBorders>
              <w:bottom w:val="single" w:color="auto" w:sz="4" w:space="0"/>
            </w:tcBorders>
            <w:shd w:val="clear" w:color="auto" w:fill="FFFFFF"/>
            <w:noWrap/>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C社会效应</w:t>
            </w:r>
          </w:p>
        </w:tc>
        <w:tc>
          <w:tcPr>
            <w:tcW w:w="1533" w:type="dxa"/>
            <w:tcBorders>
              <w:bottom w:val="single" w:color="auto" w:sz="4" w:space="0"/>
            </w:tcBorders>
            <w:shd w:val="clear" w:color="auto" w:fill="FFFFFF"/>
            <w:noWrap/>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D可持续性</w:t>
            </w:r>
          </w:p>
        </w:tc>
        <w:tc>
          <w:tcPr>
            <w:tcW w:w="1377" w:type="dxa"/>
            <w:tcBorders>
              <w:bottom w:val="single" w:color="auto" w:sz="4" w:space="0"/>
            </w:tcBorders>
            <w:shd w:val="clear" w:color="auto" w:fill="FFFFFF"/>
            <w:noWrap/>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权重</w:t>
            </w:r>
          </w:p>
        </w:tc>
        <w:tc>
          <w:tcPr>
            <w:tcW w:w="1575" w:type="dxa"/>
            <w:noWrap/>
            <w:vAlign w:val="center"/>
          </w:tcPr>
          <w:p>
            <w:pPr>
              <w:jc w:val="center"/>
              <w:textAlignment w:val="center"/>
              <w:rPr>
                <w:szCs w:val="24"/>
              </w:rPr>
            </w:pPr>
            <w:r>
              <w:rPr>
                <w:rFonts w:hint="eastAsia"/>
                <w:color w:val="000000"/>
                <w:kern w:val="0"/>
                <w:sz w:val="24"/>
                <w:szCs w:val="24"/>
                <w:lang w:bidi="ar"/>
              </w:rPr>
              <w:t>40</w:t>
            </w:r>
          </w:p>
        </w:tc>
        <w:tc>
          <w:tcPr>
            <w:tcW w:w="1455" w:type="dxa"/>
            <w:noWrap/>
            <w:vAlign w:val="center"/>
          </w:tcPr>
          <w:p>
            <w:pPr>
              <w:jc w:val="center"/>
              <w:textAlignment w:val="center"/>
              <w:rPr>
                <w:szCs w:val="24"/>
              </w:rPr>
            </w:pPr>
            <w:r>
              <w:rPr>
                <w:rFonts w:hint="eastAsia"/>
                <w:color w:val="000000"/>
                <w:kern w:val="0"/>
                <w:sz w:val="24"/>
                <w:szCs w:val="24"/>
                <w:lang w:bidi="ar"/>
              </w:rPr>
              <w:t>30</w:t>
            </w:r>
          </w:p>
        </w:tc>
        <w:tc>
          <w:tcPr>
            <w:tcW w:w="1395" w:type="dxa"/>
            <w:noWrap/>
            <w:vAlign w:val="center"/>
          </w:tcPr>
          <w:p>
            <w:pPr>
              <w:jc w:val="center"/>
              <w:textAlignment w:val="center"/>
              <w:rPr>
                <w:szCs w:val="24"/>
                <w:highlight w:val="yellow"/>
              </w:rPr>
            </w:pPr>
            <w:r>
              <w:rPr>
                <w:rFonts w:hint="eastAsia"/>
                <w:color w:val="000000"/>
                <w:kern w:val="0"/>
                <w:sz w:val="24"/>
                <w:szCs w:val="24"/>
                <w:lang w:bidi="ar"/>
              </w:rPr>
              <w:t>20</w:t>
            </w:r>
          </w:p>
        </w:tc>
        <w:tc>
          <w:tcPr>
            <w:tcW w:w="1533" w:type="dxa"/>
            <w:noWrap/>
            <w:vAlign w:val="center"/>
          </w:tcPr>
          <w:p>
            <w:pPr>
              <w:jc w:val="center"/>
              <w:textAlignment w:val="center"/>
              <w:rPr>
                <w:szCs w:val="24"/>
              </w:rPr>
            </w:pPr>
            <w:r>
              <w:rPr>
                <w:rFonts w:hint="eastAsia"/>
                <w:color w:val="000000"/>
                <w:kern w:val="0"/>
                <w:sz w:val="24"/>
                <w:szCs w:val="24"/>
                <w:lang w:bidi="ar"/>
              </w:rPr>
              <w:t>10</w:t>
            </w:r>
          </w:p>
        </w:tc>
        <w:tc>
          <w:tcPr>
            <w:tcW w:w="1377" w:type="dxa"/>
            <w:noWrap/>
            <w:vAlign w:val="center"/>
          </w:tcPr>
          <w:p>
            <w:pPr>
              <w:jc w:val="center"/>
              <w:textAlignment w:val="center"/>
              <w:rPr>
                <w:szCs w:val="24"/>
              </w:rPr>
            </w:pPr>
            <w:r>
              <w:rPr>
                <w:rFonts w:hint="eastAsia"/>
                <w:color w:val="000000"/>
                <w:kern w:val="0"/>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分值</w:t>
            </w:r>
          </w:p>
        </w:tc>
        <w:tc>
          <w:tcPr>
            <w:tcW w:w="1575" w:type="dxa"/>
            <w:noWrap/>
            <w:vAlign w:val="center"/>
          </w:tcPr>
          <w:p>
            <w:pPr>
              <w:jc w:val="center"/>
              <w:textAlignment w:val="center"/>
              <w:rPr>
                <w:szCs w:val="24"/>
              </w:rPr>
            </w:pPr>
            <w:r>
              <w:rPr>
                <w:rFonts w:hint="eastAsia"/>
                <w:color w:val="000000"/>
                <w:kern w:val="0"/>
                <w:sz w:val="24"/>
                <w:szCs w:val="24"/>
                <w:lang w:bidi="ar"/>
              </w:rPr>
              <w:t>39</w:t>
            </w:r>
          </w:p>
        </w:tc>
        <w:tc>
          <w:tcPr>
            <w:tcW w:w="1455" w:type="dxa"/>
            <w:noWrap/>
            <w:vAlign w:val="center"/>
          </w:tcPr>
          <w:p>
            <w:pPr>
              <w:jc w:val="center"/>
              <w:textAlignment w:val="center"/>
              <w:rPr>
                <w:szCs w:val="24"/>
              </w:rPr>
            </w:pPr>
            <w:r>
              <w:rPr>
                <w:rFonts w:hint="eastAsia"/>
                <w:color w:val="000000"/>
                <w:kern w:val="0"/>
                <w:sz w:val="24"/>
                <w:szCs w:val="24"/>
                <w:lang w:val="en-US" w:eastAsia="zh-CN" w:bidi="ar"/>
              </w:rPr>
              <w:t>20.07</w:t>
            </w:r>
          </w:p>
        </w:tc>
        <w:tc>
          <w:tcPr>
            <w:tcW w:w="1395" w:type="dxa"/>
            <w:noWrap/>
            <w:vAlign w:val="center"/>
          </w:tcPr>
          <w:p>
            <w:pPr>
              <w:jc w:val="center"/>
              <w:textAlignment w:val="center"/>
              <w:rPr>
                <w:szCs w:val="24"/>
                <w:highlight w:val="yellow"/>
              </w:rPr>
            </w:pPr>
            <w:r>
              <w:rPr>
                <w:rFonts w:hint="eastAsia"/>
                <w:color w:val="000000"/>
                <w:kern w:val="0"/>
                <w:sz w:val="24"/>
                <w:szCs w:val="24"/>
                <w:lang w:bidi="ar"/>
              </w:rPr>
              <w:t>19.86</w:t>
            </w:r>
          </w:p>
        </w:tc>
        <w:tc>
          <w:tcPr>
            <w:tcW w:w="1533" w:type="dxa"/>
            <w:noWrap/>
            <w:vAlign w:val="center"/>
          </w:tcPr>
          <w:p>
            <w:pPr>
              <w:jc w:val="center"/>
              <w:textAlignment w:val="center"/>
              <w:rPr>
                <w:szCs w:val="24"/>
              </w:rPr>
            </w:pPr>
            <w:r>
              <w:rPr>
                <w:rFonts w:hint="eastAsia"/>
                <w:color w:val="000000"/>
                <w:kern w:val="0"/>
                <w:sz w:val="24"/>
                <w:szCs w:val="24"/>
                <w:lang w:bidi="ar"/>
              </w:rPr>
              <w:t>10</w:t>
            </w:r>
          </w:p>
        </w:tc>
        <w:tc>
          <w:tcPr>
            <w:tcW w:w="1377" w:type="dxa"/>
            <w:noWrap/>
            <w:vAlign w:val="center"/>
          </w:tcPr>
          <w:p>
            <w:pPr>
              <w:jc w:val="center"/>
              <w:textAlignment w:val="center"/>
              <w:rPr>
                <w:rFonts w:hint="eastAsia" w:eastAsia="仿宋"/>
                <w:szCs w:val="24"/>
                <w:lang w:eastAsia="zh-CN"/>
              </w:rPr>
            </w:pPr>
            <w:r>
              <w:rPr>
                <w:rFonts w:hint="eastAsia"/>
                <w:color w:val="000000"/>
                <w:kern w:val="0"/>
                <w:sz w:val="24"/>
                <w:szCs w:val="24"/>
                <w:lang w:eastAsia="zh-CN" w:bidi="ar"/>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得分率</w:t>
            </w:r>
          </w:p>
        </w:tc>
        <w:tc>
          <w:tcPr>
            <w:tcW w:w="1575" w:type="dxa"/>
            <w:noWrap/>
            <w:vAlign w:val="center"/>
          </w:tcPr>
          <w:p>
            <w:pPr>
              <w:jc w:val="center"/>
              <w:textAlignment w:val="center"/>
              <w:rPr>
                <w:szCs w:val="24"/>
              </w:rPr>
            </w:pPr>
            <w:r>
              <w:rPr>
                <w:rFonts w:hint="eastAsia"/>
                <w:color w:val="000000"/>
                <w:kern w:val="0"/>
                <w:sz w:val="24"/>
                <w:szCs w:val="24"/>
                <w:lang w:bidi="ar"/>
              </w:rPr>
              <w:t>97.50%</w:t>
            </w:r>
          </w:p>
        </w:tc>
        <w:tc>
          <w:tcPr>
            <w:tcW w:w="1455" w:type="dxa"/>
            <w:noWrap/>
            <w:vAlign w:val="center"/>
          </w:tcPr>
          <w:p>
            <w:pPr>
              <w:jc w:val="center"/>
              <w:textAlignment w:val="center"/>
              <w:rPr>
                <w:szCs w:val="24"/>
              </w:rPr>
            </w:pPr>
            <w:r>
              <w:rPr>
                <w:rFonts w:hint="eastAsia"/>
                <w:color w:val="000000"/>
                <w:kern w:val="0"/>
                <w:sz w:val="24"/>
                <w:szCs w:val="24"/>
                <w:lang w:val="en-US" w:eastAsia="zh-CN" w:bidi="ar"/>
              </w:rPr>
              <w:t>66.90</w:t>
            </w:r>
            <w:r>
              <w:rPr>
                <w:rFonts w:hint="eastAsia"/>
                <w:color w:val="000000"/>
                <w:kern w:val="0"/>
                <w:sz w:val="24"/>
                <w:szCs w:val="24"/>
                <w:lang w:bidi="ar"/>
              </w:rPr>
              <w:t>%</w:t>
            </w:r>
          </w:p>
        </w:tc>
        <w:tc>
          <w:tcPr>
            <w:tcW w:w="1395" w:type="dxa"/>
            <w:noWrap/>
            <w:vAlign w:val="center"/>
          </w:tcPr>
          <w:p>
            <w:pPr>
              <w:jc w:val="center"/>
              <w:textAlignment w:val="center"/>
              <w:rPr>
                <w:szCs w:val="24"/>
                <w:highlight w:val="yellow"/>
              </w:rPr>
            </w:pPr>
            <w:r>
              <w:rPr>
                <w:rFonts w:hint="eastAsia"/>
                <w:color w:val="000000"/>
                <w:kern w:val="0"/>
                <w:sz w:val="24"/>
                <w:szCs w:val="24"/>
                <w:lang w:bidi="ar"/>
              </w:rPr>
              <w:t>99.30%</w:t>
            </w:r>
          </w:p>
        </w:tc>
        <w:tc>
          <w:tcPr>
            <w:tcW w:w="1533" w:type="dxa"/>
            <w:noWrap/>
            <w:vAlign w:val="center"/>
          </w:tcPr>
          <w:p>
            <w:pPr>
              <w:jc w:val="center"/>
              <w:textAlignment w:val="center"/>
              <w:rPr>
                <w:szCs w:val="24"/>
              </w:rPr>
            </w:pPr>
            <w:r>
              <w:rPr>
                <w:rFonts w:hint="eastAsia"/>
                <w:color w:val="000000"/>
                <w:kern w:val="0"/>
                <w:sz w:val="24"/>
                <w:szCs w:val="24"/>
                <w:lang w:bidi="ar"/>
              </w:rPr>
              <w:t>100.00%</w:t>
            </w:r>
          </w:p>
        </w:tc>
        <w:tc>
          <w:tcPr>
            <w:tcW w:w="1377" w:type="dxa"/>
            <w:noWrap/>
            <w:vAlign w:val="center"/>
          </w:tcPr>
          <w:p>
            <w:pPr>
              <w:jc w:val="center"/>
              <w:textAlignment w:val="center"/>
              <w:rPr>
                <w:szCs w:val="24"/>
              </w:rPr>
            </w:pPr>
            <w:r>
              <w:rPr>
                <w:rFonts w:hint="eastAsia"/>
                <w:color w:val="000000"/>
                <w:kern w:val="0"/>
                <w:sz w:val="24"/>
                <w:szCs w:val="24"/>
                <w:lang w:eastAsia="zh-CN" w:bidi="ar"/>
              </w:rPr>
              <w:t>88.93</w:t>
            </w:r>
            <w:r>
              <w:rPr>
                <w:rFonts w:hint="eastAsia"/>
                <w:color w:val="000000"/>
                <w:kern w:val="0"/>
                <w:sz w:val="24"/>
                <w:szCs w:val="24"/>
                <w:lang w:bidi="ar"/>
              </w:rPr>
              <w:t>%</w:t>
            </w:r>
          </w:p>
        </w:tc>
      </w:tr>
    </w:tbl>
    <w:p>
      <w:pPr>
        <w:widowControl w:val="0"/>
        <w:spacing w:line="560" w:lineRule="exact"/>
        <w:ind w:firstLine="562" w:firstLineChars="200"/>
        <w:rPr>
          <w:b/>
          <w:bCs/>
        </w:rPr>
      </w:pPr>
      <w:bookmarkStart w:id="26" w:name="_Hlk113871055"/>
      <w:r>
        <w:rPr>
          <w:rFonts w:hint="eastAsia"/>
          <w:b/>
          <w:bCs/>
        </w:rPr>
        <w:t>五、主要经验和做法</w:t>
      </w:r>
    </w:p>
    <w:p>
      <w:pPr>
        <w:widowControl w:val="0"/>
        <w:spacing w:line="560" w:lineRule="exact"/>
        <w:ind w:firstLine="560" w:firstLineChars="200"/>
      </w:pPr>
      <w:bookmarkStart w:id="27" w:name="_Hlk119579020"/>
      <w:r>
        <w:rPr>
          <w:rFonts w:hint="eastAsia"/>
        </w:rPr>
        <w:t>（一）强化制度建设，夯实管理基础。</w:t>
      </w:r>
    </w:p>
    <w:p>
      <w:pPr>
        <w:widowControl w:val="0"/>
        <w:spacing w:line="560" w:lineRule="exact"/>
        <w:ind w:firstLine="560" w:firstLineChars="200"/>
      </w:pPr>
      <w:r>
        <w:rPr>
          <w:rFonts w:hint="eastAsia"/>
        </w:rPr>
        <w:t xml:space="preserve">运城市人力资源和社会保障局内控制度较为健全，为加强预算管理，制定了相对完善的管理制度，包括政府采购、预决算管理、资产管理、工程建设、财务收支管理等业务和财务管理制度，推动各项工作有序开展。  </w:t>
      </w:r>
    </w:p>
    <w:p>
      <w:pPr>
        <w:widowControl w:val="0"/>
        <w:spacing w:line="560" w:lineRule="exact"/>
        <w:ind w:firstLine="560" w:firstLineChars="200"/>
      </w:pPr>
      <w:r>
        <w:rPr>
          <w:rFonts w:hint="eastAsia"/>
        </w:rPr>
        <w:t>（二）规范工程建设程序，提高建设工程透明度。</w:t>
      </w:r>
    </w:p>
    <w:p>
      <w:pPr>
        <w:widowControl w:val="0"/>
        <w:spacing w:line="560" w:lineRule="exact"/>
        <w:ind w:firstLine="560" w:firstLineChars="200"/>
      </w:pPr>
      <w:r>
        <w:rPr>
          <w:rFonts w:hint="eastAsia"/>
        </w:rPr>
        <w:t xml:space="preserve">严格履行项目招投标手续，对建设工程进行招投标；委托专业监理公司，对施工过程进行全程监理；严格履行财政资金评审制度，将项目预算报财政投资评审中心进行评审。 </w:t>
      </w:r>
    </w:p>
    <w:p>
      <w:pPr>
        <w:widowControl w:val="0"/>
        <w:numPr>
          <w:ilvl w:val="0"/>
          <w:numId w:val="1"/>
        </w:numPr>
        <w:spacing w:line="560" w:lineRule="exact"/>
        <w:ind w:firstLine="560" w:firstLineChars="200"/>
      </w:pPr>
      <w:r>
        <w:t>突出作风抓党建，以身作则从严治党。</w:t>
      </w:r>
    </w:p>
    <w:p>
      <w:pPr>
        <w:widowControl w:val="0"/>
        <w:spacing w:line="560" w:lineRule="exact"/>
        <w:ind w:firstLine="560" w:firstLineChars="200"/>
      </w:pPr>
      <w:r>
        <w:t>全面推进党风廉政建设向纵深发展，</w:t>
      </w:r>
      <w:r>
        <w:rPr>
          <w:rFonts w:hint="eastAsia"/>
        </w:rPr>
        <w:t>班子成员</w:t>
      </w:r>
      <w:r>
        <w:t>严以律己，以身作则，严格落实中央八项规定精神，认真开展集体廉政谈话，严肃查处违反和破坏基层党建工作的党员干部，努力营造风清气正、干事创业的政治生态。</w:t>
      </w:r>
    </w:p>
    <w:p>
      <w:pPr>
        <w:spacing w:line="560" w:lineRule="exact"/>
        <w:ind w:firstLine="562" w:firstLineChars="200"/>
        <w:rPr>
          <w:b/>
          <w:bCs/>
        </w:rPr>
      </w:pPr>
      <w:r>
        <w:rPr>
          <w:rFonts w:hint="eastAsia"/>
          <w:b/>
          <w:bCs/>
        </w:rPr>
        <w:t>六、存在的问题及建议</w:t>
      </w:r>
    </w:p>
    <w:p>
      <w:pPr>
        <w:widowControl w:val="0"/>
        <w:spacing w:line="560" w:lineRule="exact"/>
        <w:ind w:firstLine="560" w:firstLineChars="200"/>
      </w:pPr>
      <w:r>
        <w:rPr>
          <w:rFonts w:hint="eastAsia"/>
        </w:rPr>
        <w:t>（一）运城市人力资源和社会保障局</w:t>
      </w:r>
      <w:r>
        <w:rPr>
          <w:rFonts w:hint="eastAsia"/>
          <w:kern w:val="0"/>
        </w:rPr>
        <w:t>仲裁院实体化建设项目、工资审批和人事计划年报经费、劳动监察专项经费等6个项目</w:t>
      </w:r>
      <w:r>
        <w:rPr>
          <w:rFonts w:hint="eastAsia"/>
        </w:rPr>
        <w:t>绩效目标申报表未细化、量化产出、效益等指标，指标值不清晰，可衡量性不强；绩效自评报告填写不完整（摘要、项目主要经验做法、存在的主要问题及管理建议等未进行描述分析），不利于对项目实施情况进行有效监督和评价。</w:t>
      </w:r>
    </w:p>
    <w:p>
      <w:pPr>
        <w:widowControl w:val="0"/>
        <w:spacing w:line="560" w:lineRule="exact"/>
        <w:ind w:firstLine="560" w:firstLineChars="200"/>
      </w:pPr>
      <w:r>
        <w:rPr>
          <w:rFonts w:hint="eastAsia"/>
        </w:rPr>
        <w:t>建议：</w:t>
      </w:r>
    </w:p>
    <w:p>
      <w:pPr>
        <w:widowControl w:val="0"/>
        <w:spacing w:line="560" w:lineRule="exact"/>
        <w:ind w:firstLine="560" w:firstLineChars="200"/>
      </w:pPr>
      <w:r>
        <w:rPr>
          <w:rFonts w:hint="eastAsia"/>
        </w:rPr>
        <w:t>运城市人力资源和社会保障局要重视绩效管理工作，制定绩效管理制度，根据业务特点制定切实可行的绩效目标，并对照绩效目标总要求，进一步细化分解项目绩效目标，以目标为方向、制度为依据，切实用好财政资金，经济高效地完成项目工作。</w:t>
      </w:r>
    </w:p>
    <w:p>
      <w:pPr>
        <w:widowControl w:val="0"/>
        <w:spacing w:line="560" w:lineRule="exact"/>
        <w:ind w:firstLine="560" w:firstLineChars="200"/>
      </w:pPr>
      <w:r>
        <w:rPr>
          <w:rFonts w:hint="eastAsia"/>
        </w:rPr>
        <w:t>项目完成后，及时编制绩效自评报告，详细完整描述项目实施情况、主要产出和效益、项目主要经验、存在问题及改进措施等。</w:t>
      </w:r>
    </w:p>
    <w:p>
      <w:pPr>
        <w:widowControl w:val="0"/>
        <w:spacing w:line="560" w:lineRule="exact"/>
        <w:ind w:firstLine="560" w:firstLineChars="200"/>
      </w:pPr>
      <w:r>
        <w:rPr>
          <w:rFonts w:hint="eastAsia"/>
        </w:rPr>
        <w:t>（二）项目单位资产管理存在不规范事项，具体为：</w:t>
      </w:r>
    </w:p>
    <w:p>
      <w:pPr>
        <w:widowControl w:val="0"/>
        <w:spacing w:line="560" w:lineRule="exact"/>
        <w:ind w:firstLine="560" w:firstLineChars="200"/>
      </w:pPr>
      <w:r>
        <w:rPr>
          <w:rFonts w:hint="eastAsia"/>
        </w:rPr>
        <w:t>1、在制度执行过程中，该单位及局属事业单位未按制度规定对固定资产每年度进行一次全面清查盘点，年底盘点时未保留纸质盘点记录，固定资产实物上未粘贴《固定资产卡片》，资产盘点制度执行不到位。</w:t>
      </w:r>
    </w:p>
    <w:p>
      <w:pPr>
        <w:widowControl w:val="0"/>
        <w:spacing w:line="560" w:lineRule="exact"/>
        <w:ind w:firstLine="560" w:firstLineChars="200"/>
      </w:pPr>
      <w:r>
        <w:rPr>
          <w:rFonts w:hint="eastAsia"/>
        </w:rPr>
        <w:t>2、该单位部分资产卡片信息不完整，部分资产未录入使用部门和存放地点等。</w:t>
      </w:r>
    </w:p>
    <w:p>
      <w:pPr>
        <w:widowControl w:val="0"/>
        <w:spacing w:line="560" w:lineRule="exact"/>
        <w:ind w:firstLine="560" w:firstLineChars="200"/>
      </w:pPr>
      <w:r>
        <w:rPr>
          <w:rFonts w:hint="eastAsia"/>
        </w:rPr>
        <w:t>建议：对固定资产进行编码登记，规范固定资产标签管理，核实固定资产存放位置，定期对固定资产进行盘点并分析差异原因；完善固定资产划拨手续，及时进行账务处理，纳入固定资产账簿管理，确保资产管理数据真实、完整、准确，避免国有资产流失。</w:t>
      </w:r>
    </w:p>
    <w:bookmarkEnd w:id="26"/>
    <w:p>
      <w:pPr>
        <w:widowControl w:val="0"/>
        <w:spacing w:line="560" w:lineRule="exact"/>
        <w:ind w:firstLine="560" w:firstLineChars="200"/>
      </w:pPr>
      <w:r>
        <w:rPr>
          <w:rFonts w:hint="eastAsia"/>
        </w:rPr>
        <w:t>（三）实际使用资金低于年初预算资金总额，预算执行率不高，具体为：</w:t>
      </w:r>
    </w:p>
    <w:p>
      <w:pPr>
        <w:widowControl w:val="0"/>
        <w:spacing w:line="560" w:lineRule="exact"/>
        <w:ind w:firstLine="560" w:firstLineChars="200"/>
      </w:pPr>
      <w:r>
        <w:rPr>
          <w:rFonts w:hint="eastAsia"/>
          <w:kern w:val="0"/>
        </w:rPr>
        <w:t>2021年运城市人力资源和社会保障局可支配资金5,916.61万元（不含欠薪应急周转金500万元），实际支出5,409.65万元，预算执行率91.43%。</w:t>
      </w:r>
      <w:r>
        <w:rPr>
          <w:rFonts w:hint="eastAsia"/>
        </w:rPr>
        <w:t>经分析，预算执行率较低主要原因为：由于职业技能培训机构未及时提交补贴资料，导致预算资金无法支付，市社保基金（职业技能提升资金）年末结转496.51万元。</w:t>
      </w:r>
    </w:p>
    <w:p>
      <w:pPr>
        <w:widowControl w:val="0"/>
        <w:spacing w:line="560" w:lineRule="exact"/>
        <w:ind w:firstLine="560" w:firstLineChars="200"/>
      </w:pPr>
      <w:r>
        <w:rPr>
          <w:rFonts w:hint="eastAsia"/>
        </w:rPr>
        <w:t>建议：</w:t>
      </w:r>
    </w:p>
    <w:p>
      <w:pPr>
        <w:widowControl w:val="0"/>
        <w:spacing w:line="560" w:lineRule="exact"/>
        <w:ind w:firstLine="560" w:firstLineChars="200"/>
      </w:pPr>
      <w:r>
        <w:rPr>
          <w:rFonts w:hint="eastAsia"/>
        </w:rPr>
        <w:t>项目单位要转变管理模式，建立培训机构工作限时办结制度，要求培训机构限时提交培训审核资料，避免工作拖沓影响资金支付进度，造成预算资金长期结转。对于不能在规定时间提交审核资料的培训机构，按照制度给予相应处罚。</w:t>
      </w:r>
    </w:p>
    <w:bookmarkEnd w:id="27"/>
    <w:p/>
    <w:p>
      <w:pPr>
        <w:rPr>
          <w:b/>
          <w:bCs/>
          <w:sz w:val="30"/>
          <w:szCs w:val="30"/>
        </w:rPr>
      </w:pPr>
      <w:bookmarkStart w:id="28" w:name="_Toc21513"/>
    </w:p>
    <w:p>
      <w:pPr>
        <w:jc w:val="center"/>
        <w:rPr>
          <w:b/>
          <w:bCs/>
          <w:sz w:val="30"/>
          <w:szCs w:val="30"/>
        </w:rPr>
      </w:pPr>
      <w:r>
        <w:rPr>
          <w:rFonts w:hint="eastAsia"/>
          <w:b/>
          <w:bCs/>
          <w:sz w:val="30"/>
          <w:szCs w:val="30"/>
        </w:rPr>
        <w:t>评价机构：山西高盛新会计师事务所有限公司</w:t>
      </w:r>
      <w:bookmarkEnd w:id="28"/>
    </w:p>
    <w:p>
      <w:pPr>
        <w:rPr>
          <w:b/>
          <w:bCs/>
          <w:sz w:val="30"/>
          <w:szCs w:val="30"/>
        </w:rPr>
      </w:pPr>
    </w:p>
    <w:p>
      <w:pPr>
        <w:ind w:firstLine="1205" w:firstLineChars="400"/>
        <w:rPr>
          <w:b/>
          <w:bCs/>
          <w:sz w:val="30"/>
          <w:szCs w:val="30"/>
        </w:rPr>
      </w:pPr>
      <w:bookmarkStart w:id="29" w:name="_Toc11960"/>
      <w:r>
        <w:rPr>
          <w:rFonts w:hint="eastAsia"/>
          <w:b/>
          <w:bCs/>
          <w:sz w:val="30"/>
          <w:szCs w:val="30"/>
        </w:rPr>
        <w:t>主评人：</w:t>
      </w:r>
      <w:bookmarkEnd w:id="29"/>
    </w:p>
    <w:p>
      <w:pPr>
        <w:pStyle w:val="7"/>
        <w:sectPr>
          <w:footerReference r:id="rId6" w:type="default"/>
          <w:pgSz w:w="11906" w:h="16838"/>
          <w:pgMar w:top="1247" w:right="1701" w:bottom="1247" w:left="1701" w:header="851" w:footer="992" w:gutter="0"/>
          <w:pgNumType w:start="1"/>
          <w:cols w:space="720" w:num="1"/>
          <w:docGrid w:type="lines" w:linePitch="381" w:charSpace="0"/>
        </w:sectPr>
      </w:pPr>
    </w:p>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p>
      <w:pPr>
        <w:widowControl w:val="0"/>
        <w:spacing w:after="190" w:afterLines="50" w:line="560" w:lineRule="exact"/>
        <w:jc w:val="center"/>
        <w:outlineLvl w:val="0"/>
      </w:pPr>
      <w:bookmarkStart w:id="30" w:name="_Toc11746"/>
      <w:bookmarkStart w:id="31" w:name="_Toc27996_WPSOffice_Level1"/>
      <w:bookmarkStart w:id="32" w:name="_Toc17313_WPSOffice_Level1"/>
      <w:bookmarkStart w:id="33" w:name="_Toc17844_WPSOffice_Level1"/>
      <w:bookmarkStart w:id="34" w:name="_Toc19379"/>
      <w:bookmarkStart w:id="35" w:name="_Toc12186_WPSOffice_Level1"/>
      <w:bookmarkStart w:id="36" w:name="_Toc14525"/>
      <w:bookmarkStart w:id="37" w:name="_Toc32408"/>
      <w:bookmarkStart w:id="38" w:name="_Toc17531"/>
      <w:bookmarkStart w:id="39" w:name="_Toc28698"/>
      <w:bookmarkStart w:id="40" w:name="_Toc16640"/>
      <w:bookmarkStart w:id="41" w:name="_Toc2589"/>
      <w:r>
        <w:rPr>
          <w:rFonts w:hint="eastAsia"/>
          <w:b/>
          <w:sz w:val="32"/>
          <w:szCs w:val="32"/>
        </w:rPr>
        <w:t>绩效评价</w:t>
      </w:r>
      <w:bookmarkEnd w:id="30"/>
      <w:bookmarkEnd w:id="31"/>
      <w:bookmarkEnd w:id="32"/>
      <w:bookmarkEnd w:id="33"/>
      <w:bookmarkEnd w:id="34"/>
      <w:bookmarkEnd w:id="35"/>
      <w:bookmarkEnd w:id="36"/>
      <w:r>
        <w:rPr>
          <w:rFonts w:hint="eastAsia"/>
          <w:b/>
          <w:sz w:val="32"/>
          <w:szCs w:val="32"/>
        </w:rPr>
        <w:t>报告</w:t>
      </w:r>
      <w:bookmarkEnd w:id="37"/>
      <w:bookmarkEnd w:id="38"/>
      <w:bookmarkEnd w:id="39"/>
      <w:bookmarkEnd w:id="40"/>
      <w:bookmarkEnd w:id="41"/>
    </w:p>
    <w:p>
      <w:pPr>
        <w:widowControl w:val="0"/>
        <w:adjustRightInd w:val="0"/>
        <w:snapToGrid w:val="0"/>
        <w:spacing w:line="560" w:lineRule="exact"/>
        <w:jc w:val="left"/>
      </w:pPr>
      <w:r>
        <w:rPr>
          <w:rFonts w:hint="eastAsia"/>
        </w:rPr>
        <w:t>运城市财政局：</w:t>
      </w:r>
    </w:p>
    <w:p>
      <w:pPr>
        <w:widowControl w:val="0"/>
        <w:adjustRightInd w:val="0"/>
        <w:snapToGrid w:val="0"/>
        <w:spacing w:line="560" w:lineRule="exact"/>
        <w:ind w:firstLine="560" w:firstLineChars="200"/>
      </w:pPr>
      <w:bookmarkStart w:id="42" w:name="_Toc2321"/>
      <w:r>
        <w:rPr>
          <w:rFonts w:hint="eastAsia"/>
        </w:rPr>
        <w:t>我们接受委托，于2022年8月8日至2022年9月30日对运城市人力资源和社会保障局2021年部门整体支出进行了绩效评价。根据运城市财政局《2</w:t>
      </w:r>
      <w:r>
        <w:t>022</w:t>
      </w:r>
      <w:r>
        <w:rPr>
          <w:rFonts w:hint="eastAsia"/>
        </w:rPr>
        <w:t>年预算绩效评价实施方案》（运财监〔20</w:t>
      </w:r>
      <w:r>
        <w:t>22</w:t>
      </w:r>
      <w:r>
        <w:rPr>
          <w:rFonts w:hint="eastAsia"/>
        </w:rPr>
        <w:t>〕</w:t>
      </w:r>
      <w:r>
        <w:t>6</w:t>
      </w:r>
      <w:r>
        <w:rPr>
          <w:rFonts w:hint="eastAsia"/>
        </w:rPr>
        <w:t>号）文件精神和相关要求，我们按照绩效评价工作方案确定了评价指标、评价标准和评价方法，对评价对象的绩效情况进行全面的定量定性分析和综合评价，形成了本报告。</w:t>
      </w:r>
    </w:p>
    <w:p>
      <w:pPr>
        <w:pStyle w:val="3"/>
        <w:spacing w:before="0" w:after="0" w:line="560" w:lineRule="exact"/>
        <w:ind w:firstLine="562" w:firstLineChars="200"/>
        <w:rPr>
          <w:sz w:val="28"/>
        </w:rPr>
      </w:pPr>
      <w:bookmarkStart w:id="43" w:name="_Toc29818_WPSOffice_Level1"/>
      <w:bookmarkStart w:id="44" w:name="_Toc14386_WPSOffice_Level1"/>
      <w:bookmarkStart w:id="45" w:name="_Toc1472"/>
      <w:bookmarkStart w:id="46" w:name="_Toc25391"/>
      <w:bookmarkStart w:id="47" w:name="_Toc19483_WPSOffice_Level1"/>
      <w:bookmarkStart w:id="48" w:name="_Toc13664"/>
      <w:bookmarkStart w:id="49" w:name="_Toc22959"/>
      <w:bookmarkStart w:id="50" w:name="_Toc5303_WPSOffice_Level1"/>
      <w:bookmarkStart w:id="51" w:name="_Toc30701"/>
      <w:bookmarkStart w:id="52" w:name="_Toc31663_WPSOffice_Level1"/>
      <w:bookmarkStart w:id="53" w:name="_Toc32029"/>
      <w:bookmarkStart w:id="54" w:name="_Toc31365"/>
      <w:bookmarkStart w:id="55" w:name="_Toc22273"/>
      <w:bookmarkStart w:id="56" w:name="_Toc13370"/>
      <w:bookmarkStart w:id="57" w:name="_Toc13319"/>
      <w:bookmarkStart w:id="58" w:name="_Toc26397_WPSOffice_Level2"/>
      <w:bookmarkStart w:id="59" w:name="_Toc15003_WPSOffice_Level2"/>
      <w:bookmarkStart w:id="60" w:name="_Toc19975_WPSOffice_Level2"/>
      <w:bookmarkStart w:id="61" w:name="_Toc28655_WPSOffice_Level2"/>
      <w:r>
        <w:rPr>
          <w:rFonts w:hint="eastAsia"/>
          <w:sz w:val="28"/>
        </w:rPr>
        <w:t>一、</w:t>
      </w:r>
      <w:bookmarkEnd w:id="43"/>
      <w:bookmarkEnd w:id="44"/>
      <w:bookmarkEnd w:id="45"/>
      <w:bookmarkEnd w:id="46"/>
      <w:bookmarkEnd w:id="47"/>
      <w:bookmarkEnd w:id="48"/>
      <w:bookmarkEnd w:id="49"/>
      <w:bookmarkEnd w:id="50"/>
      <w:bookmarkEnd w:id="51"/>
      <w:bookmarkEnd w:id="52"/>
      <w:r>
        <w:rPr>
          <w:rFonts w:hint="eastAsia"/>
          <w:sz w:val="28"/>
        </w:rPr>
        <w:t>部门概况</w:t>
      </w:r>
      <w:bookmarkEnd w:id="53"/>
    </w:p>
    <w:p>
      <w:pPr>
        <w:pStyle w:val="4"/>
        <w:spacing w:before="0" w:after="0" w:line="560" w:lineRule="exact"/>
        <w:ind w:firstLine="562" w:firstLineChars="200"/>
        <w:rPr>
          <w:rFonts w:ascii="仿宋" w:hAnsi="仿宋" w:eastAsia="仿宋"/>
          <w:sz w:val="28"/>
        </w:rPr>
      </w:pPr>
      <w:bookmarkStart w:id="62" w:name="_Toc19725"/>
      <w:bookmarkStart w:id="63" w:name="_Toc13890"/>
      <w:bookmarkStart w:id="64" w:name="_Toc23248"/>
      <w:r>
        <w:rPr>
          <w:rFonts w:hint="eastAsia" w:ascii="仿宋" w:hAnsi="仿宋" w:eastAsia="仿宋"/>
          <w:sz w:val="28"/>
        </w:rPr>
        <w:t>（一）部门基本情况</w:t>
      </w:r>
      <w:bookmarkEnd w:id="62"/>
    </w:p>
    <w:p>
      <w:pPr>
        <w:widowControl w:val="0"/>
        <w:spacing w:line="560" w:lineRule="exact"/>
        <w:ind w:firstLine="560" w:firstLineChars="200"/>
      </w:pPr>
      <w:bookmarkStart w:id="65" w:name="_Toc28243"/>
      <w:r>
        <w:rPr>
          <w:rFonts w:hint="eastAsia"/>
        </w:rPr>
        <w:t>1、机构设置情况</w:t>
      </w:r>
      <w:bookmarkEnd w:id="65"/>
    </w:p>
    <w:p>
      <w:pPr>
        <w:widowControl w:val="0"/>
        <w:spacing w:line="560" w:lineRule="exact"/>
        <w:ind w:firstLine="560" w:firstLineChars="200"/>
        <w:rPr>
          <w:bCs/>
        </w:rPr>
      </w:pPr>
      <w:bookmarkStart w:id="66" w:name="_Toc28309"/>
      <w:r>
        <w:rPr>
          <w:rFonts w:hint="eastAsia"/>
          <w:bCs/>
        </w:rPr>
        <w:t>运城市人力资源和社会保障局正处级建制，为市政府职能部门，</w:t>
      </w:r>
      <w:r>
        <w:rPr>
          <w:rFonts w:hint="eastAsia"/>
        </w:rPr>
        <w:t>内设办公室、人事科、规划财务科、就业促进科等14个行政科室，局属事业单位9个，其中：县处级事业单位3个（市社会保险中心、市就业服务中心、市劳动保障监察综合行政执法队），科级事业单位6个（市劳动人事争议仲裁院、市人事考试中心、市人社综合服务中心、技能运城建设服务中心、市人力资源市场、市职业能力建设服务中心）</w:t>
      </w:r>
      <w:r>
        <w:rPr>
          <w:rFonts w:hint="eastAsia"/>
          <w:bCs/>
        </w:rPr>
        <w:t>。</w:t>
      </w:r>
    </w:p>
    <w:p>
      <w:pPr>
        <w:widowControl w:val="0"/>
        <w:spacing w:line="560" w:lineRule="exact"/>
        <w:ind w:firstLine="560" w:firstLineChars="200"/>
      </w:pPr>
      <w:r>
        <w:rPr>
          <w:rFonts w:hint="eastAsia"/>
        </w:rPr>
        <w:t>2、人员情况</w:t>
      </w:r>
      <w:bookmarkEnd w:id="66"/>
    </w:p>
    <w:p>
      <w:pPr>
        <w:widowControl w:val="0"/>
        <w:spacing w:line="560" w:lineRule="exact"/>
        <w:ind w:firstLine="560" w:firstLineChars="200"/>
      </w:pPr>
      <w:r>
        <w:rPr>
          <w:rFonts w:hint="eastAsia"/>
        </w:rPr>
        <w:t>运城市人力资源和社会保障局核定编制304名，其中：机关39名、局属事业单位265名（财政拨款197名、财政补助6名、自收自支62名）。运城市人力资源和社会保障局实有人数369人，其中：机关44人、局直属事业单位325人（财政拨款182人、财政补助6人、自收自支137人）。</w:t>
      </w:r>
    </w:p>
    <w:bookmarkEnd w:id="63"/>
    <w:bookmarkEnd w:id="64"/>
    <w:p>
      <w:pPr>
        <w:widowControl w:val="0"/>
        <w:spacing w:line="560" w:lineRule="exact"/>
        <w:ind w:firstLine="560" w:firstLineChars="200"/>
      </w:pPr>
      <w:bookmarkStart w:id="67" w:name="_Toc27300"/>
      <w:r>
        <w:rPr>
          <w:rFonts w:hint="eastAsia"/>
        </w:rPr>
        <w:t>3、主要工作职责</w:t>
      </w:r>
      <w:bookmarkEnd w:id="67"/>
    </w:p>
    <w:p>
      <w:pPr>
        <w:widowControl w:val="0"/>
        <w:spacing w:line="560" w:lineRule="exact"/>
        <w:ind w:firstLine="560" w:firstLineChars="200"/>
      </w:pPr>
      <w:r>
        <w:rPr>
          <w:rFonts w:hint="eastAsia"/>
        </w:rPr>
        <w:t>（1）局机关</w:t>
      </w:r>
    </w:p>
    <w:p>
      <w:pPr>
        <w:widowControl w:val="0"/>
        <w:spacing w:line="560" w:lineRule="exact"/>
        <w:ind w:firstLine="560" w:firstLineChars="200"/>
      </w:pPr>
      <w:r>
        <w:rPr>
          <w:rFonts w:hint="eastAsia"/>
        </w:rPr>
        <w:t>①贯彻落实国家、省人力资源和社会保障事业发展规划和政策，拟订全市人力资源和社会保障事业发展政策、规划并组织实施和监督检查；</w:t>
      </w:r>
    </w:p>
    <w:p>
      <w:pPr>
        <w:widowControl w:val="0"/>
        <w:spacing w:line="560" w:lineRule="exact"/>
        <w:ind w:firstLine="560" w:firstLineChars="200"/>
      </w:pPr>
      <w:r>
        <w:rPr>
          <w:rFonts w:hint="eastAsia"/>
        </w:rPr>
        <w:t>②拟订全市人力资源市场发展规划和人力资源服务业发展、人力资源流动政策，促进人力资源合理流动，有效配置；</w:t>
      </w:r>
    </w:p>
    <w:p>
      <w:pPr>
        <w:widowControl w:val="0"/>
        <w:spacing w:line="560" w:lineRule="exact"/>
        <w:ind w:firstLine="560" w:firstLineChars="200"/>
      </w:pPr>
      <w:r>
        <w:rPr>
          <w:rFonts w:hint="eastAsia"/>
        </w:rPr>
        <w:t>③负责就业促进工作，拟订全市统筹城乡的就业发展规划，完善公共就业创业服务体系，统筹建立面向城乡劳动者的职业技能培训制度，贯彻落实就业援助制度、高校毕业生就业政策等；</w:t>
      </w:r>
    </w:p>
    <w:p>
      <w:pPr>
        <w:widowControl w:val="0"/>
        <w:spacing w:line="560" w:lineRule="exact"/>
        <w:ind w:firstLine="560" w:firstLineChars="200"/>
      </w:pPr>
      <w:r>
        <w:rPr>
          <w:rFonts w:hint="eastAsia"/>
        </w:rPr>
        <w:t>④统筹推进建立覆盖城乡的多层次社会保障体系。组织实施养老、失业、工伤等社会保险及其补充保险政策和标准，执行全国统一的养老、失业、工伤保险关系转续办法；</w:t>
      </w:r>
    </w:p>
    <w:p>
      <w:pPr>
        <w:widowControl w:val="0"/>
        <w:spacing w:line="560" w:lineRule="exact"/>
        <w:ind w:firstLine="560" w:firstLineChars="200"/>
      </w:pPr>
      <w:r>
        <w:rPr>
          <w:rFonts w:hint="eastAsia"/>
        </w:rPr>
        <w:t>⑤负责全市就业、失业和相关社会保险基金预测预警和信息引导，拟订应对预案，实施预防、调节和控制，保持就业形势稳定和相关社会保险基金总体收支平衡；</w:t>
      </w:r>
    </w:p>
    <w:p>
      <w:pPr>
        <w:widowControl w:val="0"/>
        <w:spacing w:line="560" w:lineRule="exact"/>
        <w:ind w:firstLine="560" w:firstLineChars="200"/>
      </w:pPr>
      <w:r>
        <w:rPr>
          <w:rFonts w:hint="eastAsia"/>
        </w:rPr>
        <w:t>⑥统筹拟订全市劳动人事争议调解仲裁制度，贯彻落实劳动关系政策，完善劳动关系协商协调机制，职工工作时间、休息休假和假期制度，监督落实消除非法使用童工政策和女工、未成年工特殊劳动保护政策。负责劳动保障监察综合执法工作，组织实施劳动保障监察，协调劳动者维权工作，依法查处重大案件；</w:t>
      </w:r>
    </w:p>
    <w:p>
      <w:pPr>
        <w:widowControl w:val="0"/>
        <w:spacing w:line="560" w:lineRule="exact"/>
        <w:ind w:firstLine="560" w:firstLineChars="200"/>
      </w:pPr>
      <w:r>
        <w:rPr>
          <w:rFonts w:hint="eastAsia"/>
        </w:rPr>
        <w:t>⑦牵头推进深化职称制度改革，组织实施专业技术人员管理、继续教育和博士后管理等政策，负责全市高层次专业技术人才选拔和培养工作。认真落实技能人才培养、评价、使用和激励政策，完善职业资格制度，健全职业技能多元化评价机制；</w:t>
      </w:r>
    </w:p>
    <w:p>
      <w:pPr>
        <w:widowControl w:val="0"/>
        <w:spacing w:line="560" w:lineRule="exact"/>
        <w:ind w:firstLine="560" w:firstLineChars="200"/>
      </w:pPr>
      <w:r>
        <w:rPr>
          <w:rFonts w:hint="eastAsia"/>
        </w:rPr>
        <w:t>⑧会同有关部门指导全市事业单位人事制度改革，企事业单位人员管理工作，按照管理权限负责规范事业单位岗位设置、公开招聘、聘用合同等人事综合管理工作，拟订全市事业单位工作人员和机关工勤人员管理制度；</w:t>
      </w:r>
    </w:p>
    <w:p>
      <w:pPr>
        <w:widowControl w:val="0"/>
        <w:spacing w:line="560" w:lineRule="exact"/>
        <w:ind w:firstLine="560" w:firstLineChars="200"/>
      </w:pPr>
      <w:r>
        <w:rPr>
          <w:rFonts w:hint="eastAsia"/>
        </w:rPr>
        <w:t>⑨会同有关部门贯彻落实事业单位人员工资收入分配政策，建立企事业单位人员工资正常增长和支付保障机制。贯彻落实企事业单位人员福利和离退休政策；</w:t>
      </w:r>
    </w:p>
    <w:p>
      <w:pPr>
        <w:widowControl w:val="0"/>
        <w:spacing w:line="560" w:lineRule="exact"/>
        <w:ind w:firstLine="560" w:firstLineChars="200"/>
      </w:pPr>
      <w:r>
        <w:rPr>
          <w:rFonts w:hint="eastAsia"/>
        </w:rPr>
        <w:t>⑩会同有关部门拟订农民工工作的综合性制度和规划，推动相关政策落实，协调解决重点难点问题，维护农民工合法权益；</w:t>
      </w:r>
    </w:p>
    <w:p>
      <w:pPr>
        <w:widowControl w:val="0"/>
        <w:spacing w:line="560" w:lineRule="exact"/>
        <w:ind w:firstLine="560" w:firstLineChars="200"/>
      </w:pPr>
      <w:r>
        <w:rPr>
          <w:rFonts w:hint="eastAsia"/>
        </w:rPr>
        <w:t>⑪会同有关部门组织实施政府表彰制度，拟订市政府奖励制度草案，配合有关部门开展政府绩效考核。按照干部管理权限，承办市人大常委会和市人民政府的人事任免事项；</w:t>
      </w:r>
    </w:p>
    <w:p>
      <w:pPr>
        <w:widowControl w:val="0"/>
        <w:spacing w:line="560" w:lineRule="exact"/>
        <w:ind w:firstLine="560" w:firstLineChars="200"/>
      </w:pPr>
      <w:r>
        <w:rPr>
          <w:rFonts w:hint="eastAsia"/>
        </w:rPr>
        <w:t>⑫职能转变。市人社局要大力精简行政审批事项，压缩涉民涉企审批和服务时限，提高事项“网上办理”比例；扩大自主评审范围，下放职称评审权；落实事业单位用人自主权，下放岗位聘用认定权限；开展“多证合一”试点，促进人力资源和社会保障公共服务便民化，切实保障和改善民生；</w:t>
      </w:r>
    </w:p>
    <w:p>
      <w:pPr>
        <w:widowControl w:val="0"/>
        <w:spacing w:line="560" w:lineRule="exact"/>
        <w:ind w:firstLine="560" w:firstLineChars="200"/>
      </w:pPr>
      <w:r>
        <w:rPr>
          <w:rFonts w:hint="eastAsia"/>
        </w:rPr>
        <w:t>⑬有关职责分工。与市教育局的有关职责分工。高校毕业生就业政策由市人社局牵头，会同市教育局等部门拟订，高校毕业生离校前的就业指导和服务工作，由市教育局负责；高校毕业生离校后的就业指导和服务工作，由市人社局负责；</w:t>
      </w:r>
    </w:p>
    <w:p>
      <w:pPr>
        <w:widowControl w:val="0"/>
        <w:spacing w:line="560" w:lineRule="exact"/>
        <w:ind w:firstLine="560" w:firstLineChars="200"/>
      </w:pPr>
      <w:r>
        <w:rPr>
          <w:rFonts w:hint="eastAsia"/>
        </w:rPr>
        <w:t>⑭完成市委市政府交办的其他任务。</w:t>
      </w:r>
    </w:p>
    <w:p>
      <w:pPr>
        <w:widowControl w:val="0"/>
        <w:spacing w:line="560" w:lineRule="exact"/>
        <w:ind w:firstLine="560" w:firstLineChars="200"/>
      </w:pPr>
      <w:r>
        <w:rPr>
          <w:rFonts w:hint="eastAsia"/>
        </w:rPr>
        <w:t>（2）市社会保险中心</w:t>
      </w:r>
    </w:p>
    <w:p>
      <w:pPr>
        <w:widowControl w:val="0"/>
        <w:spacing w:line="560" w:lineRule="exact"/>
        <w:ind w:firstLine="560" w:firstLineChars="200"/>
      </w:pPr>
      <w:r>
        <w:rPr>
          <w:rFonts w:hint="eastAsia"/>
        </w:rPr>
        <w:t>①贯彻落实国家、省、市有关社会保险的方针政策、法律法规和决策部署；</w:t>
      </w:r>
    </w:p>
    <w:p>
      <w:pPr>
        <w:widowControl w:val="0"/>
        <w:spacing w:line="560" w:lineRule="exact"/>
        <w:ind w:firstLine="560" w:firstLineChars="200"/>
      </w:pPr>
      <w:r>
        <w:rPr>
          <w:rFonts w:hint="eastAsia"/>
        </w:rPr>
        <w:t>②参与拟定社会保险业务操作规程、管理办法并组织实施；</w:t>
      </w:r>
    </w:p>
    <w:p>
      <w:pPr>
        <w:widowControl w:val="0"/>
        <w:spacing w:line="560" w:lineRule="exact"/>
        <w:ind w:firstLine="560" w:firstLineChars="200"/>
      </w:pPr>
      <w:r>
        <w:rPr>
          <w:rFonts w:hint="eastAsia"/>
        </w:rPr>
        <w:t>③参与拟定全市社会保险目标任务计划并负责实施；</w:t>
      </w:r>
    </w:p>
    <w:p>
      <w:pPr>
        <w:widowControl w:val="0"/>
        <w:spacing w:line="560" w:lineRule="exact"/>
        <w:ind w:firstLine="560" w:firstLineChars="200"/>
      </w:pPr>
      <w:r>
        <w:rPr>
          <w:rFonts w:hint="eastAsia"/>
        </w:rPr>
        <w:t>④负责社会保险的参保登记、申报核定、待遇支付、个人权益记录管理和应用等相关经办工作；</w:t>
      </w:r>
    </w:p>
    <w:p>
      <w:pPr>
        <w:widowControl w:val="0"/>
        <w:spacing w:line="560" w:lineRule="exact"/>
        <w:ind w:firstLine="560" w:firstLineChars="200"/>
      </w:pPr>
      <w:r>
        <w:rPr>
          <w:rFonts w:hint="eastAsia"/>
        </w:rPr>
        <w:t>⑤负责落实社会保险经办风险防控制度，开展社会保险稽核工作；</w:t>
      </w:r>
    </w:p>
    <w:p>
      <w:pPr>
        <w:widowControl w:val="0"/>
        <w:spacing w:line="560" w:lineRule="exact"/>
        <w:ind w:firstLine="560" w:firstLineChars="200"/>
      </w:pPr>
      <w:r>
        <w:rPr>
          <w:rFonts w:hint="eastAsia"/>
        </w:rPr>
        <w:t>⑥负责社会保险待遇的资格核定、信息确认、调整、发放和社会化服务等工作；</w:t>
      </w:r>
    </w:p>
    <w:p>
      <w:pPr>
        <w:widowControl w:val="0"/>
        <w:spacing w:line="560" w:lineRule="exact"/>
        <w:ind w:firstLine="560" w:firstLineChars="200"/>
      </w:pPr>
      <w:r>
        <w:rPr>
          <w:rFonts w:hint="eastAsia"/>
        </w:rPr>
        <w:t>⑦负责全市社会保险基金的使用，编制全市社会保险基金预决算草案、实施预算，编制汇总全市社会保险基金财务报表；</w:t>
      </w:r>
    </w:p>
    <w:p>
      <w:pPr>
        <w:widowControl w:val="0"/>
        <w:spacing w:line="560" w:lineRule="exact"/>
        <w:ind w:firstLine="560" w:firstLineChars="200"/>
      </w:pPr>
      <w:r>
        <w:rPr>
          <w:rFonts w:hint="eastAsia"/>
        </w:rPr>
        <w:t>⑧负责全市工伤医疗、康复与辅助器具配置机构的协议管理，并对其提供的服务实施政策指导工作；</w:t>
      </w:r>
    </w:p>
    <w:p>
      <w:pPr>
        <w:widowControl w:val="0"/>
        <w:spacing w:line="560" w:lineRule="exact"/>
        <w:ind w:firstLine="560" w:firstLineChars="200"/>
      </w:pPr>
      <w:r>
        <w:rPr>
          <w:rFonts w:hint="eastAsia"/>
        </w:rPr>
        <w:t>⑨负责全市社会保险经办机构业务人员培训工作；</w:t>
      </w:r>
    </w:p>
    <w:p>
      <w:pPr>
        <w:widowControl w:val="0"/>
        <w:spacing w:line="560" w:lineRule="exact"/>
        <w:ind w:firstLine="560" w:firstLineChars="200"/>
      </w:pPr>
      <w:r>
        <w:rPr>
          <w:rFonts w:hint="eastAsia"/>
        </w:rPr>
        <w:t>⑩负责全市社会保险信息系系统的维护和数据规范，承担全市社会保险统计、数据整理和应用分析工作；</w:t>
      </w:r>
    </w:p>
    <w:p>
      <w:pPr>
        <w:widowControl w:val="0"/>
        <w:spacing w:line="560" w:lineRule="exact"/>
        <w:ind w:firstLine="560" w:firstLineChars="200"/>
      </w:pPr>
      <w:r>
        <w:rPr>
          <w:rFonts w:hint="eastAsia"/>
        </w:rPr>
        <w:t>⑪完成市人力资源和社会保障局交办的其他任务。</w:t>
      </w:r>
    </w:p>
    <w:p>
      <w:pPr>
        <w:widowControl w:val="0"/>
        <w:spacing w:line="560" w:lineRule="exact"/>
        <w:ind w:firstLine="560" w:firstLineChars="200"/>
      </w:pPr>
      <w:r>
        <w:rPr>
          <w:rFonts w:hint="eastAsia"/>
        </w:rPr>
        <w:t>（3）市就业服务中心</w:t>
      </w:r>
    </w:p>
    <w:p>
      <w:pPr>
        <w:widowControl w:val="0"/>
        <w:spacing w:line="560" w:lineRule="exact"/>
        <w:ind w:firstLine="560" w:firstLineChars="200"/>
      </w:pPr>
      <w:r>
        <w:rPr>
          <w:rFonts w:hint="eastAsia"/>
        </w:rPr>
        <w:t>①宣传贯彻落实党中央、省委关于公共就业和人才服务等的方针政策、法律法规和市委、市政府的决策部署；</w:t>
      </w:r>
    </w:p>
    <w:p>
      <w:pPr>
        <w:widowControl w:val="0"/>
        <w:spacing w:line="560" w:lineRule="exact"/>
        <w:ind w:firstLine="560" w:firstLineChars="200"/>
      </w:pPr>
      <w:r>
        <w:rPr>
          <w:rFonts w:hint="eastAsia"/>
        </w:rPr>
        <w:t>②指导推进全市公共就业服务体系建设；</w:t>
      </w:r>
    </w:p>
    <w:p>
      <w:pPr>
        <w:widowControl w:val="0"/>
        <w:spacing w:line="560" w:lineRule="exact"/>
        <w:ind w:firstLine="560" w:firstLineChars="200"/>
      </w:pPr>
      <w:r>
        <w:rPr>
          <w:rFonts w:hint="eastAsia"/>
        </w:rPr>
        <w:t>③负责全市就业援助政策的宣传与落实，为城乡劳动者提供公益性就业服务；</w:t>
      </w:r>
    </w:p>
    <w:p>
      <w:pPr>
        <w:widowControl w:val="0"/>
        <w:spacing w:line="560" w:lineRule="exact"/>
        <w:ind w:firstLine="560" w:firstLineChars="200"/>
      </w:pPr>
      <w:r>
        <w:rPr>
          <w:rFonts w:hint="eastAsia"/>
        </w:rPr>
        <w:t>④负责全市创业政策的宣传与落实、项目开发推介、创业融资服务、开展创业大赛、创业培训管理服务等工作；</w:t>
      </w:r>
    </w:p>
    <w:p>
      <w:pPr>
        <w:widowControl w:val="0"/>
        <w:spacing w:line="560" w:lineRule="exact"/>
        <w:ind w:firstLine="560" w:firstLineChars="200"/>
      </w:pPr>
      <w:r>
        <w:rPr>
          <w:rFonts w:hint="eastAsia"/>
        </w:rPr>
        <w:t>⑤统筹指导全市城乡人力资源开发利用，组织开展跨区域人力资源交流合作；</w:t>
      </w:r>
    </w:p>
    <w:p>
      <w:pPr>
        <w:widowControl w:val="0"/>
        <w:spacing w:line="560" w:lineRule="exact"/>
        <w:ind w:firstLine="560" w:firstLineChars="200"/>
      </w:pPr>
      <w:r>
        <w:rPr>
          <w:rFonts w:hint="eastAsia"/>
        </w:rPr>
        <w:t>⑥负责指导全市人力资源代理及相关档案管理服务工作；</w:t>
      </w:r>
    </w:p>
    <w:p>
      <w:pPr>
        <w:widowControl w:val="0"/>
        <w:spacing w:line="560" w:lineRule="exact"/>
        <w:ind w:firstLine="560" w:firstLineChars="200"/>
      </w:pPr>
      <w:r>
        <w:rPr>
          <w:rFonts w:hint="eastAsia"/>
        </w:rPr>
        <w:t>⑦协调指导全市在外务工人员关心关爱计划（“凤还巢”计划）的各项工作，组织开展各类关心关爱服务活动；</w:t>
      </w:r>
    </w:p>
    <w:p>
      <w:pPr>
        <w:widowControl w:val="0"/>
        <w:spacing w:line="560" w:lineRule="exact"/>
        <w:ind w:firstLine="560" w:firstLineChars="200"/>
      </w:pPr>
      <w:r>
        <w:rPr>
          <w:rFonts w:hint="eastAsia"/>
        </w:rPr>
        <w:t>⑧指导全市公共就业服务信息化建设，做好全市公共就业服务数据的统计分析等工作；</w:t>
      </w:r>
    </w:p>
    <w:p>
      <w:pPr>
        <w:widowControl w:val="0"/>
        <w:spacing w:line="560" w:lineRule="exact"/>
        <w:ind w:firstLine="560" w:firstLineChars="200"/>
      </w:pPr>
      <w:r>
        <w:rPr>
          <w:rFonts w:hint="eastAsia"/>
        </w:rPr>
        <w:t>⑨指导全市公共就业服务机构干部队伍的职业能力建设；</w:t>
      </w:r>
    </w:p>
    <w:p>
      <w:pPr>
        <w:widowControl w:val="0"/>
        <w:spacing w:line="560" w:lineRule="exact"/>
        <w:ind w:firstLine="560" w:firstLineChars="200"/>
      </w:pPr>
      <w:r>
        <w:rPr>
          <w:rFonts w:hint="eastAsia"/>
        </w:rPr>
        <w:t>⑩完成市人力资源和社会保障局交办的其他任务。</w:t>
      </w:r>
    </w:p>
    <w:p>
      <w:pPr>
        <w:widowControl w:val="0"/>
        <w:spacing w:line="560" w:lineRule="exact"/>
        <w:ind w:firstLine="560" w:firstLineChars="200"/>
      </w:pPr>
      <w:r>
        <w:rPr>
          <w:rFonts w:hint="eastAsia"/>
        </w:rPr>
        <w:t>（4）市劳动保障监察综合行政执法队</w:t>
      </w:r>
    </w:p>
    <w:p>
      <w:pPr>
        <w:widowControl w:val="0"/>
        <w:spacing w:line="560" w:lineRule="exact"/>
        <w:ind w:firstLine="560" w:firstLineChars="200"/>
      </w:pPr>
      <w:r>
        <w:rPr>
          <w:rFonts w:hint="eastAsia"/>
        </w:rPr>
        <w:t>①贯彻落实人力资源社会保障工作的方针政策、法律法规和市委、市政府决策部署；</w:t>
      </w:r>
    </w:p>
    <w:p>
      <w:pPr>
        <w:widowControl w:val="0"/>
        <w:spacing w:line="560" w:lineRule="exact"/>
        <w:ind w:firstLine="560" w:firstLineChars="200"/>
      </w:pPr>
      <w:r>
        <w:rPr>
          <w:rFonts w:hint="eastAsia"/>
        </w:rPr>
        <w:t>②宣传劳动保障法律、法规和规章，督促用人单位贯彻执行；</w:t>
      </w:r>
    </w:p>
    <w:p>
      <w:pPr>
        <w:widowControl w:val="0"/>
        <w:spacing w:line="560" w:lineRule="exact"/>
        <w:ind w:firstLine="560" w:firstLineChars="200"/>
      </w:pPr>
      <w:r>
        <w:rPr>
          <w:rFonts w:hint="eastAsia"/>
        </w:rPr>
        <w:t>③检查用人单位遵守劳动保障法律、法规和规章的情况；</w:t>
      </w:r>
    </w:p>
    <w:p>
      <w:pPr>
        <w:widowControl w:val="0"/>
        <w:spacing w:line="560" w:lineRule="exact"/>
        <w:ind w:firstLine="560" w:firstLineChars="200"/>
      </w:pPr>
      <w:r>
        <w:rPr>
          <w:rFonts w:hint="eastAsia"/>
        </w:rPr>
        <w:t>④受理对违反劳动保障法律、法规或者规章行为的举报、投诉；</w:t>
      </w:r>
    </w:p>
    <w:p>
      <w:pPr>
        <w:widowControl w:val="0"/>
        <w:spacing w:line="560" w:lineRule="exact"/>
        <w:ind w:firstLine="560" w:firstLineChars="200"/>
      </w:pPr>
      <w:r>
        <w:rPr>
          <w:rFonts w:hint="eastAsia"/>
        </w:rPr>
        <w:t>⑤依法纠正和查处违反劳动保障法律、法规或者规章的行为；</w:t>
      </w:r>
    </w:p>
    <w:p>
      <w:pPr>
        <w:widowControl w:val="0"/>
        <w:spacing w:line="560" w:lineRule="exact"/>
        <w:ind w:firstLine="560" w:firstLineChars="200"/>
      </w:pPr>
      <w:r>
        <w:rPr>
          <w:rFonts w:hint="eastAsia"/>
        </w:rPr>
        <w:t>⑥完成市人力资源和社会保障局交办的其他任务。</w:t>
      </w:r>
    </w:p>
    <w:p>
      <w:pPr>
        <w:widowControl w:val="0"/>
        <w:spacing w:line="560" w:lineRule="exact"/>
        <w:ind w:firstLine="560" w:firstLineChars="200"/>
      </w:pPr>
      <w:r>
        <w:rPr>
          <w:rFonts w:hint="eastAsia"/>
        </w:rPr>
        <w:t>（5）市劳动人事争议仲裁院</w:t>
      </w:r>
    </w:p>
    <w:p>
      <w:pPr>
        <w:widowControl w:val="0"/>
        <w:spacing w:line="560" w:lineRule="exact"/>
        <w:ind w:firstLine="560" w:firstLineChars="200"/>
      </w:pPr>
      <w:r>
        <w:rPr>
          <w:rFonts w:hint="eastAsia"/>
        </w:rPr>
        <w:t>开展劳动人事争议处理有关法律、法规及政策咨询；负责劳动人事争议案件的受理、审查、立案、仲裁及文书送达；承办市劳动人事争议仲裁委员会交办的工作；指导基层劳动人事争议仲裁院业务工作；完成市人力资源和社会保障局交办的其他任务。</w:t>
      </w:r>
    </w:p>
    <w:p>
      <w:pPr>
        <w:widowControl w:val="0"/>
        <w:spacing w:line="560" w:lineRule="exact"/>
        <w:ind w:firstLine="560" w:firstLineChars="200"/>
      </w:pPr>
      <w:r>
        <w:rPr>
          <w:rFonts w:hint="eastAsia"/>
        </w:rPr>
        <w:t>（6）市人事考试中心</w:t>
      </w:r>
    </w:p>
    <w:p>
      <w:pPr>
        <w:widowControl w:val="0"/>
        <w:spacing w:line="560" w:lineRule="exact"/>
        <w:ind w:firstLine="560" w:firstLineChars="200"/>
      </w:pPr>
      <w:r>
        <w:rPr>
          <w:rFonts w:hint="eastAsia"/>
        </w:rPr>
        <w:t>承担公务员录用、公务员遴选、选调优秀高校毕业生考试的考务组织工作；负责市直事业单位公开招聘考试的考务组织工作；负责全市选拔未就业高校毕业生到基层从事“三支一扶”考试的考务组织工作；负责专业技术资格考试的考务组织工作；开展人才测评和人事考试服务；开展考试理论研究、参与拟定全市人事考试考务管理制度、标准与技术规范；指导全市人事考试工作；完成市人力资源和社会保障局交办的其他任务。</w:t>
      </w:r>
    </w:p>
    <w:p>
      <w:pPr>
        <w:widowControl w:val="0"/>
        <w:spacing w:line="560" w:lineRule="exact"/>
        <w:ind w:firstLine="560" w:firstLineChars="200"/>
      </w:pPr>
      <w:r>
        <w:rPr>
          <w:rFonts w:hint="eastAsia"/>
        </w:rPr>
        <w:t>（7）市人社综合服务中心</w:t>
      </w:r>
    </w:p>
    <w:p>
      <w:pPr>
        <w:widowControl w:val="0"/>
        <w:spacing w:line="560" w:lineRule="exact"/>
        <w:ind w:firstLine="560" w:firstLineChars="200"/>
      </w:pPr>
      <w:r>
        <w:rPr>
          <w:rFonts w:hint="eastAsia"/>
        </w:rPr>
        <w:t xml:space="preserve"> 负责全市社会保障卡建设管理和发行应用；做好人力资源和社会保障信息系统建设管理和网络维护，为人社信息系统使用操作提供支持；负责全市PSM卡（终端安全控制模块）的发放管理工作；承办1233热线的建设、运行维护以及与12345热线联动工作；负责对省市视频会议系统提供技术支持服务；完成市人力资源和社会保障局交办的其他任务。</w:t>
      </w:r>
    </w:p>
    <w:p>
      <w:pPr>
        <w:widowControl w:val="0"/>
        <w:spacing w:line="560" w:lineRule="exact"/>
        <w:ind w:firstLine="560" w:firstLineChars="200"/>
      </w:pPr>
      <w:r>
        <w:rPr>
          <w:rFonts w:hint="eastAsia"/>
        </w:rPr>
        <w:t>（8）技能运城建设服务中心</w:t>
      </w:r>
    </w:p>
    <w:p>
      <w:pPr>
        <w:widowControl w:val="0"/>
        <w:spacing w:line="560" w:lineRule="exact"/>
        <w:ind w:firstLine="560" w:firstLineChars="200"/>
      </w:pPr>
      <w:r>
        <w:rPr>
          <w:rFonts w:hint="eastAsia"/>
        </w:rPr>
        <w:t>落实市委、市政府加快“技能运城”建设、实施技能富民战略工作要求，统筹协调劳动者技能提升工程；健全完善技能培训、政策支撑、劳务市场和信息管理体系；全面提升劳动者持证率、就业率、增收率，实现更加充分的就业增收；研究起草“技能运城”建设各项政策和年度工作计划，安排重点事项；加强工作指导，强化沟通协调，细化任务分工，督促责任落实，及时通报工作进展、总结工作成效、推广先进经验；完成市委、市政府、“技能运城”建设领导小组交办的其他事项。</w:t>
      </w:r>
    </w:p>
    <w:p>
      <w:pPr>
        <w:widowControl w:val="0"/>
        <w:spacing w:line="560" w:lineRule="exact"/>
        <w:ind w:firstLine="560" w:firstLineChars="200"/>
      </w:pPr>
      <w:r>
        <w:rPr>
          <w:rFonts w:hint="eastAsia"/>
        </w:rPr>
        <w:t>（9）市人力资源市场</w:t>
      </w:r>
    </w:p>
    <w:p>
      <w:pPr>
        <w:widowControl w:val="0"/>
        <w:spacing w:line="560" w:lineRule="exact"/>
        <w:ind w:firstLine="560" w:firstLineChars="200"/>
      </w:pPr>
      <w:r>
        <w:rPr>
          <w:rFonts w:hint="eastAsia"/>
        </w:rPr>
        <w:t>贯彻落实党中央、省委关于就业服务工作的方针政策、法律法规和市委市政府决策部署；负责实施人力资源招聘工作，组织参加全国性人才招聘活动；负责实施农村劳动力转移和劳务输出（对外劳务输出）工作，负责市域外人力资源供求信息收集、发布、对接工作；负责运城市人力资源市场网站建设、运行和管理；负责市直事业单位科级以下在编人员人事档案和流动人员人事档案管理、人事代理、人才流动、职业介绍、职业指导、人力资源测评等人才服务工作；负责全市(高、中)级专业技术人员评审资料的整理归档、录入工作和全市专业技术人员职称档案的管理工作；负责大学生实名制登记和《就业创业证》发放管理工作；做好相关信息统计工作；完成市人力资源和社会保障局交办的其他任务。</w:t>
      </w:r>
    </w:p>
    <w:p>
      <w:pPr>
        <w:widowControl w:val="0"/>
        <w:spacing w:line="560" w:lineRule="exact"/>
        <w:ind w:firstLine="560" w:firstLineChars="200"/>
      </w:pPr>
      <w:r>
        <w:rPr>
          <w:rFonts w:hint="eastAsia"/>
        </w:rPr>
        <w:t>（10）市职业能力建设服务中心</w:t>
      </w:r>
    </w:p>
    <w:p>
      <w:pPr>
        <w:widowControl w:val="0"/>
        <w:spacing w:line="560" w:lineRule="exact"/>
        <w:ind w:firstLine="560" w:firstLineChars="200"/>
      </w:pPr>
      <w:r>
        <w:rPr>
          <w:rFonts w:hint="eastAsia"/>
        </w:rPr>
        <w:t>协助局机关做好职业能力建设有关业务:承担全市职业技能鉴定、专项职业能力和机关事业单位工人技术等级岗位考核的组织实施；承担全市职业技能等级评价认定的技术支持、业务指导和监督管理；负责全市职业技能等级评价机构及考评人员、质量督导人员的遴选、培训考核使用等服务；组织全市技师、高级技师培训和考评工作；承担职业技能竞赛活动的技术支持与服务；组建专家委员会，开展职业技能培训的教学研究、教材开发、新职业开发、师资培训及派遣服务；承担全市职业技能培训机构办学及培训质量评估和技术支持服务；负责全市创业培训和职业技能培训工作业务指导、质量评估；负责对全市劳动力开展创业、就业、职业技能培训工作；承担企业在职工人技能培训、失业人员培训并指导就业基地建设工作；完成市人力资源和社会保障局交办的其他任务。</w:t>
      </w:r>
    </w:p>
    <w:bookmarkEnd w:id="54"/>
    <w:bookmarkEnd w:id="55"/>
    <w:bookmarkEnd w:id="56"/>
    <w:bookmarkEnd w:id="57"/>
    <w:p>
      <w:pPr>
        <w:pStyle w:val="4"/>
        <w:spacing w:before="0" w:after="0" w:line="560" w:lineRule="exact"/>
        <w:ind w:firstLine="562" w:firstLineChars="200"/>
        <w:rPr>
          <w:rFonts w:ascii="仿宋" w:hAnsi="仿宋" w:eastAsia="仿宋"/>
          <w:sz w:val="28"/>
        </w:rPr>
      </w:pPr>
      <w:bookmarkStart w:id="68" w:name="_Toc14386_WPSOffice_Level2"/>
      <w:bookmarkStart w:id="69" w:name="_Toc19483_WPSOffice_Level2"/>
      <w:bookmarkStart w:id="70" w:name="_Toc31663_WPSOffice_Level2"/>
      <w:bookmarkStart w:id="71" w:name="_Toc32246"/>
      <w:bookmarkStart w:id="72" w:name="_Toc1009"/>
      <w:bookmarkStart w:id="73" w:name="_Toc21180"/>
      <w:bookmarkStart w:id="74" w:name="_Toc23252"/>
      <w:bookmarkStart w:id="75" w:name="_Toc20468"/>
      <w:bookmarkStart w:id="76" w:name="_Toc11267"/>
      <w:r>
        <w:rPr>
          <w:rFonts w:hint="eastAsia" w:ascii="仿宋" w:hAnsi="仿宋" w:eastAsia="仿宋"/>
          <w:sz w:val="28"/>
        </w:rPr>
        <w:t>（二）</w:t>
      </w:r>
      <w:bookmarkEnd w:id="68"/>
      <w:bookmarkEnd w:id="69"/>
      <w:bookmarkEnd w:id="70"/>
      <w:r>
        <w:rPr>
          <w:rFonts w:hint="eastAsia" w:ascii="仿宋" w:hAnsi="仿宋" w:eastAsia="仿宋"/>
          <w:sz w:val="28"/>
        </w:rPr>
        <w:t>部门</w:t>
      </w:r>
      <w:bookmarkEnd w:id="71"/>
      <w:bookmarkEnd w:id="72"/>
      <w:bookmarkEnd w:id="73"/>
      <w:bookmarkEnd w:id="74"/>
      <w:bookmarkEnd w:id="75"/>
      <w:r>
        <w:rPr>
          <w:rFonts w:hint="eastAsia" w:ascii="仿宋" w:hAnsi="仿宋" w:eastAsia="仿宋"/>
          <w:sz w:val="28"/>
        </w:rPr>
        <w:t>预算收支及结转结余情况</w:t>
      </w:r>
      <w:bookmarkEnd w:id="76"/>
    </w:p>
    <w:bookmarkEnd w:id="42"/>
    <w:bookmarkEnd w:id="58"/>
    <w:bookmarkEnd w:id="59"/>
    <w:bookmarkEnd w:id="60"/>
    <w:bookmarkEnd w:id="61"/>
    <w:p>
      <w:pPr>
        <w:pStyle w:val="7"/>
        <w:widowControl w:val="0"/>
        <w:spacing w:line="560" w:lineRule="exact"/>
        <w:ind w:firstLine="560" w:firstLineChars="200"/>
        <w:outlineLvl w:val="2"/>
        <w:rPr>
          <w:rFonts w:ascii="仿宋" w:eastAsia="仿宋"/>
          <w:bCs/>
          <w:kern w:val="0"/>
          <w:sz w:val="28"/>
          <w:shd w:val="clear" w:color="auto" w:fill="FFFFFF"/>
        </w:rPr>
      </w:pPr>
      <w:bookmarkStart w:id="77" w:name="_Toc4902"/>
      <w:bookmarkStart w:id="78" w:name="_Toc27328"/>
      <w:bookmarkStart w:id="79" w:name="_Toc16275"/>
      <w:bookmarkStart w:id="80" w:name="_Toc21221"/>
      <w:bookmarkStart w:id="81" w:name="_Toc31446"/>
      <w:bookmarkStart w:id="82" w:name="_Toc8105"/>
      <w:bookmarkStart w:id="83" w:name="_Toc16314"/>
      <w:bookmarkStart w:id="84" w:name="_Toc22964"/>
      <w:r>
        <w:rPr>
          <w:rFonts w:hint="eastAsia" w:ascii="仿宋" w:eastAsia="仿宋"/>
          <w:kern w:val="0"/>
          <w:sz w:val="28"/>
          <w:shd w:val="clear" w:color="auto" w:fill="FFFFFF"/>
        </w:rPr>
        <w:t>1、预算批复情况</w:t>
      </w:r>
      <w:bookmarkEnd w:id="77"/>
      <w:bookmarkEnd w:id="78"/>
      <w:bookmarkEnd w:id="79"/>
      <w:bookmarkEnd w:id="80"/>
    </w:p>
    <w:p>
      <w:pPr>
        <w:pStyle w:val="7"/>
        <w:widowControl w:val="0"/>
        <w:spacing w:line="560" w:lineRule="exact"/>
        <w:ind w:firstLine="560" w:firstLineChars="200"/>
        <w:rPr>
          <w:rFonts w:ascii="仿宋" w:eastAsia="仿宋"/>
          <w:bCs/>
          <w:kern w:val="0"/>
          <w:sz w:val="28"/>
          <w:shd w:val="clear" w:color="auto" w:fill="FFFFFF"/>
        </w:rPr>
      </w:pPr>
      <w:r>
        <w:rPr>
          <w:rFonts w:hint="eastAsia" w:ascii="仿宋" w:eastAsia="仿宋"/>
          <w:bCs/>
          <w:kern w:val="0"/>
          <w:sz w:val="28"/>
          <w:shd w:val="clear" w:color="auto" w:fill="FFFFFF"/>
        </w:rPr>
        <w:t>2021年度运城市人力资源和社会保障局部门年初预算1,607</w:t>
      </w:r>
      <w:r>
        <w:rPr>
          <w:rFonts w:ascii="仿宋" w:eastAsia="仿宋"/>
          <w:bCs/>
          <w:kern w:val="0"/>
          <w:sz w:val="28"/>
          <w:shd w:val="clear" w:color="auto" w:fill="FFFFFF"/>
        </w:rPr>
        <w:t>.</w:t>
      </w:r>
      <w:r>
        <w:rPr>
          <w:rFonts w:hint="eastAsia" w:ascii="仿宋" w:eastAsia="仿宋"/>
          <w:bCs/>
          <w:kern w:val="0"/>
          <w:sz w:val="28"/>
          <w:shd w:val="clear" w:color="auto" w:fill="FFFFFF"/>
        </w:rPr>
        <w:t>61万元，调整后预算资金2,953.58万元，其他收入（非同级财政拨款、利息收入等）2,932.69万元，本年收入合计5,886.27万元。2021年预算安排资金情况见表1-1：</w:t>
      </w:r>
    </w:p>
    <w:p>
      <w:pPr>
        <w:pStyle w:val="7"/>
        <w:widowControl w:val="0"/>
        <w:spacing w:line="560" w:lineRule="exact"/>
        <w:jc w:val="center"/>
        <w:rPr>
          <w:rFonts w:ascii="仿宋" w:eastAsia="仿宋"/>
          <w:b/>
          <w:bCs/>
          <w:sz w:val="28"/>
        </w:rPr>
      </w:pPr>
    </w:p>
    <w:p>
      <w:pPr>
        <w:pStyle w:val="7"/>
        <w:widowControl w:val="0"/>
        <w:spacing w:line="560" w:lineRule="exact"/>
        <w:jc w:val="center"/>
        <w:rPr>
          <w:rFonts w:ascii="仿宋" w:eastAsia="仿宋"/>
          <w:b/>
          <w:bCs/>
          <w:sz w:val="28"/>
        </w:rPr>
      </w:pPr>
    </w:p>
    <w:p>
      <w:pPr>
        <w:pStyle w:val="7"/>
        <w:widowControl w:val="0"/>
        <w:spacing w:line="560" w:lineRule="exact"/>
        <w:jc w:val="center"/>
        <w:rPr>
          <w:rFonts w:ascii="仿宋" w:eastAsia="仿宋"/>
          <w:b/>
          <w:bCs/>
          <w:sz w:val="28"/>
        </w:rPr>
      </w:pPr>
      <w:r>
        <w:rPr>
          <w:rFonts w:hint="eastAsia" w:ascii="仿宋" w:eastAsia="仿宋"/>
          <w:b/>
          <w:bCs/>
          <w:sz w:val="28"/>
        </w:rPr>
        <w:t>表1-1 预算安排汇总表</w:t>
      </w:r>
    </w:p>
    <w:p>
      <w:pPr>
        <w:pStyle w:val="7"/>
        <w:widowControl w:val="0"/>
        <w:spacing w:line="560" w:lineRule="exact"/>
        <w:jc w:val="right"/>
        <w:rPr>
          <w:rFonts w:ascii="仿宋" w:eastAsia="仿宋"/>
          <w:sz w:val="24"/>
          <w:szCs w:val="24"/>
        </w:rPr>
      </w:pPr>
      <w:r>
        <w:rPr>
          <w:rFonts w:hint="eastAsia" w:ascii="仿宋" w:eastAsia="仿宋"/>
          <w:sz w:val="24"/>
          <w:szCs w:val="24"/>
        </w:rPr>
        <w:t>金额单位：万元</w:t>
      </w:r>
    </w:p>
    <w:tbl>
      <w:tblPr>
        <w:tblStyle w:val="19"/>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36"/>
        <w:gridCol w:w="1569"/>
        <w:gridCol w:w="1569"/>
        <w:gridCol w:w="1569"/>
        <w:gridCol w:w="1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1397" w:type="pct"/>
            <w:shd w:val="clear" w:color="auto" w:fill="FFFFFF"/>
            <w:noWrap/>
            <w:vAlign w:val="center"/>
          </w:tcPr>
          <w:p>
            <w:pPr>
              <w:jc w:val="center"/>
              <w:textAlignment w:val="center"/>
              <w:rPr>
                <w:b/>
                <w:bCs/>
                <w:color w:val="000000"/>
                <w:sz w:val="20"/>
                <w:szCs w:val="20"/>
              </w:rPr>
            </w:pPr>
            <w:r>
              <w:rPr>
                <w:rFonts w:hint="eastAsia"/>
                <w:b/>
                <w:bCs/>
                <w:color w:val="000000"/>
                <w:kern w:val="0"/>
                <w:sz w:val="20"/>
                <w:szCs w:val="20"/>
                <w:lang w:bidi="ar"/>
              </w:rPr>
              <w:t>预算项目</w:t>
            </w:r>
          </w:p>
        </w:tc>
        <w:tc>
          <w:tcPr>
            <w:tcW w:w="900" w:type="pct"/>
            <w:shd w:val="clear" w:color="auto" w:fill="FFFFFF"/>
            <w:noWrap/>
            <w:vAlign w:val="center"/>
          </w:tcPr>
          <w:p>
            <w:pPr>
              <w:jc w:val="center"/>
              <w:textAlignment w:val="center"/>
              <w:rPr>
                <w:b/>
                <w:bCs/>
                <w:color w:val="000000"/>
                <w:sz w:val="20"/>
                <w:szCs w:val="20"/>
              </w:rPr>
            </w:pPr>
            <w:r>
              <w:rPr>
                <w:rFonts w:hint="eastAsia"/>
                <w:b/>
                <w:bCs/>
                <w:color w:val="000000"/>
                <w:kern w:val="0"/>
                <w:sz w:val="20"/>
                <w:szCs w:val="20"/>
                <w:lang w:bidi="ar"/>
              </w:rPr>
              <w:t>年初预算数</w:t>
            </w:r>
          </w:p>
        </w:tc>
        <w:tc>
          <w:tcPr>
            <w:tcW w:w="900" w:type="pct"/>
            <w:shd w:val="clear" w:color="auto" w:fill="FFFFFF"/>
            <w:noWrap/>
            <w:vAlign w:val="center"/>
          </w:tcPr>
          <w:p>
            <w:pPr>
              <w:jc w:val="center"/>
              <w:textAlignment w:val="center"/>
              <w:rPr>
                <w:b/>
                <w:bCs/>
                <w:color w:val="000000"/>
                <w:sz w:val="20"/>
                <w:szCs w:val="20"/>
              </w:rPr>
            </w:pPr>
            <w:r>
              <w:rPr>
                <w:rFonts w:hint="eastAsia"/>
                <w:b/>
                <w:bCs/>
                <w:color w:val="000000"/>
                <w:kern w:val="0"/>
                <w:sz w:val="20"/>
                <w:szCs w:val="20"/>
                <w:lang w:bidi="ar"/>
              </w:rPr>
              <w:t>调整后预算数</w:t>
            </w:r>
          </w:p>
        </w:tc>
        <w:tc>
          <w:tcPr>
            <w:tcW w:w="900" w:type="pct"/>
            <w:shd w:val="clear" w:color="auto" w:fill="FFFFFF"/>
            <w:noWrap/>
            <w:vAlign w:val="center"/>
          </w:tcPr>
          <w:p>
            <w:pPr>
              <w:jc w:val="center"/>
              <w:textAlignment w:val="center"/>
              <w:rPr>
                <w:b/>
                <w:bCs/>
                <w:color w:val="000000"/>
                <w:sz w:val="20"/>
                <w:szCs w:val="20"/>
              </w:rPr>
            </w:pPr>
            <w:r>
              <w:rPr>
                <w:rFonts w:hint="eastAsia"/>
                <w:b/>
                <w:bCs/>
                <w:color w:val="000000"/>
                <w:kern w:val="0"/>
                <w:sz w:val="20"/>
                <w:szCs w:val="20"/>
                <w:lang w:bidi="ar"/>
              </w:rPr>
              <w:t>其他收入</w:t>
            </w:r>
          </w:p>
        </w:tc>
        <w:tc>
          <w:tcPr>
            <w:tcW w:w="901" w:type="pct"/>
            <w:shd w:val="clear" w:color="auto" w:fill="FFFFFF"/>
            <w:noWrap/>
            <w:vAlign w:val="center"/>
          </w:tcPr>
          <w:p>
            <w:pPr>
              <w:jc w:val="center"/>
              <w:textAlignment w:val="center"/>
              <w:rPr>
                <w:b/>
                <w:bCs/>
                <w:color w:val="000000"/>
                <w:sz w:val="20"/>
                <w:szCs w:val="20"/>
              </w:rPr>
            </w:pPr>
            <w:r>
              <w:rPr>
                <w:rFonts w:hint="eastAsia"/>
                <w:b/>
                <w:bCs/>
                <w:color w:val="000000"/>
                <w:kern w:val="0"/>
                <w:sz w:val="20"/>
                <w:szCs w:val="20"/>
                <w:lang w:bidi="ar"/>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1397" w:type="pct"/>
            <w:shd w:val="clear" w:color="auto" w:fill="FFFFFF"/>
            <w:noWrap/>
            <w:vAlign w:val="center"/>
          </w:tcPr>
          <w:p>
            <w:pPr>
              <w:textAlignment w:val="center"/>
              <w:rPr>
                <w:b/>
                <w:bCs/>
                <w:color w:val="000000"/>
                <w:sz w:val="20"/>
                <w:szCs w:val="20"/>
              </w:rPr>
            </w:pPr>
            <w:r>
              <w:rPr>
                <w:rFonts w:hint="eastAsia"/>
                <w:b/>
                <w:bCs/>
                <w:color w:val="000000"/>
                <w:kern w:val="0"/>
                <w:sz w:val="20"/>
                <w:szCs w:val="20"/>
                <w:lang w:bidi="ar"/>
              </w:rPr>
              <w:t>基本支出</w:t>
            </w:r>
          </w:p>
        </w:tc>
        <w:tc>
          <w:tcPr>
            <w:tcW w:w="900"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1,286.61 </w:t>
            </w:r>
          </w:p>
        </w:tc>
        <w:tc>
          <w:tcPr>
            <w:tcW w:w="900"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1,446.32 </w:t>
            </w:r>
          </w:p>
        </w:tc>
        <w:tc>
          <w:tcPr>
            <w:tcW w:w="900"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1.54 </w:t>
            </w:r>
          </w:p>
        </w:tc>
        <w:tc>
          <w:tcPr>
            <w:tcW w:w="901"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1,447.86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1397" w:type="pct"/>
            <w:shd w:val="clear" w:color="auto" w:fill="FFFFFF"/>
            <w:noWrap/>
            <w:vAlign w:val="center"/>
          </w:tcPr>
          <w:p>
            <w:pPr>
              <w:ind w:firstLine="200" w:firstLineChars="100"/>
              <w:jc w:val="left"/>
              <w:textAlignment w:val="center"/>
              <w:rPr>
                <w:color w:val="000000"/>
                <w:sz w:val="20"/>
                <w:szCs w:val="20"/>
              </w:rPr>
            </w:pPr>
            <w:r>
              <w:rPr>
                <w:rFonts w:hint="eastAsia"/>
                <w:color w:val="000000"/>
                <w:kern w:val="0"/>
                <w:sz w:val="20"/>
                <w:szCs w:val="20"/>
                <w:lang w:bidi="ar"/>
              </w:rPr>
              <w:t>人员经费</w:t>
            </w:r>
          </w:p>
        </w:tc>
        <w:tc>
          <w:tcPr>
            <w:tcW w:w="900"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1,140.29 </w:t>
            </w:r>
          </w:p>
        </w:tc>
        <w:tc>
          <w:tcPr>
            <w:tcW w:w="900"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1,305.36 </w:t>
            </w:r>
          </w:p>
        </w:tc>
        <w:tc>
          <w:tcPr>
            <w:tcW w:w="900" w:type="pct"/>
            <w:shd w:val="clear" w:color="auto" w:fill="FFFFFF"/>
            <w:noWrap/>
            <w:vAlign w:val="center"/>
          </w:tcPr>
          <w:p>
            <w:pPr>
              <w:jc w:val="right"/>
              <w:rPr>
                <w:rFonts w:ascii="Arial Narrow" w:hAnsi="Arial Narrow" w:eastAsia="Arial Narrow" w:cs="Arial Narrow"/>
                <w:color w:val="000000"/>
                <w:sz w:val="20"/>
                <w:szCs w:val="20"/>
              </w:rPr>
            </w:pPr>
          </w:p>
        </w:tc>
        <w:tc>
          <w:tcPr>
            <w:tcW w:w="901"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1,305.36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1397" w:type="pct"/>
            <w:shd w:val="clear" w:color="auto" w:fill="FFFFFF"/>
            <w:noWrap/>
            <w:vAlign w:val="center"/>
          </w:tcPr>
          <w:p>
            <w:pPr>
              <w:ind w:firstLine="200" w:firstLineChars="100"/>
              <w:jc w:val="left"/>
              <w:textAlignment w:val="center"/>
              <w:rPr>
                <w:color w:val="000000"/>
                <w:sz w:val="20"/>
                <w:szCs w:val="20"/>
              </w:rPr>
            </w:pPr>
            <w:r>
              <w:rPr>
                <w:rFonts w:hint="eastAsia"/>
                <w:color w:val="000000"/>
                <w:kern w:val="0"/>
                <w:sz w:val="20"/>
                <w:szCs w:val="20"/>
                <w:lang w:bidi="ar"/>
              </w:rPr>
              <w:t>公用经费</w:t>
            </w:r>
          </w:p>
        </w:tc>
        <w:tc>
          <w:tcPr>
            <w:tcW w:w="900"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146.32 </w:t>
            </w:r>
          </w:p>
        </w:tc>
        <w:tc>
          <w:tcPr>
            <w:tcW w:w="900"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140.96 </w:t>
            </w:r>
          </w:p>
        </w:tc>
        <w:tc>
          <w:tcPr>
            <w:tcW w:w="900"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1.54 </w:t>
            </w:r>
          </w:p>
        </w:tc>
        <w:tc>
          <w:tcPr>
            <w:tcW w:w="901"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142.50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1397" w:type="pct"/>
            <w:shd w:val="clear" w:color="auto" w:fill="FFFFFF"/>
            <w:noWrap/>
            <w:vAlign w:val="center"/>
          </w:tcPr>
          <w:p>
            <w:pPr>
              <w:textAlignment w:val="center"/>
              <w:rPr>
                <w:b/>
                <w:bCs/>
                <w:color w:val="000000"/>
                <w:sz w:val="20"/>
                <w:szCs w:val="20"/>
              </w:rPr>
            </w:pPr>
            <w:r>
              <w:rPr>
                <w:rFonts w:hint="eastAsia"/>
                <w:b/>
                <w:bCs/>
                <w:color w:val="000000"/>
                <w:kern w:val="0"/>
                <w:sz w:val="20"/>
                <w:szCs w:val="20"/>
                <w:lang w:bidi="ar"/>
              </w:rPr>
              <w:t>项目支出</w:t>
            </w:r>
          </w:p>
        </w:tc>
        <w:tc>
          <w:tcPr>
            <w:tcW w:w="900"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321.00 </w:t>
            </w:r>
          </w:p>
        </w:tc>
        <w:tc>
          <w:tcPr>
            <w:tcW w:w="900"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1,507.26 </w:t>
            </w:r>
          </w:p>
        </w:tc>
        <w:tc>
          <w:tcPr>
            <w:tcW w:w="900"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2,931.15 </w:t>
            </w:r>
          </w:p>
        </w:tc>
        <w:tc>
          <w:tcPr>
            <w:tcW w:w="901"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4,438.41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1397" w:type="pct"/>
            <w:shd w:val="clear" w:color="auto" w:fill="FFFFFF"/>
            <w:noWrap/>
            <w:vAlign w:val="center"/>
          </w:tcPr>
          <w:p>
            <w:pPr>
              <w:ind w:firstLine="200" w:firstLineChars="100"/>
              <w:jc w:val="left"/>
              <w:textAlignment w:val="center"/>
              <w:rPr>
                <w:color w:val="000000"/>
                <w:sz w:val="20"/>
                <w:szCs w:val="20"/>
              </w:rPr>
            </w:pPr>
            <w:r>
              <w:rPr>
                <w:rFonts w:hint="eastAsia"/>
                <w:color w:val="000000"/>
                <w:kern w:val="0"/>
                <w:sz w:val="20"/>
                <w:szCs w:val="20"/>
                <w:lang w:bidi="ar"/>
              </w:rPr>
              <w:t>年初预算</w:t>
            </w:r>
          </w:p>
        </w:tc>
        <w:tc>
          <w:tcPr>
            <w:tcW w:w="900"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321.00 </w:t>
            </w:r>
          </w:p>
        </w:tc>
        <w:tc>
          <w:tcPr>
            <w:tcW w:w="900"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184.71 </w:t>
            </w:r>
          </w:p>
        </w:tc>
        <w:tc>
          <w:tcPr>
            <w:tcW w:w="900" w:type="pct"/>
            <w:shd w:val="clear" w:color="auto" w:fill="FFFFFF"/>
            <w:noWrap/>
            <w:vAlign w:val="center"/>
          </w:tcPr>
          <w:p>
            <w:pPr>
              <w:jc w:val="right"/>
              <w:rPr>
                <w:rFonts w:ascii="Arial Narrow" w:hAnsi="Arial Narrow" w:eastAsia="Arial Narrow" w:cs="Arial Narrow"/>
                <w:b/>
                <w:bCs/>
                <w:color w:val="000000"/>
                <w:sz w:val="20"/>
                <w:szCs w:val="20"/>
              </w:rPr>
            </w:pPr>
          </w:p>
        </w:tc>
        <w:tc>
          <w:tcPr>
            <w:tcW w:w="901"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184.71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1397" w:type="pct"/>
            <w:shd w:val="clear" w:color="auto" w:fill="FFFFFF"/>
            <w:noWrap/>
            <w:vAlign w:val="center"/>
          </w:tcPr>
          <w:p>
            <w:pPr>
              <w:ind w:firstLine="200" w:firstLineChars="100"/>
              <w:jc w:val="left"/>
              <w:textAlignment w:val="center"/>
              <w:rPr>
                <w:color w:val="000000"/>
                <w:sz w:val="20"/>
                <w:szCs w:val="20"/>
              </w:rPr>
            </w:pPr>
            <w:r>
              <w:rPr>
                <w:rFonts w:hint="eastAsia"/>
                <w:color w:val="000000"/>
                <w:kern w:val="0"/>
                <w:sz w:val="20"/>
                <w:szCs w:val="20"/>
                <w:lang w:bidi="ar"/>
              </w:rPr>
              <w:t>追加预算</w:t>
            </w:r>
          </w:p>
        </w:tc>
        <w:tc>
          <w:tcPr>
            <w:tcW w:w="900" w:type="pct"/>
            <w:shd w:val="clear" w:color="auto" w:fill="FFFFFF"/>
            <w:noWrap/>
            <w:vAlign w:val="center"/>
          </w:tcPr>
          <w:p>
            <w:pPr>
              <w:jc w:val="right"/>
              <w:rPr>
                <w:rFonts w:ascii="Arial Narrow" w:hAnsi="Arial Narrow" w:eastAsia="Arial Narrow" w:cs="Arial Narrow"/>
                <w:color w:val="000000"/>
                <w:sz w:val="20"/>
                <w:szCs w:val="20"/>
              </w:rPr>
            </w:pPr>
          </w:p>
        </w:tc>
        <w:tc>
          <w:tcPr>
            <w:tcW w:w="900"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1,322.55 </w:t>
            </w:r>
          </w:p>
        </w:tc>
        <w:tc>
          <w:tcPr>
            <w:tcW w:w="900" w:type="pct"/>
            <w:shd w:val="clear" w:color="auto" w:fill="FFFFFF"/>
            <w:noWrap/>
            <w:vAlign w:val="center"/>
          </w:tcPr>
          <w:p>
            <w:pPr>
              <w:jc w:val="right"/>
              <w:rPr>
                <w:rFonts w:ascii="Arial Narrow" w:hAnsi="Arial Narrow" w:eastAsia="Arial Narrow" w:cs="Arial Narrow"/>
                <w:color w:val="000000"/>
                <w:sz w:val="20"/>
                <w:szCs w:val="20"/>
              </w:rPr>
            </w:pPr>
          </w:p>
        </w:tc>
        <w:tc>
          <w:tcPr>
            <w:tcW w:w="901"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1,322.55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397" w:type="pct"/>
            <w:shd w:val="clear" w:color="auto" w:fill="FFFFFF"/>
            <w:noWrap/>
            <w:vAlign w:val="center"/>
          </w:tcPr>
          <w:p>
            <w:pPr>
              <w:ind w:firstLine="200" w:firstLineChars="100"/>
              <w:jc w:val="left"/>
              <w:textAlignment w:val="center"/>
              <w:rPr>
                <w:color w:val="000000"/>
                <w:sz w:val="20"/>
                <w:szCs w:val="20"/>
              </w:rPr>
            </w:pPr>
            <w:r>
              <w:rPr>
                <w:rFonts w:hint="eastAsia"/>
                <w:color w:val="000000"/>
                <w:kern w:val="0"/>
                <w:sz w:val="20"/>
                <w:szCs w:val="20"/>
                <w:lang w:bidi="ar"/>
              </w:rPr>
              <w:t>非同级财政拨款收入</w:t>
            </w:r>
          </w:p>
        </w:tc>
        <w:tc>
          <w:tcPr>
            <w:tcW w:w="900" w:type="pct"/>
            <w:shd w:val="clear" w:color="auto" w:fill="FFFFFF"/>
            <w:noWrap/>
            <w:vAlign w:val="center"/>
          </w:tcPr>
          <w:p>
            <w:pPr>
              <w:jc w:val="right"/>
              <w:rPr>
                <w:rFonts w:ascii="Arial Narrow" w:hAnsi="Arial Narrow" w:eastAsia="Arial Narrow" w:cs="Arial Narrow"/>
                <w:color w:val="000000"/>
                <w:sz w:val="20"/>
                <w:szCs w:val="20"/>
              </w:rPr>
            </w:pPr>
          </w:p>
        </w:tc>
        <w:tc>
          <w:tcPr>
            <w:tcW w:w="900" w:type="pct"/>
            <w:shd w:val="clear" w:color="auto" w:fill="FFFFFF"/>
            <w:noWrap/>
            <w:vAlign w:val="center"/>
          </w:tcPr>
          <w:p>
            <w:pPr>
              <w:jc w:val="right"/>
              <w:rPr>
                <w:rFonts w:ascii="Arial Narrow" w:hAnsi="Arial Narrow" w:eastAsia="Arial Narrow" w:cs="Arial Narrow"/>
                <w:color w:val="000000"/>
                <w:sz w:val="20"/>
                <w:szCs w:val="20"/>
              </w:rPr>
            </w:pPr>
          </w:p>
        </w:tc>
        <w:tc>
          <w:tcPr>
            <w:tcW w:w="900"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2,931.15 </w:t>
            </w:r>
          </w:p>
        </w:tc>
        <w:tc>
          <w:tcPr>
            <w:tcW w:w="901" w:type="pct"/>
            <w:shd w:val="clear" w:color="auto" w:fill="FFFFFF"/>
            <w:noWrap/>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2,931.15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397" w:type="pct"/>
            <w:shd w:val="clear" w:color="auto" w:fill="FFFFFF"/>
            <w:noWrap/>
            <w:vAlign w:val="center"/>
          </w:tcPr>
          <w:p>
            <w:pPr>
              <w:jc w:val="center"/>
              <w:textAlignment w:val="center"/>
              <w:rPr>
                <w:b/>
                <w:bCs/>
                <w:color w:val="000000"/>
                <w:sz w:val="20"/>
                <w:szCs w:val="20"/>
              </w:rPr>
            </w:pPr>
            <w:r>
              <w:rPr>
                <w:rFonts w:hint="eastAsia"/>
                <w:b/>
                <w:bCs/>
                <w:color w:val="000000"/>
                <w:kern w:val="0"/>
                <w:sz w:val="20"/>
                <w:szCs w:val="20"/>
                <w:lang w:bidi="ar"/>
              </w:rPr>
              <w:t>合计</w:t>
            </w:r>
          </w:p>
        </w:tc>
        <w:tc>
          <w:tcPr>
            <w:tcW w:w="900"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1,607.61 </w:t>
            </w:r>
          </w:p>
        </w:tc>
        <w:tc>
          <w:tcPr>
            <w:tcW w:w="900"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2,953.58 </w:t>
            </w:r>
          </w:p>
        </w:tc>
        <w:tc>
          <w:tcPr>
            <w:tcW w:w="900"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2,932.69 </w:t>
            </w:r>
          </w:p>
        </w:tc>
        <w:tc>
          <w:tcPr>
            <w:tcW w:w="901" w:type="pct"/>
            <w:shd w:val="clear" w:color="auto" w:fill="FFFFFF"/>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5,886.27 </w:t>
            </w:r>
          </w:p>
        </w:tc>
      </w:tr>
    </w:tbl>
    <w:p>
      <w:pPr>
        <w:pStyle w:val="7"/>
        <w:widowControl w:val="0"/>
        <w:spacing w:line="560" w:lineRule="exact"/>
        <w:ind w:firstLine="562" w:firstLineChars="200"/>
        <w:outlineLvl w:val="2"/>
        <w:rPr>
          <w:rFonts w:ascii="仿宋" w:eastAsia="仿宋"/>
          <w:sz w:val="28"/>
        </w:rPr>
      </w:pPr>
      <w:bookmarkStart w:id="85" w:name="_Toc31575"/>
      <w:bookmarkStart w:id="86" w:name="_Toc32115"/>
      <w:bookmarkStart w:id="87" w:name="_Toc27984"/>
      <w:bookmarkStart w:id="88" w:name="_Toc29635"/>
      <w:r>
        <w:rPr>
          <w:rFonts w:hint="eastAsia" w:ascii="仿宋" w:eastAsia="仿宋"/>
          <w:b/>
          <w:kern w:val="0"/>
          <w:sz w:val="28"/>
          <w:shd w:val="clear" w:color="auto" w:fill="FFFFFF"/>
        </w:rPr>
        <w:t>2、预算资金下达情况</w:t>
      </w:r>
      <w:bookmarkEnd w:id="85"/>
      <w:bookmarkEnd w:id="86"/>
      <w:bookmarkEnd w:id="87"/>
      <w:bookmarkEnd w:id="88"/>
    </w:p>
    <w:p>
      <w:pPr>
        <w:pStyle w:val="7"/>
        <w:widowControl w:val="0"/>
        <w:spacing w:line="560" w:lineRule="exact"/>
        <w:ind w:firstLine="560" w:firstLineChars="200"/>
        <w:rPr>
          <w:rFonts w:ascii="仿宋" w:eastAsia="仿宋"/>
          <w:sz w:val="28"/>
        </w:rPr>
      </w:pPr>
      <w:r>
        <w:rPr>
          <w:rFonts w:hint="eastAsia" w:ascii="仿宋" w:eastAsia="仿宋"/>
          <w:sz w:val="28"/>
        </w:rPr>
        <w:t>2021年</w:t>
      </w:r>
      <w:r>
        <w:rPr>
          <w:rFonts w:hint="eastAsia" w:ascii="仿宋" w:eastAsia="仿宋"/>
          <w:bCs/>
          <w:kern w:val="0"/>
          <w:sz w:val="28"/>
          <w:shd w:val="clear" w:color="auto" w:fill="FFFFFF"/>
        </w:rPr>
        <w:t>运城市人力资源和社会保障局</w:t>
      </w:r>
      <w:r>
        <w:rPr>
          <w:rFonts w:hint="eastAsia" w:ascii="仿宋" w:eastAsia="仿宋"/>
          <w:sz w:val="28"/>
        </w:rPr>
        <w:t>2021年度可支配资金6,416</w:t>
      </w:r>
      <w:r>
        <w:rPr>
          <w:rFonts w:ascii="仿宋" w:eastAsia="仿宋"/>
          <w:sz w:val="28"/>
        </w:rPr>
        <w:t>.</w:t>
      </w:r>
      <w:r>
        <w:rPr>
          <w:rFonts w:hint="eastAsia" w:ascii="仿宋" w:eastAsia="仿宋"/>
          <w:sz w:val="28"/>
        </w:rPr>
        <w:t>61万元</w:t>
      </w:r>
      <w:r>
        <w:rPr>
          <w:rFonts w:ascii="仿宋" w:eastAsia="仿宋"/>
          <w:sz w:val="28"/>
        </w:rPr>
        <w:t>，其中：2021年度</w:t>
      </w:r>
      <w:r>
        <w:rPr>
          <w:rFonts w:hint="eastAsia" w:ascii="仿宋" w:eastAsia="仿宋"/>
          <w:sz w:val="28"/>
        </w:rPr>
        <w:t>实际取得各项收入5,886</w:t>
      </w:r>
      <w:r>
        <w:rPr>
          <w:rFonts w:ascii="仿宋" w:eastAsia="仿宋"/>
          <w:sz w:val="28"/>
        </w:rPr>
        <w:t>.</w:t>
      </w:r>
      <w:r>
        <w:rPr>
          <w:rFonts w:hint="eastAsia" w:ascii="仿宋" w:eastAsia="仿宋"/>
          <w:sz w:val="28"/>
        </w:rPr>
        <w:t>27万元，另有以前年度结转资金530</w:t>
      </w:r>
      <w:r>
        <w:rPr>
          <w:rFonts w:ascii="仿宋" w:eastAsia="仿宋"/>
          <w:sz w:val="28"/>
        </w:rPr>
        <w:t>.</w:t>
      </w:r>
      <w:r>
        <w:rPr>
          <w:rFonts w:hint="eastAsia" w:ascii="仿宋" w:eastAsia="仿宋"/>
          <w:sz w:val="28"/>
        </w:rPr>
        <w:t>3</w:t>
      </w:r>
      <w:r>
        <w:rPr>
          <w:rFonts w:ascii="仿宋" w:eastAsia="仿宋"/>
          <w:sz w:val="28"/>
        </w:rPr>
        <w:t>4</w:t>
      </w:r>
      <w:r>
        <w:rPr>
          <w:rFonts w:hint="eastAsia" w:ascii="仿宋" w:eastAsia="仿宋"/>
          <w:sz w:val="28"/>
        </w:rPr>
        <w:t>万元</w:t>
      </w:r>
      <w:bookmarkStart w:id="89" w:name="_Toc29818_WPSOffice_Level2"/>
      <w:bookmarkStart w:id="90" w:name="_Toc5303_WPSOffice_Level2"/>
      <w:r>
        <w:rPr>
          <w:rFonts w:hint="eastAsia" w:ascii="仿宋" w:eastAsia="仿宋"/>
          <w:sz w:val="28"/>
        </w:rPr>
        <w:t>。预算资金下达情况见表1-2：</w:t>
      </w:r>
    </w:p>
    <w:p>
      <w:pPr>
        <w:pStyle w:val="7"/>
        <w:widowControl w:val="0"/>
        <w:spacing w:line="560" w:lineRule="exact"/>
        <w:jc w:val="center"/>
        <w:rPr>
          <w:rFonts w:ascii="仿宋" w:eastAsia="仿宋"/>
          <w:b/>
          <w:bCs/>
          <w:sz w:val="28"/>
        </w:rPr>
      </w:pPr>
      <w:r>
        <w:rPr>
          <w:rFonts w:hint="eastAsia" w:ascii="仿宋" w:eastAsia="仿宋"/>
          <w:b/>
          <w:bCs/>
          <w:sz w:val="28"/>
        </w:rPr>
        <w:t>表1-2 可支配资金汇总表</w:t>
      </w:r>
    </w:p>
    <w:p>
      <w:pPr>
        <w:pStyle w:val="7"/>
        <w:widowControl w:val="0"/>
        <w:spacing w:line="560" w:lineRule="exact"/>
        <w:jc w:val="right"/>
        <w:rPr>
          <w:rFonts w:ascii="仿宋" w:eastAsia="仿宋"/>
          <w:sz w:val="24"/>
          <w:szCs w:val="24"/>
        </w:rPr>
      </w:pPr>
      <w:r>
        <w:rPr>
          <w:rFonts w:hint="eastAsia" w:ascii="仿宋" w:eastAsia="仿宋"/>
          <w:sz w:val="24"/>
          <w:szCs w:val="24"/>
        </w:rPr>
        <w:t>金额单位：万元</w:t>
      </w:r>
    </w:p>
    <w:tbl>
      <w:tblPr>
        <w:tblStyle w:val="19"/>
        <w:tblW w:w="4998" w:type="pct"/>
        <w:tblInd w:w="0" w:type="dxa"/>
        <w:tblLayout w:type="autofit"/>
        <w:tblCellMar>
          <w:top w:w="0" w:type="dxa"/>
          <w:left w:w="108" w:type="dxa"/>
          <w:bottom w:w="0" w:type="dxa"/>
          <w:right w:w="108" w:type="dxa"/>
        </w:tblCellMar>
      </w:tblPr>
      <w:tblGrid>
        <w:gridCol w:w="3368"/>
        <w:gridCol w:w="2014"/>
        <w:gridCol w:w="1793"/>
        <w:gridCol w:w="1542"/>
      </w:tblGrid>
      <w:tr>
        <w:tblPrEx>
          <w:tblCellMar>
            <w:top w:w="0" w:type="dxa"/>
            <w:left w:w="108" w:type="dxa"/>
            <w:bottom w:w="0" w:type="dxa"/>
            <w:right w:w="108" w:type="dxa"/>
          </w:tblCellMar>
        </w:tblPrEx>
        <w:trPr>
          <w:trHeight w:val="397" w:hRule="atLeast"/>
          <w:tblHeader/>
        </w:trPr>
        <w:tc>
          <w:tcPr>
            <w:tcW w:w="19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预算项目</w:t>
            </w:r>
          </w:p>
        </w:tc>
        <w:tc>
          <w:tcPr>
            <w:tcW w:w="11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年初结转结余</w:t>
            </w:r>
          </w:p>
        </w:tc>
        <w:tc>
          <w:tcPr>
            <w:tcW w:w="102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本年资金下达</w:t>
            </w: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合计</w:t>
            </w:r>
          </w:p>
        </w:tc>
      </w:tr>
      <w:tr>
        <w:tblPrEx>
          <w:tblCellMar>
            <w:top w:w="0" w:type="dxa"/>
            <w:left w:w="108" w:type="dxa"/>
            <w:bottom w:w="0" w:type="dxa"/>
            <w:right w:w="108" w:type="dxa"/>
          </w:tblCellMar>
        </w:tblPrEx>
        <w:trPr>
          <w:trHeight w:val="397" w:hRule="atLeast"/>
        </w:trPr>
        <w:tc>
          <w:tcPr>
            <w:tcW w:w="19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b/>
                <w:bCs/>
                <w:color w:val="000000"/>
                <w:sz w:val="20"/>
                <w:szCs w:val="20"/>
              </w:rPr>
            </w:pPr>
            <w:r>
              <w:rPr>
                <w:rFonts w:hint="eastAsia"/>
                <w:b/>
                <w:bCs/>
                <w:color w:val="000000"/>
                <w:kern w:val="0"/>
                <w:sz w:val="20"/>
                <w:szCs w:val="20"/>
              </w:rPr>
              <w:t>基本支出</w:t>
            </w:r>
          </w:p>
        </w:tc>
        <w:tc>
          <w:tcPr>
            <w:tcW w:w="201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b/>
                <w:bCs/>
                <w:color w:val="000000"/>
                <w:kern w:val="0"/>
                <w:sz w:val="20"/>
                <w:szCs w:val="20"/>
              </w:rPr>
            </w:pPr>
            <w:r>
              <w:rPr>
                <w:rFonts w:ascii="Arial Narrow" w:hAnsi="Arial Narrow" w:eastAsia="Arial Narrow" w:cs="Arial Narrow"/>
                <w:b/>
                <w:bCs/>
                <w:color w:val="000000"/>
                <w:kern w:val="0"/>
                <w:sz w:val="20"/>
                <w:szCs w:val="20"/>
                <w:lang w:bidi="ar"/>
              </w:rPr>
              <w:t xml:space="preserve">11.52 </w:t>
            </w:r>
          </w:p>
        </w:tc>
        <w:tc>
          <w:tcPr>
            <w:tcW w:w="179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1,447.86 </w:t>
            </w:r>
          </w:p>
        </w:tc>
        <w:tc>
          <w:tcPr>
            <w:tcW w:w="15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eastAsia="宋体"/>
                <w:b/>
                <w:bCs/>
                <w:color w:val="000000"/>
                <w:sz w:val="20"/>
                <w:szCs w:val="20"/>
              </w:rPr>
            </w:pPr>
            <w:r>
              <w:rPr>
                <w:rFonts w:ascii="Arial Narrow" w:hAnsi="Arial Narrow" w:eastAsia="Arial Narrow" w:cs="Arial Narrow"/>
                <w:b/>
                <w:bCs/>
                <w:color w:val="000000"/>
                <w:kern w:val="0"/>
                <w:sz w:val="20"/>
                <w:szCs w:val="20"/>
                <w:lang w:bidi="ar"/>
              </w:rPr>
              <w:t xml:space="preserve">1,459.38 </w:t>
            </w:r>
          </w:p>
        </w:tc>
      </w:tr>
      <w:tr>
        <w:tblPrEx>
          <w:tblCellMar>
            <w:top w:w="0" w:type="dxa"/>
            <w:left w:w="108" w:type="dxa"/>
            <w:bottom w:w="0" w:type="dxa"/>
            <w:right w:w="108" w:type="dxa"/>
          </w:tblCellMar>
        </w:tblPrEx>
        <w:trPr>
          <w:trHeight w:val="397" w:hRule="atLeast"/>
        </w:trPr>
        <w:tc>
          <w:tcPr>
            <w:tcW w:w="19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人员经费</w:t>
            </w:r>
          </w:p>
        </w:tc>
        <w:tc>
          <w:tcPr>
            <w:tcW w:w="201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color w:val="000000"/>
                <w:sz w:val="20"/>
                <w:szCs w:val="20"/>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1,305.36 </w:t>
            </w:r>
          </w:p>
        </w:tc>
        <w:tc>
          <w:tcPr>
            <w:tcW w:w="15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1,305.36 </w:t>
            </w:r>
          </w:p>
        </w:tc>
      </w:tr>
      <w:tr>
        <w:tblPrEx>
          <w:tblCellMar>
            <w:top w:w="0" w:type="dxa"/>
            <w:left w:w="108" w:type="dxa"/>
            <w:bottom w:w="0" w:type="dxa"/>
            <w:right w:w="108" w:type="dxa"/>
          </w:tblCellMar>
        </w:tblPrEx>
        <w:trPr>
          <w:trHeight w:val="397" w:hRule="atLeast"/>
        </w:trPr>
        <w:tc>
          <w:tcPr>
            <w:tcW w:w="19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公用经费</w:t>
            </w:r>
          </w:p>
        </w:tc>
        <w:tc>
          <w:tcPr>
            <w:tcW w:w="201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20"/>
              </w:rPr>
            </w:pPr>
            <w:r>
              <w:rPr>
                <w:rFonts w:ascii="Arial Narrow" w:hAnsi="Arial Narrow" w:eastAsia="Arial Narrow" w:cs="Arial Narrow"/>
                <w:color w:val="000000"/>
                <w:kern w:val="0"/>
                <w:sz w:val="20"/>
                <w:szCs w:val="20"/>
                <w:lang w:bidi="ar"/>
              </w:rPr>
              <w:t xml:space="preserve">11.52 </w:t>
            </w:r>
          </w:p>
        </w:tc>
        <w:tc>
          <w:tcPr>
            <w:tcW w:w="179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142.50 </w:t>
            </w:r>
          </w:p>
        </w:tc>
        <w:tc>
          <w:tcPr>
            <w:tcW w:w="15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20"/>
              </w:rPr>
            </w:pPr>
            <w:r>
              <w:rPr>
                <w:rFonts w:ascii="Arial Narrow" w:hAnsi="Arial Narrow" w:eastAsia="Arial Narrow" w:cs="Arial Narrow"/>
                <w:color w:val="000000"/>
                <w:kern w:val="0"/>
                <w:sz w:val="20"/>
                <w:szCs w:val="20"/>
                <w:lang w:bidi="ar"/>
              </w:rPr>
              <w:t xml:space="preserve">154.02 </w:t>
            </w:r>
          </w:p>
        </w:tc>
      </w:tr>
      <w:tr>
        <w:tblPrEx>
          <w:tblCellMar>
            <w:top w:w="0" w:type="dxa"/>
            <w:left w:w="108" w:type="dxa"/>
            <w:bottom w:w="0" w:type="dxa"/>
            <w:right w:w="108" w:type="dxa"/>
          </w:tblCellMar>
        </w:tblPrEx>
        <w:trPr>
          <w:trHeight w:val="397" w:hRule="atLeast"/>
        </w:trPr>
        <w:tc>
          <w:tcPr>
            <w:tcW w:w="19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b/>
                <w:bCs/>
                <w:color w:val="000000"/>
                <w:sz w:val="20"/>
                <w:szCs w:val="20"/>
              </w:rPr>
            </w:pPr>
            <w:r>
              <w:rPr>
                <w:rFonts w:hint="eastAsia"/>
                <w:b/>
                <w:bCs/>
                <w:color w:val="000000"/>
                <w:kern w:val="0"/>
                <w:sz w:val="20"/>
                <w:szCs w:val="20"/>
              </w:rPr>
              <w:t>项目支出</w:t>
            </w:r>
          </w:p>
        </w:tc>
        <w:tc>
          <w:tcPr>
            <w:tcW w:w="201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b/>
                <w:bCs/>
                <w:color w:val="000000"/>
                <w:sz w:val="20"/>
                <w:szCs w:val="20"/>
              </w:rPr>
            </w:pPr>
            <w:r>
              <w:rPr>
                <w:rFonts w:ascii="Arial Narrow" w:hAnsi="Arial Narrow" w:eastAsia="Arial Narrow" w:cs="Arial Narrow"/>
                <w:b/>
                <w:bCs/>
                <w:color w:val="000000"/>
                <w:kern w:val="0"/>
                <w:sz w:val="20"/>
                <w:szCs w:val="20"/>
                <w:lang w:bidi="ar"/>
              </w:rPr>
              <w:t xml:space="preserve">518.82 </w:t>
            </w:r>
          </w:p>
        </w:tc>
        <w:tc>
          <w:tcPr>
            <w:tcW w:w="179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b/>
                <w:bCs/>
                <w:color w:val="000000"/>
                <w:kern w:val="0"/>
                <w:sz w:val="20"/>
                <w:szCs w:val="20"/>
              </w:rPr>
            </w:pPr>
            <w:r>
              <w:rPr>
                <w:rFonts w:ascii="Arial Narrow" w:hAnsi="Arial Narrow" w:eastAsia="Arial Narrow" w:cs="Arial Narrow"/>
                <w:b/>
                <w:bCs/>
                <w:color w:val="000000"/>
                <w:kern w:val="0"/>
                <w:sz w:val="20"/>
                <w:szCs w:val="20"/>
                <w:lang w:bidi="ar"/>
              </w:rPr>
              <w:t xml:space="preserve">4,438.41 </w:t>
            </w:r>
          </w:p>
        </w:tc>
        <w:tc>
          <w:tcPr>
            <w:tcW w:w="15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b/>
                <w:bCs/>
                <w:color w:val="000000"/>
                <w:kern w:val="0"/>
                <w:sz w:val="20"/>
                <w:szCs w:val="20"/>
              </w:rPr>
            </w:pPr>
            <w:r>
              <w:rPr>
                <w:rFonts w:ascii="Arial Narrow" w:hAnsi="Arial Narrow" w:eastAsia="Arial Narrow" w:cs="Arial Narrow"/>
                <w:b/>
                <w:bCs/>
                <w:color w:val="000000"/>
                <w:kern w:val="0"/>
                <w:sz w:val="20"/>
                <w:szCs w:val="20"/>
                <w:lang w:bidi="ar"/>
              </w:rPr>
              <w:t xml:space="preserve">4,957.23 </w:t>
            </w:r>
          </w:p>
        </w:tc>
      </w:tr>
      <w:tr>
        <w:tblPrEx>
          <w:tblCellMar>
            <w:top w:w="0" w:type="dxa"/>
            <w:left w:w="108" w:type="dxa"/>
            <w:bottom w:w="0" w:type="dxa"/>
            <w:right w:w="108" w:type="dxa"/>
          </w:tblCellMar>
        </w:tblPrEx>
        <w:trPr>
          <w:trHeight w:val="397" w:hRule="atLeast"/>
        </w:trPr>
        <w:tc>
          <w:tcPr>
            <w:tcW w:w="19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年初预算</w:t>
            </w:r>
          </w:p>
        </w:tc>
        <w:tc>
          <w:tcPr>
            <w:tcW w:w="201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Arial Narrow" w:hAnsi="Arial Narrow" w:eastAsia="Arial Narrow" w:cs="Arial Narrow"/>
                <w:color w:val="000000"/>
                <w:kern w:val="0"/>
                <w:sz w:val="20"/>
                <w:szCs w:val="20"/>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184.71 </w:t>
            </w:r>
          </w:p>
        </w:tc>
        <w:tc>
          <w:tcPr>
            <w:tcW w:w="15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20"/>
              </w:rPr>
            </w:pPr>
            <w:r>
              <w:rPr>
                <w:rFonts w:ascii="Arial Narrow" w:hAnsi="Arial Narrow" w:eastAsia="Arial Narrow" w:cs="Arial Narrow"/>
                <w:color w:val="000000"/>
                <w:kern w:val="0"/>
                <w:sz w:val="20"/>
                <w:szCs w:val="20"/>
                <w:lang w:bidi="ar"/>
              </w:rPr>
              <w:t xml:space="preserve">184.71 </w:t>
            </w:r>
          </w:p>
        </w:tc>
      </w:tr>
      <w:tr>
        <w:tblPrEx>
          <w:tblCellMar>
            <w:top w:w="0" w:type="dxa"/>
            <w:left w:w="108" w:type="dxa"/>
            <w:bottom w:w="0" w:type="dxa"/>
            <w:right w:w="108" w:type="dxa"/>
          </w:tblCellMar>
        </w:tblPrEx>
        <w:trPr>
          <w:trHeight w:val="397" w:hRule="atLeast"/>
        </w:trPr>
        <w:tc>
          <w:tcPr>
            <w:tcW w:w="19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追加预算</w:t>
            </w:r>
          </w:p>
        </w:tc>
        <w:tc>
          <w:tcPr>
            <w:tcW w:w="201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211.26 </w:t>
            </w:r>
          </w:p>
        </w:tc>
        <w:tc>
          <w:tcPr>
            <w:tcW w:w="179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1,322.55 </w:t>
            </w:r>
          </w:p>
        </w:tc>
        <w:tc>
          <w:tcPr>
            <w:tcW w:w="15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1,533.81 </w:t>
            </w:r>
          </w:p>
        </w:tc>
      </w:tr>
      <w:tr>
        <w:tblPrEx>
          <w:tblCellMar>
            <w:top w:w="0" w:type="dxa"/>
            <w:left w:w="108" w:type="dxa"/>
            <w:bottom w:w="0" w:type="dxa"/>
            <w:right w:w="108" w:type="dxa"/>
          </w:tblCellMar>
        </w:tblPrEx>
        <w:trPr>
          <w:trHeight w:val="397" w:hRule="atLeast"/>
        </w:trPr>
        <w:tc>
          <w:tcPr>
            <w:tcW w:w="19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非同级财政拨款收入</w:t>
            </w:r>
          </w:p>
        </w:tc>
        <w:tc>
          <w:tcPr>
            <w:tcW w:w="201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307.56 </w:t>
            </w:r>
          </w:p>
        </w:tc>
        <w:tc>
          <w:tcPr>
            <w:tcW w:w="179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2,931.15 </w:t>
            </w:r>
          </w:p>
        </w:tc>
        <w:tc>
          <w:tcPr>
            <w:tcW w:w="15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20"/>
              </w:rPr>
            </w:pPr>
            <w:r>
              <w:rPr>
                <w:rFonts w:ascii="Arial Narrow" w:hAnsi="Arial Narrow" w:eastAsia="Arial Narrow" w:cs="Arial Narrow"/>
                <w:color w:val="000000"/>
                <w:kern w:val="0"/>
                <w:sz w:val="20"/>
                <w:szCs w:val="20"/>
                <w:lang w:bidi="ar"/>
              </w:rPr>
              <w:t xml:space="preserve">3,238.71 </w:t>
            </w:r>
          </w:p>
        </w:tc>
      </w:tr>
      <w:tr>
        <w:tblPrEx>
          <w:tblCellMar>
            <w:top w:w="0" w:type="dxa"/>
            <w:left w:w="108" w:type="dxa"/>
            <w:bottom w:w="0" w:type="dxa"/>
            <w:right w:w="108" w:type="dxa"/>
          </w:tblCellMar>
        </w:tblPrEx>
        <w:trPr>
          <w:trHeight w:val="397" w:hRule="atLeast"/>
        </w:trPr>
        <w:tc>
          <w:tcPr>
            <w:tcW w:w="19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合计</w:t>
            </w:r>
          </w:p>
        </w:tc>
        <w:tc>
          <w:tcPr>
            <w:tcW w:w="201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530.34 </w:t>
            </w:r>
          </w:p>
        </w:tc>
        <w:tc>
          <w:tcPr>
            <w:tcW w:w="179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b/>
                <w:bCs/>
                <w:color w:val="000000"/>
                <w:sz w:val="20"/>
                <w:szCs w:val="20"/>
              </w:rPr>
            </w:pPr>
            <w:r>
              <w:rPr>
                <w:rFonts w:ascii="Arial Narrow" w:hAnsi="Arial Narrow" w:eastAsia="Arial Narrow" w:cs="Arial Narrow"/>
                <w:b/>
                <w:bCs/>
                <w:color w:val="000000"/>
                <w:kern w:val="0"/>
                <w:sz w:val="20"/>
                <w:szCs w:val="20"/>
                <w:lang w:bidi="ar"/>
              </w:rPr>
              <w:t xml:space="preserve">5,886.27 </w:t>
            </w:r>
          </w:p>
        </w:tc>
        <w:tc>
          <w:tcPr>
            <w:tcW w:w="15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b/>
                <w:bCs/>
                <w:color w:val="000000"/>
                <w:sz w:val="20"/>
                <w:szCs w:val="20"/>
              </w:rPr>
            </w:pPr>
            <w:r>
              <w:rPr>
                <w:rFonts w:ascii="Arial Narrow" w:hAnsi="Arial Narrow" w:eastAsia="Arial Narrow" w:cs="Arial Narrow"/>
                <w:b/>
                <w:bCs/>
                <w:color w:val="000000"/>
                <w:kern w:val="0"/>
                <w:sz w:val="20"/>
                <w:szCs w:val="20"/>
                <w:lang w:bidi="ar"/>
              </w:rPr>
              <w:t xml:space="preserve">6,416.61 </w:t>
            </w:r>
          </w:p>
        </w:tc>
      </w:tr>
    </w:tbl>
    <w:p>
      <w:pPr>
        <w:widowControl w:val="0"/>
        <w:snapToGrid w:val="0"/>
        <w:spacing w:line="560" w:lineRule="exact"/>
        <w:ind w:firstLine="562" w:firstLineChars="200"/>
        <w:outlineLvl w:val="2"/>
        <w:rPr>
          <w:b/>
          <w:kern w:val="0"/>
          <w:shd w:val="clear" w:color="auto" w:fill="FFFFFF"/>
        </w:rPr>
      </w:pPr>
      <w:bookmarkStart w:id="91" w:name="_Toc8381"/>
      <w:bookmarkStart w:id="92" w:name="_Toc24013"/>
      <w:bookmarkStart w:id="93" w:name="_Toc25688"/>
      <w:bookmarkStart w:id="94" w:name="_Toc31439"/>
      <w:r>
        <w:rPr>
          <w:rFonts w:hint="eastAsia"/>
          <w:b/>
          <w:kern w:val="0"/>
          <w:shd w:val="clear" w:color="auto" w:fill="FFFFFF"/>
        </w:rPr>
        <w:t>3、</w:t>
      </w:r>
      <w:r>
        <w:rPr>
          <w:rFonts w:hint="eastAsia"/>
          <w:b/>
          <w:bCs/>
        </w:rPr>
        <w:t>202</w:t>
      </w:r>
      <w:r>
        <w:rPr>
          <w:b/>
          <w:bCs/>
        </w:rPr>
        <w:t>1</w:t>
      </w:r>
      <w:r>
        <w:rPr>
          <w:rFonts w:hint="eastAsia"/>
          <w:b/>
          <w:bCs/>
        </w:rPr>
        <w:t>年部门决算</w:t>
      </w:r>
      <w:r>
        <w:rPr>
          <w:rFonts w:hint="eastAsia"/>
          <w:b/>
          <w:kern w:val="0"/>
          <w:shd w:val="clear" w:color="auto" w:fill="FFFFFF"/>
        </w:rPr>
        <w:t>支出及结转结余情况</w:t>
      </w:r>
      <w:bookmarkEnd w:id="91"/>
      <w:bookmarkEnd w:id="92"/>
      <w:bookmarkEnd w:id="93"/>
      <w:bookmarkEnd w:id="94"/>
    </w:p>
    <w:p>
      <w:pPr>
        <w:widowControl w:val="0"/>
        <w:snapToGrid w:val="0"/>
        <w:spacing w:line="560" w:lineRule="exact"/>
        <w:ind w:firstLine="560" w:firstLineChars="200"/>
        <w:rPr>
          <w:kern w:val="0"/>
          <w:shd w:val="clear" w:color="auto" w:fill="FFFFFF"/>
        </w:rPr>
      </w:pPr>
      <w:r>
        <w:rPr>
          <w:rFonts w:hint="eastAsia"/>
          <w:kern w:val="0"/>
          <w:shd w:val="clear" w:color="auto" w:fill="FFFFFF"/>
        </w:rPr>
        <w:t>运城市人力资源和社会保障局2021年度</w:t>
      </w:r>
      <w:r>
        <w:rPr>
          <w:rFonts w:hint="eastAsia"/>
        </w:rPr>
        <w:t>可支配资金6,416</w:t>
      </w:r>
      <w:r>
        <w:t>.</w:t>
      </w:r>
      <w:r>
        <w:rPr>
          <w:rFonts w:hint="eastAsia"/>
        </w:rPr>
        <w:t>61万元，部门</w:t>
      </w:r>
      <w:r>
        <w:rPr>
          <w:rFonts w:hint="eastAsia"/>
          <w:kern w:val="0"/>
          <w:shd w:val="clear" w:color="auto" w:fill="FFFFFF"/>
        </w:rPr>
        <w:t>整体支出5,409.65万元，2021年财政收回结余资金0万元，2021年部门预算资金结转结余1,006.96万元。2021年度资金支出及结余情况见表1-3：</w:t>
      </w:r>
    </w:p>
    <w:p>
      <w:pPr>
        <w:pStyle w:val="7"/>
        <w:widowControl w:val="0"/>
        <w:spacing w:line="560" w:lineRule="exact"/>
        <w:ind w:firstLine="562" w:firstLineChars="200"/>
        <w:jc w:val="center"/>
        <w:rPr>
          <w:rFonts w:ascii="仿宋" w:eastAsia="仿宋"/>
          <w:b/>
          <w:bCs/>
          <w:sz w:val="28"/>
        </w:rPr>
      </w:pPr>
      <w:r>
        <w:rPr>
          <w:rFonts w:hint="eastAsia" w:ascii="仿宋" w:eastAsia="仿宋"/>
          <w:b/>
          <w:bCs/>
          <w:sz w:val="28"/>
        </w:rPr>
        <w:t>表1-3 2021年度资金支出及结余汇总表</w:t>
      </w:r>
    </w:p>
    <w:p>
      <w:pPr>
        <w:pStyle w:val="7"/>
        <w:widowControl w:val="0"/>
        <w:spacing w:line="560" w:lineRule="exact"/>
        <w:ind w:firstLine="480" w:firstLineChars="200"/>
        <w:jc w:val="right"/>
        <w:rPr>
          <w:rFonts w:ascii="仿宋" w:eastAsia="仿宋"/>
          <w:b/>
          <w:bCs/>
          <w:sz w:val="28"/>
        </w:rPr>
      </w:pPr>
      <w:r>
        <w:rPr>
          <w:rFonts w:hint="eastAsia" w:ascii="仿宋" w:eastAsia="仿宋"/>
          <w:sz w:val="24"/>
          <w:szCs w:val="24"/>
        </w:rPr>
        <w:t>金额单位：万元</w:t>
      </w:r>
    </w:p>
    <w:tbl>
      <w:tblPr>
        <w:tblStyle w:val="19"/>
        <w:tblW w:w="4998" w:type="pct"/>
        <w:jc w:val="center"/>
        <w:tblLayout w:type="autofit"/>
        <w:tblCellMar>
          <w:top w:w="0" w:type="dxa"/>
          <w:left w:w="108" w:type="dxa"/>
          <w:bottom w:w="0" w:type="dxa"/>
          <w:right w:w="108" w:type="dxa"/>
        </w:tblCellMar>
      </w:tblPr>
      <w:tblGrid>
        <w:gridCol w:w="3368"/>
        <w:gridCol w:w="1783"/>
        <w:gridCol w:w="1783"/>
        <w:gridCol w:w="1783"/>
      </w:tblGrid>
      <w:tr>
        <w:tblPrEx>
          <w:tblCellMar>
            <w:top w:w="0" w:type="dxa"/>
            <w:left w:w="108" w:type="dxa"/>
            <w:bottom w:w="0" w:type="dxa"/>
            <w:right w:w="108" w:type="dxa"/>
          </w:tblCellMar>
        </w:tblPrEx>
        <w:trPr>
          <w:trHeight w:val="397" w:hRule="atLeast"/>
          <w:tblHeader/>
          <w:jc w:val="center"/>
        </w:trPr>
        <w:tc>
          <w:tcPr>
            <w:tcW w:w="193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预算项目</w:t>
            </w:r>
          </w:p>
        </w:tc>
        <w:tc>
          <w:tcPr>
            <w:tcW w:w="10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可支配资金</w:t>
            </w:r>
          </w:p>
        </w:tc>
        <w:tc>
          <w:tcPr>
            <w:tcW w:w="10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本年支出</w:t>
            </w:r>
          </w:p>
        </w:tc>
        <w:tc>
          <w:tcPr>
            <w:tcW w:w="10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年末结转结余</w:t>
            </w:r>
          </w:p>
        </w:tc>
      </w:tr>
      <w:tr>
        <w:tblPrEx>
          <w:tblCellMar>
            <w:top w:w="0" w:type="dxa"/>
            <w:left w:w="108" w:type="dxa"/>
            <w:bottom w:w="0" w:type="dxa"/>
            <w:right w:w="108" w:type="dxa"/>
          </w:tblCellMar>
        </w:tblPrEx>
        <w:trPr>
          <w:trHeight w:val="397" w:hRule="atLeast"/>
          <w:jc w:val="center"/>
        </w:trPr>
        <w:tc>
          <w:tcPr>
            <w:tcW w:w="193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b/>
                <w:bCs/>
                <w:color w:val="000000"/>
                <w:sz w:val="20"/>
                <w:szCs w:val="20"/>
              </w:rPr>
            </w:pPr>
            <w:r>
              <w:rPr>
                <w:rFonts w:hint="eastAsia"/>
                <w:b/>
                <w:bCs/>
                <w:color w:val="000000"/>
                <w:kern w:val="0"/>
                <w:sz w:val="20"/>
                <w:szCs w:val="20"/>
              </w:rPr>
              <w:t>基本支出</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b/>
                <w:bCs/>
                <w:color w:val="000000"/>
                <w:sz w:val="20"/>
                <w:szCs w:val="20"/>
              </w:rPr>
            </w:pPr>
            <w:r>
              <w:rPr>
                <w:rFonts w:ascii="Arial Narrow" w:hAnsi="Arial Narrow" w:eastAsia="Arial Narrow" w:cs="Arial Narrow"/>
                <w:b/>
                <w:bCs/>
                <w:color w:val="000000"/>
                <w:kern w:val="0"/>
                <w:sz w:val="20"/>
                <w:szCs w:val="20"/>
                <w:lang w:bidi="ar"/>
              </w:rPr>
              <w:t>1,459.38</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b/>
                <w:bCs/>
                <w:color w:val="000000"/>
                <w:sz w:val="20"/>
                <w:szCs w:val="20"/>
              </w:rPr>
            </w:pPr>
            <w:r>
              <w:rPr>
                <w:rFonts w:ascii="Arial Narrow" w:hAnsi="Arial Narrow" w:eastAsia="Arial Narrow" w:cs="Arial Narrow"/>
                <w:b/>
                <w:bCs/>
                <w:color w:val="000000"/>
                <w:kern w:val="0"/>
                <w:sz w:val="20"/>
                <w:szCs w:val="20"/>
                <w:lang w:bidi="ar"/>
              </w:rPr>
              <w:t xml:space="preserve">1,457.89 </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b/>
                <w:bCs/>
                <w:color w:val="000000"/>
                <w:sz w:val="20"/>
                <w:szCs w:val="20"/>
              </w:rPr>
            </w:pPr>
            <w:r>
              <w:rPr>
                <w:rFonts w:ascii="Arial Narrow" w:hAnsi="Arial Narrow" w:eastAsia="Arial Narrow" w:cs="Arial Narrow"/>
                <w:b/>
                <w:bCs/>
                <w:color w:val="000000"/>
                <w:kern w:val="0"/>
                <w:sz w:val="20"/>
                <w:szCs w:val="20"/>
                <w:lang w:bidi="ar"/>
              </w:rPr>
              <w:t xml:space="preserve">1.49 </w:t>
            </w:r>
          </w:p>
        </w:tc>
      </w:tr>
      <w:tr>
        <w:tblPrEx>
          <w:tblCellMar>
            <w:top w:w="0" w:type="dxa"/>
            <w:left w:w="108" w:type="dxa"/>
            <w:bottom w:w="0" w:type="dxa"/>
            <w:right w:w="108" w:type="dxa"/>
          </w:tblCellMar>
        </w:tblPrEx>
        <w:trPr>
          <w:trHeight w:val="397" w:hRule="atLeast"/>
          <w:jc w:val="center"/>
        </w:trPr>
        <w:tc>
          <w:tcPr>
            <w:tcW w:w="193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人员经费</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20"/>
              </w:rPr>
            </w:pPr>
            <w:r>
              <w:rPr>
                <w:rFonts w:ascii="Arial Narrow" w:hAnsi="Arial Narrow" w:eastAsia="Arial Narrow" w:cs="Arial Narrow"/>
                <w:color w:val="000000"/>
                <w:kern w:val="0"/>
                <w:sz w:val="20"/>
                <w:szCs w:val="20"/>
                <w:lang w:bidi="ar"/>
              </w:rPr>
              <w:t>1,305.36</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20"/>
              </w:rPr>
            </w:pPr>
            <w:r>
              <w:rPr>
                <w:rFonts w:ascii="Arial Narrow" w:hAnsi="Arial Narrow" w:eastAsia="Arial Narrow" w:cs="Arial Narrow"/>
                <w:color w:val="000000"/>
                <w:kern w:val="0"/>
                <w:sz w:val="20"/>
                <w:szCs w:val="20"/>
                <w:lang w:bidi="ar"/>
              </w:rPr>
              <w:t xml:space="preserve">1,305.36 </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color w:val="000000"/>
                <w:sz w:val="20"/>
                <w:szCs w:val="20"/>
              </w:rPr>
            </w:pPr>
          </w:p>
        </w:tc>
      </w:tr>
      <w:tr>
        <w:tblPrEx>
          <w:tblCellMar>
            <w:top w:w="0" w:type="dxa"/>
            <w:left w:w="108" w:type="dxa"/>
            <w:bottom w:w="0" w:type="dxa"/>
            <w:right w:w="108" w:type="dxa"/>
          </w:tblCellMar>
        </w:tblPrEx>
        <w:trPr>
          <w:trHeight w:val="397" w:hRule="atLeast"/>
          <w:jc w:val="center"/>
        </w:trPr>
        <w:tc>
          <w:tcPr>
            <w:tcW w:w="193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公用经费</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20"/>
              </w:rPr>
            </w:pPr>
            <w:r>
              <w:rPr>
                <w:rFonts w:ascii="Arial Narrow" w:hAnsi="Arial Narrow" w:eastAsia="Arial Narrow" w:cs="Arial Narrow"/>
                <w:color w:val="000000"/>
                <w:kern w:val="0"/>
                <w:sz w:val="20"/>
                <w:szCs w:val="20"/>
                <w:lang w:bidi="ar"/>
              </w:rPr>
              <w:t>154.02</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20"/>
              </w:rPr>
            </w:pPr>
            <w:r>
              <w:rPr>
                <w:rFonts w:ascii="Arial Narrow" w:hAnsi="Arial Narrow" w:eastAsia="Arial Narrow" w:cs="Arial Narrow"/>
                <w:color w:val="000000"/>
                <w:kern w:val="0"/>
                <w:sz w:val="20"/>
                <w:szCs w:val="20"/>
                <w:lang w:bidi="ar"/>
              </w:rPr>
              <w:t xml:space="preserve">152.53 </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20"/>
              </w:rPr>
            </w:pPr>
            <w:r>
              <w:rPr>
                <w:rFonts w:ascii="Arial Narrow" w:hAnsi="Arial Narrow" w:eastAsia="Arial Narrow" w:cs="Arial Narrow"/>
                <w:color w:val="000000"/>
                <w:kern w:val="0"/>
                <w:sz w:val="20"/>
                <w:szCs w:val="20"/>
                <w:lang w:bidi="ar"/>
              </w:rPr>
              <w:t xml:space="preserve">1.49 </w:t>
            </w:r>
          </w:p>
        </w:tc>
      </w:tr>
      <w:tr>
        <w:tblPrEx>
          <w:tblCellMar>
            <w:top w:w="0" w:type="dxa"/>
            <w:left w:w="108" w:type="dxa"/>
            <w:bottom w:w="0" w:type="dxa"/>
            <w:right w:w="108" w:type="dxa"/>
          </w:tblCellMar>
        </w:tblPrEx>
        <w:trPr>
          <w:trHeight w:val="397" w:hRule="atLeast"/>
          <w:jc w:val="center"/>
        </w:trPr>
        <w:tc>
          <w:tcPr>
            <w:tcW w:w="193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sz w:val="20"/>
                <w:szCs w:val="20"/>
              </w:rPr>
            </w:pPr>
            <w:r>
              <w:rPr>
                <w:rFonts w:hint="eastAsia"/>
                <w:b/>
                <w:bCs/>
                <w:color w:val="000000"/>
                <w:kern w:val="0"/>
                <w:sz w:val="20"/>
                <w:szCs w:val="20"/>
              </w:rPr>
              <w:t>项目支出</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b/>
                <w:bCs/>
                <w:color w:val="000000"/>
                <w:kern w:val="0"/>
                <w:sz w:val="20"/>
                <w:szCs w:val="20"/>
              </w:rPr>
            </w:pPr>
            <w:r>
              <w:rPr>
                <w:rFonts w:ascii="Arial Narrow" w:hAnsi="Arial Narrow" w:eastAsia="Arial Narrow" w:cs="Arial Narrow"/>
                <w:b/>
                <w:bCs/>
                <w:color w:val="000000"/>
                <w:kern w:val="0"/>
                <w:sz w:val="20"/>
                <w:szCs w:val="20"/>
                <w:lang w:bidi="ar"/>
              </w:rPr>
              <w:t>4,957.23</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b/>
                <w:bCs/>
                <w:color w:val="000000"/>
                <w:kern w:val="0"/>
                <w:sz w:val="20"/>
                <w:szCs w:val="20"/>
              </w:rPr>
            </w:pPr>
            <w:r>
              <w:rPr>
                <w:rFonts w:ascii="Arial Narrow" w:hAnsi="Arial Narrow" w:eastAsia="Arial Narrow" w:cs="Arial Narrow"/>
                <w:b/>
                <w:bCs/>
                <w:color w:val="000000"/>
                <w:kern w:val="0"/>
                <w:sz w:val="20"/>
                <w:szCs w:val="20"/>
                <w:lang w:bidi="ar"/>
              </w:rPr>
              <w:t xml:space="preserve">3,951.76 </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20"/>
              </w:rPr>
            </w:pPr>
            <w:r>
              <w:rPr>
                <w:rFonts w:ascii="Arial Narrow" w:hAnsi="Arial Narrow" w:eastAsia="Arial Narrow" w:cs="Arial Narrow"/>
                <w:b/>
                <w:bCs/>
                <w:color w:val="000000"/>
                <w:kern w:val="0"/>
                <w:sz w:val="20"/>
                <w:szCs w:val="20"/>
                <w:lang w:bidi="ar"/>
              </w:rPr>
              <w:t xml:space="preserve">1,005.47 </w:t>
            </w:r>
          </w:p>
        </w:tc>
      </w:tr>
      <w:tr>
        <w:tblPrEx>
          <w:tblCellMar>
            <w:top w:w="0" w:type="dxa"/>
            <w:left w:w="108" w:type="dxa"/>
            <w:bottom w:w="0" w:type="dxa"/>
            <w:right w:w="108" w:type="dxa"/>
          </w:tblCellMar>
        </w:tblPrEx>
        <w:trPr>
          <w:trHeight w:val="397" w:hRule="atLeast"/>
          <w:jc w:val="center"/>
        </w:trPr>
        <w:tc>
          <w:tcPr>
            <w:tcW w:w="193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年初预算</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184.71</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184.71 </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color w:val="000000"/>
                <w:sz w:val="20"/>
                <w:szCs w:val="20"/>
              </w:rPr>
            </w:pPr>
          </w:p>
        </w:tc>
      </w:tr>
      <w:tr>
        <w:tblPrEx>
          <w:tblCellMar>
            <w:top w:w="0" w:type="dxa"/>
            <w:left w:w="108" w:type="dxa"/>
            <w:bottom w:w="0" w:type="dxa"/>
            <w:right w:w="108" w:type="dxa"/>
          </w:tblCellMar>
        </w:tblPrEx>
        <w:trPr>
          <w:trHeight w:val="397" w:hRule="atLeast"/>
          <w:jc w:val="center"/>
        </w:trPr>
        <w:tc>
          <w:tcPr>
            <w:tcW w:w="193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追加预算</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1,533.81</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1,533.81 </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color w:val="000000"/>
                <w:sz w:val="20"/>
                <w:szCs w:val="20"/>
              </w:rPr>
            </w:pPr>
          </w:p>
        </w:tc>
      </w:tr>
      <w:tr>
        <w:tblPrEx>
          <w:tblCellMar>
            <w:top w:w="0" w:type="dxa"/>
            <w:left w:w="108" w:type="dxa"/>
            <w:bottom w:w="0" w:type="dxa"/>
            <w:right w:w="108" w:type="dxa"/>
          </w:tblCellMar>
        </w:tblPrEx>
        <w:trPr>
          <w:trHeight w:val="397" w:hRule="atLeast"/>
          <w:jc w:val="center"/>
        </w:trPr>
        <w:tc>
          <w:tcPr>
            <w:tcW w:w="193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ind w:firstLine="200" w:firstLineChars="100"/>
              <w:jc w:val="left"/>
              <w:textAlignment w:val="center"/>
              <w:rPr>
                <w:color w:val="000000"/>
                <w:sz w:val="20"/>
                <w:szCs w:val="20"/>
              </w:rPr>
            </w:pPr>
            <w:r>
              <w:rPr>
                <w:rFonts w:hint="eastAsia"/>
                <w:color w:val="000000"/>
                <w:kern w:val="0"/>
                <w:sz w:val="20"/>
                <w:szCs w:val="20"/>
              </w:rPr>
              <w:t>非同级财政拨款收入</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3,238.71</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color w:val="000000"/>
                <w:kern w:val="0"/>
                <w:sz w:val="20"/>
                <w:szCs w:val="20"/>
              </w:rPr>
            </w:pPr>
            <w:r>
              <w:rPr>
                <w:rFonts w:ascii="Arial Narrow" w:hAnsi="Arial Narrow" w:eastAsia="Arial Narrow" w:cs="Arial Narrow"/>
                <w:color w:val="000000"/>
                <w:kern w:val="0"/>
                <w:sz w:val="20"/>
                <w:szCs w:val="20"/>
                <w:lang w:bidi="ar"/>
              </w:rPr>
              <w:t xml:space="preserve">2,233.24 </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20"/>
              </w:rPr>
            </w:pPr>
            <w:r>
              <w:rPr>
                <w:rFonts w:ascii="Arial Narrow" w:hAnsi="Arial Narrow" w:eastAsia="Arial Narrow" w:cs="Arial Narrow"/>
                <w:color w:val="000000"/>
                <w:kern w:val="0"/>
                <w:sz w:val="20"/>
                <w:szCs w:val="20"/>
                <w:lang w:bidi="ar"/>
              </w:rPr>
              <w:t xml:space="preserve">1,005.47 </w:t>
            </w:r>
          </w:p>
        </w:tc>
      </w:tr>
      <w:tr>
        <w:tblPrEx>
          <w:tblCellMar>
            <w:top w:w="0" w:type="dxa"/>
            <w:left w:w="108" w:type="dxa"/>
            <w:bottom w:w="0" w:type="dxa"/>
            <w:right w:w="108" w:type="dxa"/>
          </w:tblCellMar>
        </w:tblPrEx>
        <w:trPr>
          <w:trHeight w:val="397" w:hRule="atLeast"/>
          <w:jc w:val="center"/>
        </w:trPr>
        <w:tc>
          <w:tcPr>
            <w:tcW w:w="193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20"/>
              </w:rPr>
            </w:pPr>
            <w:r>
              <w:rPr>
                <w:rFonts w:hint="eastAsia"/>
                <w:b/>
                <w:bCs/>
                <w:color w:val="000000"/>
                <w:kern w:val="0"/>
                <w:sz w:val="20"/>
                <w:szCs w:val="20"/>
              </w:rPr>
              <w:t>合计</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b/>
                <w:bCs/>
                <w:color w:val="000000"/>
                <w:sz w:val="20"/>
                <w:szCs w:val="20"/>
              </w:rPr>
            </w:pPr>
            <w:r>
              <w:rPr>
                <w:rFonts w:ascii="Arial Narrow" w:hAnsi="Arial Narrow" w:eastAsia="Arial Narrow" w:cs="Arial Narrow"/>
                <w:b/>
                <w:bCs/>
                <w:color w:val="000000"/>
                <w:kern w:val="0"/>
                <w:sz w:val="20"/>
                <w:szCs w:val="20"/>
                <w:lang w:bidi="ar"/>
              </w:rPr>
              <w:t>6,416.61</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Arial Narrow" w:cs="Arial Narrow"/>
                <w:b/>
                <w:bCs/>
                <w:color w:val="000000"/>
                <w:kern w:val="0"/>
                <w:sz w:val="20"/>
                <w:szCs w:val="20"/>
              </w:rPr>
            </w:pPr>
            <w:r>
              <w:rPr>
                <w:rFonts w:ascii="Arial Narrow" w:hAnsi="Arial Narrow" w:eastAsia="Arial Narrow" w:cs="Arial Narrow"/>
                <w:b/>
                <w:bCs/>
                <w:color w:val="000000"/>
                <w:kern w:val="0"/>
                <w:sz w:val="20"/>
                <w:szCs w:val="20"/>
                <w:lang w:bidi="ar"/>
              </w:rPr>
              <w:t xml:space="preserve">5,409.65 </w:t>
            </w:r>
          </w:p>
        </w:tc>
        <w:tc>
          <w:tcPr>
            <w:tcW w:w="17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b/>
                <w:bCs/>
                <w:color w:val="000000"/>
                <w:kern w:val="0"/>
                <w:sz w:val="20"/>
                <w:szCs w:val="20"/>
              </w:rPr>
            </w:pPr>
            <w:r>
              <w:rPr>
                <w:rFonts w:ascii="Arial Narrow" w:hAnsi="Arial Narrow" w:eastAsia="Arial Narrow" w:cs="Arial Narrow"/>
                <w:b/>
                <w:bCs/>
                <w:color w:val="000000"/>
                <w:kern w:val="0"/>
                <w:sz w:val="20"/>
                <w:szCs w:val="20"/>
                <w:lang w:bidi="ar"/>
              </w:rPr>
              <w:t xml:space="preserve">1,006.96 </w:t>
            </w:r>
          </w:p>
        </w:tc>
      </w:tr>
      <w:bookmarkEnd w:id="89"/>
      <w:bookmarkEnd w:id="90"/>
    </w:tbl>
    <w:p>
      <w:pPr>
        <w:widowControl w:val="0"/>
        <w:spacing w:line="560" w:lineRule="exact"/>
        <w:ind w:firstLine="560" w:firstLineChars="200"/>
        <w:rPr>
          <w:bCs/>
        </w:rPr>
      </w:pPr>
      <w:r>
        <w:rPr>
          <w:rFonts w:hint="eastAsia"/>
          <w:bCs/>
        </w:rPr>
        <w:t>说明：2021年末结转结余资金1,006.96万元，其中货币资金1,006.96万元、财政应返还额度0万元。</w:t>
      </w:r>
    </w:p>
    <w:p>
      <w:pPr>
        <w:pStyle w:val="4"/>
        <w:spacing w:before="0" w:after="0" w:line="560" w:lineRule="exact"/>
        <w:ind w:firstLine="562" w:firstLineChars="200"/>
        <w:rPr>
          <w:rFonts w:ascii="仿宋" w:hAnsi="仿宋" w:eastAsia="仿宋"/>
          <w:sz w:val="28"/>
        </w:rPr>
      </w:pPr>
      <w:bookmarkStart w:id="95" w:name="_Toc18372"/>
      <w:r>
        <w:rPr>
          <w:rFonts w:hint="eastAsia" w:ascii="仿宋" w:hAnsi="仿宋" w:eastAsia="仿宋"/>
          <w:sz w:val="28"/>
        </w:rPr>
        <w:t>（三）部门固定资产情况</w:t>
      </w:r>
      <w:bookmarkEnd w:id="81"/>
      <w:bookmarkEnd w:id="82"/>
      <w:bookmarkEnd w:id="83"/>
      <w:bookmarkEnd w:id="84"/>
      <w:bookmarkEnd w:id="95"/>
    </w:p>
    <w:p>
      <w:pPr>
        <w:widowControl w:val="0"/>
        <w:spacing w:line="560" w:lineRule="exact"/>
        <w:ind w:firstLine="560" w:firstLineChars="200"/>
        <w:jc w:val="left"/>
        <w:rPr>
          <w:bCs/>
        </w:rPr>
      </w:pPr>
      <w:r>
        <w:rPr>
          <w:rFonts w:hint="eastAsia"/>
          <w:bCs/>
        </w:rPr>
        <w:t>202</w:t>
      </w:r>
      <w:r>
        <w:rPr>
          <w:bCs/>
        </w:rPr>
        <w:t>1</w:t>
      </w:r>
      <w:r>
        <w:rPr>
          <w:rFonts w:hint="eastAsia"/>
          <w:bCs/>
        </w:rPr>
        <w:t>年12月31日，运城市人力资源和社会保障局及下属事业单位账面资产原值共计755.79万元，其中：固定资产原值579.56万元，无形资产原值176.23万元。具体情况见表1-4：</w:t>
      </w:r>
    </w:p>
    <w:p>
      <w:pPr>
        <w:widowControl w:val="0"/>
        <w:spacing w:line="560" w:lineRule="exact"/>
        <w:jc w:val="center"/>
        <w:rPr>
          <w:b/>
          <w:bCs/>
        </w:rPr>
      </w:pPr>
      <w:r>
        <w:rPr>
          <w:rFonts w:hint="eastAsia"/>
          <w:b/>
          <w:bCs/>
        </w:rPr>
        <w:t>表1-4 资产情况表</w:t>
      </w:r>
    </w:p>
    <w:p>
      <w:pPr>
        <w:widowControl w:val="0"/>
        <w:spacing w:line="560" w:lineRule="exact"/>
        <w:jc w:val="right"/>
        <w:rPr>
          <w:b/>
          <w:bCs/>
        </w:rPr>
      </w:pPr>
      <w:r>
        <w:rPr>
          <w:rFonts w:hint="eastAsia"/>
          <w:sz w:val="24"/>
          <w:szCs w:val="24"/>
        </w:rPr>
        <w:t>金额单位：元</w:t>
      </w:r>
    </w:p>
    <w:tbl>
      <w:tblPr>
        <w:tblStyle w:val="19"/>
        <w:tblW w:w="5000" w:type="pct"/>
        <w:tblInd w:w="0" w:type="dxa"/>
        <w:shd w:val="clear" w:color="auto" w:fill="FFFFFF" w:themeFill="background1"/>
        <w:tblLayout w:type="fixed"/>
        <w:tblCellMar>
          <w:top w:w="0" w:type="dxa"/>
          <w:left w:w="108" w:type="dxa"/>
          <w:bottom w:w="0" w:type="dxa"/>
          <w:right w:w="108" w:type="dxa"/>
        </w:tblCellMar>
      </w:tblPr>
      <w:tblGrid>
        <w:gridCol w:w="1019"/>
        <w:gridCol w:w="715"/>
        <w:gridCol w:w="999"/>
        <w:gridCol w:w="1235"/>
        <w:gridCol w:w="916"/>
        <w:gridCol w:w="1367"/>
        <w:gridCol w:w="1217"/>
        <w:gridCol w:w="1252"/>
      </w:tblGrid>
      <w:tr>
        <w:tblPrEx>
          <w:shd w:val="clear" w:color="auto" w:fill="FFFFFF" w:themeFill="background1"/>
          <w:tblCellMar>
            <w:top w:w="0" w:type="dxa"/>
            <w:left w:w="108" w:type="dxa"/>
            <w:bottom w:w="0" w:type="dxa"/>
            <w:right w:w="108" w:type="dxa"/>
          </w:tblCellMar>
        </w:tblPrEx>
        <w:trPr>
          <w:trHeight w:val="397" w:hRule="atLeast"/>
          <w:tblHeader/>
        </w:trPr>
        <w:tc>
          <w:tcPr>
            <w:tcW w:w="5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280" w:lineRule="exact"/>
              <w:jc w:val="center"/>
              <w:rPr>
                <w:b/>
                <w:bCs/>
                <w:color w:val="000000"/>
                <w:sz w:val="20"/>
                <w:szCs w:val="20"/>
              </w:rPr>
            </w:pPr>
            <w:r>
              <w:rPr>
                <w:rFonts w:hint="eastAsia"/>
                <w:b/>
                <w:bCs/>
                <w:color w:val="000000"/>
                <w:kern w:val="0"/>
                <w:sz w:val="20"/>
                <w:szCs w:val="20"/>
              </w:rPr>
              <w:t>部门</w:t>
            </w:r>
          </w:p>
        </w:tc>
        <w:tc>
          <w:tcPr>
            <w:tcW w:w="41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280" w:lineRule="exact"/>
              <w:jc w:val="center"/>
              <w:rPr>
                <w:b/>
                <w:bCs/>
                <w:color w:val="000000"/>
                <w:sz w:val="20"/>
                <w:szCs w:val="20"/>
              </w:rPr>
            </w:pPr>
            <w:r>
              <w:rPr>
                <w:rFonts w:hint="eastAsia"/>
                <w:b/>
                <w:bCs/>
                <w:color w:val="000000"/>
                <w:kern w:val="0"/>
                <w:sz w:val="20"/>
                <w:szCs w:val="20"/>
              </w:rPr>
              <w:t>资产数量</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80" w:lineRule="exact"/>
              <w:jc w:val="center"/>
              <w:textAlignment w:val="center"/>
              <w:rPr>
                <w:b/>
                <w:bCs/>
                <w:color w:val="000000"/>
                <w:sz w:val="20"/>
                <w:szCs w:val="20"/>
              </w:rPr>
            </w:pPr>
            <w:r>
              <w:rPr>
                <w:rFonts w:hint="eastAsia"/>
                <w:b/>
                <w:bCs/>
                <w:color w:val="000000"/>
                <w:kern w:val="0"/>
                <w:sz w:val="20"/>
                <w:szCs w:val="20"/>
              </w:rPr>
              <w:t>土地、房屋及构筑物</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280" w:lineRule="exact"/>
              <w:jc w:val="center"/>
              <w:textAlignment w:val="center"/>
              <w:rPr>
                <w:b/>
                <w:bCs/>
                <w:color w:val="000000"/>
                <w:sz w:val="20"/>
                <w:szCs w:val="20"/>
              </w:rPr>
            </w:pPr>
            <w:r>
              <w:rPr>
                <w:rFonts w:hint="eastAsia"/>
                <w:b/>
                <w:bCs/>
                <w:color w:val="000000"/>
                <w:kern w:val="0"/>
                <w:sz w:val="20"/>
                <w:szCs w:val="20"/>
              </w:rPr>
              <w:t>通用设备</w:t>
            </w:r>
          </w:p>
        </w:tc>
        <w:tc>
          <w:tcPr>
            <w:tcW w:w="5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280" w:lineRule="exact"/>
              <w:jc w:val="center"/>
              <w:textAlignment w:val="center"/>
              <w:rPr>
                <w:b/>
                <w:bCs/>
                <w:color w:val="000000"/>
                <w:sz w:val="20"/>
                <w:szCs w:val="20"/>
              </w:rPr>
            </w:pPr>
            <w:r>
              <w:rPr>
                <w:rFonts w:hint="eastAsia"/>
                <w:b/>
                <w:bCs/>
                <w:color w:val="000000"/>
                <w:kern w:val="0"/>
                <w:sz w:val="20"/>
                <w:szCs w:val="20"/>
              </w:rPr>
              <w:t>专用设备</w:t>
            </w:r>
          </w:p>
        </w:tc>
        <w:tc>
          <w:tcPr>
            <w:tcW w:w="7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kern w:val="0"/>
                <w:sz w:val="20"/>
                <w:szCs w:val="20"/>
              </w:rPr>
            </w:pPr>
            <w:r>
              <w:rPr>
                <w:rFonts w:hint="eastAsia"/>
                <w:b/>
                <w:bCs/>
                <w:color w:val="000000"/>
                <w:kern w:val="0"/>
                <w:sz w:val="20"/>
                <w:szCs w:val="20"/>
              </w:rPr>
              <w:t>家具、用具、装具及动植物</w:t>
            </w:r>
          </w:p>
        </w:tc>
        <w:tc>
          <w:tcPr>
            <w:tcW w:w="69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280" w:lineRule="exact"/>
              <w:jc w:val="center"/>
              <w:textAlignment w:val="center"/>
              <w:rPr>
                <w:b/>
                <w:bCs/>
                <w:color w:val="000000"/>
                <w:kern w:val="0"/>
                <w:sz w:val="20"/>
                <w:szCs w:val="20"/>
              </w:rPr>
            </w:pPr>
            <w:r>
              <w:rPr>
                <w:rFonts w:hint="eastAsia"/>
                <w:b/>
                <w:bCs/>
                <w:color w:val="000000"/>
                <w:kern w:val="0"/>
                <w:sz w:val="20"/>
                <w:szCs w:val="20"/>
              </w:rPr>
              <w:t>无形资产</w:t>
            </w:r>
          </w:p>
        </w:tc>
        <w:tc>
          <w:tcPr>
            <w:tcW w:w="7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280" w:lineRule="exact"/>
              <w:jc w:val="center"/>
              <w:textAlignment w:val="center"/>
              <w:rPr>
                <w:b/>
                <w:bCs/>
                <w:color w:val="000000"/>
                <w:kern w:val="0"/>
                <w:sz w:val="20"/>
                <w:szCs w:val="20"/>
              </w:rPr>
            </w:pPr>
            <w:r>
              <w:rPr>
                <w:rFonts w:hint="eastAsia"/>
                <w:b/>
                <w:bCs/>
                <w:color w:val="000000"/>
                <w:kern w:val="0"/>
                <w:sz w:val="20"/>
                <w:szCs w:val="20"/>
              </w:rPr>
              <w:t>合计</w:t>
            </w:r>
          </w:p>
        </w:tc>
      </w:tr>
      <w:tr>
        <w:tblPrEx>
          <w:shd w:val="clear" w:color="auto" w:fill="FFFFFF" w:themeFill="background1"/>
          <w:tblCellMar>
            <w:top w:w="0" w:type="dxa"/>
            <w:left w:w="108" w:type="dxa"/>
            <w:bottom w:w="0" w:type="dxa"/>
            <w:right w:w="108" w:type="dxa"/>
          </w:tblCellMar>
        </w:tblPrEx>
        <w:trPr>
          <w:trHeight w:val="397" w:hRule="atLeast"/>
        </w:trPr>
        <w:tc>
          <w:tcPr>
            <w:tcW w:w="5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280" w:lineRule="exact"/>
              <w:textAlignment w:val="center"/>
              <w:rPr>
                <w:color w:val="000000"/>
                <w:sz w:val="20"/>
                <w:szCs w:val="20"/>
              </w:rPr>
            </w:pPr>
            <w:r>
              <w:rPr>
                <w:rFonts w:hint="eastAsia"/>
                <w:color w:val="000000"/>
                <w:kern w:val="0"/>
                <w:sz w:val="20"/>
                <w:szCs w:val="20"/>
              </w:rPr>
              <w:t>固定资产</w:t>
            </w:r>
          </w:p>
        </w:tc>
        <w:tc>
          <w:tcPr>
            <w:tcW w:w="41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color w:val="000000"/>
                <w:sz w:val="20"/>
                <w:szCs w:val="20"/>
              </w:rPr>
            </w:pPr>
            <w:r>
              <w:rPr>
                <w:rFonts w:hint="eastAsia" w:ascii="Arial Narrow" w:hAnsi="Arial Narrow" w:cs="Arial Narrow"/>
                <w:color w:val="000000"/>
                <w:sz w:val="20"/>
                <w:szCs w:val="20"/>
              </w:rPr>
              <w:t>2356</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color w:val="000000"/>
                <w:sz w:val="20"/>
                <w:szCs w:val="20"/>
              </w:rPr>
            </w:pPr>
            <w:r>
              <w:rPr>
                <w:rFonts w:hint="eastAsia" w:ascii="Arial Narrow" w:hAnsi="Arial Narrow" w:cs="Arial Narrow"/>
                <w:color w:val="000000"/>
                <w:sz w:val="20"/>
                <w:szCs w:val="20"/>
              </w:rPr>
              <w:t>12,339.40</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color w:val="000000"/>
                <w:sz w:val="20"/>
                <w:szCs w:val="20"/>
              </w:rPr>
            </w:pPr>
            <w:r>
              <w:rPr>
                <w:rFonts w:hint="eastAsia" w:ascii="Arial Narrow" w:hAnsi="Arial Narrow" w:cs="Arial Narrow"/>
                <w:color w:val="000000"/>
                <w:sz w:val="20"/>
                <w:szCs w:val="20"/>
              </w:rPr>
              <w:t>5,357,266.09</w:t>
            </w:r>
          </w:p>
        </w:tc>
        <w:tc>
          <w:tcPr>
            <w:tcW w:w="5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sz w:val="20"/>
                <w:szCs w:val="20"/>
              </w:rPr>
            </w:pPr>
            <w:r>
              <w:rPr>
                <w:rFonts w:hint="eastAsia" w:ascii="Arial Narrow" w:hAnsi="Arial Narrow" w:eastAsia="宋体" w:cs="Arial Narrow"/>
                <w:color w:val="000000"/>
                <w:kern w:val="0"/>
                <w:sz w:val="20"/>
                <w:szCs w:val="20"/>
              </w:rPr>
              <w:t>2</w:t>
            </w:r>
            <w:r>
              <w:rPr>
                <w:rFonts w:ascii="Arial Narrow" w:hAnsi="Arial Narrow" w:eastAsia="Arial Narrow" w:cs="Arial Narrow"/>
                <w:color w:val="000000"/>
                <w:kern w:val="0"/>
                <w:sz w:val="20"/>
                <w:szCs w:val="20"/>
              </w:rPr>
              <w:t>,</w:t>
            </w:r>
            <w:r>
              <w:rPr>
                <w:rFonts w:hint="eastAsia" w:ascii="Arial Narrow" w:hAnsi="Arial Narrow" w:eastAsia="宋体" w:cs="Arial Narrow"/>
                <w:color w:val="000000"/>
                <w:kern w:val="0"/>
                <w:sz w:val="20"/>
                <w:szCs w:val="20"/>
              </w:rPr>
              <w:t>997</w:t>
            </w:r>
            <w:r>
              <w:rPr>
                <w:rFonts w:ascii="Arial Narrow" w:hAnsi="Arial Narrow" w:eastAsia="Arial Narrow" w:cs="Arial Narrow"/>
                <w:color w:val="000000"/>
                <w:kern w:val="0"/>
                <w:sz w:val="20"/>
                <w:szCs w:val="20"/>
              </w:rPr>
              <w:t>.</w:t>
            </w:r>
            <w:r>
              <w:rPr>
                <w:rFonts w:hint="eastAsia" w:ascii="Arial Narrow" w:hAnsi="Arial Narrow" w:eastAsia="宋体" w:cs="Arial Narrow"/>
                <w:color w:val="000000"/>
                <w:kern w:val="0"/>
                <w:sz w:val="20"/>
                <w:szCs w:val="20"/>
              </w:rPr>
              <w:t>00</w:t>
            </w:r>
          </w:p>
        </w:tc>
        <w:tc>
          <w:tcPr>
            <w:tcW w:w="7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color w:val="000000"/>
                <w:kern w:val="0"/>
                <w:sz w:val="20"/>
                <w:szCs w:val="20"/>
              </w:rPr>
            </w:pPr>
            <w:r>
              <w:rPr>
                <w:rFonts w:hint="eastAsia" w:ascii="Arial Narrow" w:hAnsi="Arial Narrow" w:cs="Arial Narrow"/>
                <w:color w:val="000000"/>
                <w:kern w:val="0"/>
                <w:sz w:val="20"/>
                <w:szCs w:val="20"/>
              </w:rPr>
              <w:t>423,001.00</w:t>
            </w:r>
          </w:p>
        </w:tc>
        <w:tc>
          <w:tcPr>
            <w:tcW w:w="69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Arial Narrow" w:hAnsi="Arial Narrow" w:cs="Arial Narrow"/>
                <w:color w:val="000000"/>
                <w:kern w:val="0"/>
                <w:sz w:val="20"/>
                <w:szCs w:val="20"/>
              </w:rPr>
            </w:pPr>
          </w:p>
        </w:tc>
        <w:tc>
          <w:tcPr>
            <w:tcW w:w="7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color w:val="000000"/>
                <w:sz w:val="20"/>
                <w:szCs w:val="20"/>
              </w:rPr>
            </w:pPr>
            <w:r>
              <w:rPr>
                <w:rFonts w:hint="eastAsia" w:ascii="Arial Narrow" w:hAnsi="Arial Narrow" w:cs="Arial Narrow"/>
                <w:color w:val="000000"/>
                <w:sz w:val="20"/>
                <w:szCs w:val="20"/>
              </w:rPr>
              <w:t>5,795,603.49</w:t>
            </w:r>
          </w:p>
        </w:tc>
      </w:tr>
      <w:tr>
        <w:tblPrEx>
          <w:shd w:val="clear" w:color="auto" w:fill="FFFFFF" w:themeFill="background1"/>
          <w:tblCellMar>
            <w:top w:w="0" w:type="dxa"/>
            <w:left w:w="108" w:type="dxa"/>
            <w:bottom w:w="0" w:type="dxa"/>
            <w:right w:w="108" w:type="dxa"/>
          </w:tblCellMar>
        </w:tblPrEx>
        <w:trPr>
          <w:trHeight w:val="397" w:hRule="atLeast"/>
        </w:trPr>
        <w:tc>
          <w:tcPr>
            <w:tcW w:w="5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280" w:lineRule="exact"/>
              <w:textAlignment w:val="center"/>
              <w:rPr>
                <w:color w:val="000000"/>
                <w:kern w:val="0"/>
                <w:sz w:val="20"/>
                <w:szCs w:val="20"/>
              </w:rPr>
            </w:pPr>
            <w:r>
              <w:rPr>
                <w:rFonts w:hint="eastAsia"/>
                <w:color w:val="000000"/>
                <w:kern w:val="0"/>
                <w:sz w:val="20"/>
                <w:szCs w:val="20"/>
              </w:rPr>
              <w:t>无形资产</w:t>
            </w:r>
          </w:p>
        </w:tc>
        <w:tc>
          <w:tcPr>
            <w:tcW w:w="41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color w:val="000000"/>
                <w:kern w:val="0"/>
                <w:sz w:val="20"/>
                <w:szCs w:val="20"/>
              </w:rPr>
            </w:pPr>
            <w:r>
              <w:rPr>
                <w:rFonts w:hint="eastAsia" w:ascii="Arial Narrow" w:hAnsi="Arial Narrow" w:cs="Arial Narrow"/>
                <w:color w:val="000000"/>
                <w:kern w:val="0"/>
                <w:sz w:val="20"/>
                <w:szCs w:val="20"/>
              </w:rPr>
              <w:t>4</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Arial Narrow" w:hAnsi="Arial Narrow" w:cs="Arial Narrow"/>
                <w:color w:val="000000"/>
                <w:kern w:val="0"/>
                <w:sz w:val="20"/>
                <w:szCs w:val="20"/>
              </w:rPr>
            </w:pP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Arial Narrow" w:hAnsi="Arial Narrow" w:cs="Arial Narrow"/>
                <w:color w:val="000000"/>
                <w:kern w:val="0"/>
                <w:sz w:val="20"/>
                <w:szCs w:val="20"/>
              </w:rPr>
            </w:pPr>
          </w:p>
        </w:tc>
        <w:tc>
          <w:tcPr>
            <w:tcW w:w="5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Arial Narrow" w:hAnsi="Arial Narrow" w:cs="Arial Narrow"/>
                <w:color w:val="000000"/>
                <w:kern w:val="0"/>
                <w:sz w:val="20"/>
                <w:szCs w:val="20"/>
              </w:rPr>
            </w:pPr>
          </w:p>
        </w:tc>
        <w:tc>
          <w:tcPr>
            <w:tcW w:w="7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Arial Narrow" w:hAnsi="Arial Narrow" w:cs="Arial Narrow"/>
                <w:color w:val="000000"/>
                <w:kern w:val="0"/>
                <w:sz w:val="20"/>
                <w:szCs w:val="20"/>
              </w:rPr>
            </w:pPr>
          </w:p>
        </w:tc>
        <w:tc>
          <w:tcPr>
            <w:tcW w:w="69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color w:val="000000"/>
                <w:kern w:val="0"/>
                <w:sz w:val="20"/>
                <w:szCs w:val="20"/>
              </w:rPr>
            </w:pPr>
            <w:r>
              <w:rPr>
                <w:rFonts w:hint="eastAsia" w:ascii="Arial Narrow" w:hAnsi="Arial Narrow" w:cs="Arial Narrow"/>
                <w:color w:val="000000"/>
                <w:kern w:val="0"/>
                <w:sz w:val="20"/>
                <w:szCs w:val="20"/>
              </w:rPr>
              <w:t>1,762,300.00</w:t>
            </w:r>
          </w:p>
        </w:tc>
        <w:tc>
          <w:tcPr>
            <w:tcW w:w="7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color w:val="000000"/>
                <w:kern w:val="0"/>
                <w:sz w:val="20"/>
                <w:szCs w:val="20"/>
              </w:rPr>
            </w:pPr>
            <w:r>
              <w:rPr>
                <w:rFonts w:hint="eastAsia" w:ascii="Arial Narrow" w:hAnsi="Arial Narrow" w:cs="Arial Narrow"/>
                <w:color w:val="000000"/>
                <w:kern w:val="0"/>
                <w:sz w:val="20"/>
                <w:szCs w:val="20"/>
              </w:rPr>
              <w:t>1,762,300.00</w:t>
            </w:r>
          </w:p>
        </w:tc>
      </w:tr>
      <w:tr>
        <w:tblPrEx>
          <w:shd w:val="clear" w:color="auto" w:fill="FFFFFF" w:themeFill="background1"/>
          <w:tblCellMar>
            <w:top w:w="0" w:type="dxa"/>
            <w:left w:w="108" w:type="dxa"/>
            <w:bottom w:w="0" w:type="dxa"/>
            <w:right w:w="108" w:type="dxa"/>
          </w:tblCellMar>
        </w:tblPrEx>
        <w:trPr>
          <w:trHeight w:val="397" w:hRule="atLeast"/>
        </w:trPr>
        <w:tc>
          <w:tcPr>
            <w:tcW w:w="5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280" w:lineRule="exact"/>
              <w:jc w:val="center"/>
              <w:rPr>
                <w:b/>
                <w:bCs/>
                <w:color w:val="000000"/>
                <w:sz w:val="20"/>
                <w:szCs w:val="20"/>
              </w:rPr>
            </w:pPr>
            <w:r>
              <w:rPr>
                <w:rFonts w:hint="eastAsia"/>
                <w:b/>
                <w:bCs/>
                <w:color w:val="000000"/>
                <w:sz w:val="20"/>
                <w:szCs w:val="20"/>
              </w:rPr>
              <w:t>合计</w:t>
            </w:r>
          </w:p>
        </w:tc>
        <w:tc>
          <w:tcPr>
            <w:tcW w:w="41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b/>
                <w:bCs/>
                <w:color w:val="000000"/>
                <w:sz w:val="20"/>
                <w:szCs w:val="20"/>
              </w:rPr>
            </w:pPr>
            <w:r>
              <w:rPr>
                <w:rFonts w:hint="eastAsia" w:ascii="Arial Narrow" w:hAnsi="Arial Narrow" w:eastAsia="宋体" w:cs="Arial Narrow"/>
                <w:b/>
                <w:bCs/>
                <w:color w:val="000000"/>
                <w:kern w:val="0"/>
                <w:sz w:val="20"/>
                <w:szCs w:val="20"/>
              </w:rPr>
              <w:t>2360</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cs="Arial Narrow"/>
                <w:b/>
                <w:bCs/>
                <w:color w:val="000000"/>
                <w:sz w:val="20"/>
                <w:szCs w:val="20"/>
              </w:rPr>
            </w:pPr>
            <w:r>
              <w:rPr>
                <w:rFonts w:hint="eastAsia" w:ascii="Arial Narrow" w:hAnsi="Arial Narrow" w:cs="Arial Narrow"/>
                <w:b/>
                <w:bCs/>
                <w:color w:val="000000"/>
                <w:sz w:val="20"/>
                <w:szCs w:val="20"/>
              </w:rPr>
              <w:t>12,339.40</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b/>
                <w:bCs/>
                <w:color w:val="000000"/>
                <w:sz w:val="20"/>
                <w:szCs w:val="20"/>
              </w:rPr>
            </w:pPr>
            <w:r>
              <w:rPr>
                <w:rFonts w:hint="eastAsia" w:ascii="Arial Narrow" w:hAnsi="Arial Narrow" w:cs="Arial Narrow"/>
                <w:b/>
                <w:bCs/>
                <w:color w:val="000000"/>
                <w:sz w:val="20"/>
                <w:szCs w:val="20"/>
              </w:rPr>
              <w:t>5,357,266.09</w:t>
            </w:r>
          </w:p>
        </w:tc>
        <w:tc>
          <w:tcPr>
            <w:tcW w:w="5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b/>
                <w:bCs/>
                <w:color w:val="000000"/>
                <w:sz w:val="20"/>
                <w:szCs w:val="20"/>
              </w:rPr>
            </w:pPr>
            <w:r>
              <w:rPr>
                <w:rFonts w:hint="eastAsia" w:ascii="Arial Narrow" w:hAnsi="Arial Narrow" w:eastAsia="宋体" w:cs="Arial Narrow"/>
                <w:b/>
                <w:bCs/>
                <w:color w:val="000000"/>
                <w:kern w:val="0"/>
                <w:sz w:val="20"/>
                <w:szCs w:val="20"/>
              </w:rPr>
              <w:t>2</w:t>
            </w:r>
            <w:r>
              <w:rPr>
                <w:rFonts w:ascii="Arial Narrow" w:hAnsi="Arial Narrow" w:eastAsia="Arial Narrow" w:cs="Arial Narrow"/>
                <w:b/>
                <w:bCs/>
                <w:color w:val="000000"/>
                <w:kern w:val="0"/>
                <w:sz w:val="20"/>
                <w:szCs w:val="20"/>
              </w:rPr>
              <w:t>,</w:t>
            </w:r>
            <w:r>
              <w:rPr>
                <w:rFonts w:hint="eastAsia" w:ascii="Arial Narrow" w:hAnsi="Arial Narrow" w:eastAsia="宋体" w:cs="Arial Narrow"/>
                <w:b/>
                <w:bCs/>
                <w:color w:val="000000"/>
                <w:kern w:val="0"/>
                <w:sz w:val="20"/>
                <w:szCs w:val="20"/>
              </w:rPr>
              <w:t>997</w:t>
            </w:r>
            <w:r>
              <w:rPr>
                <w:rFonts w:ascii="Arial Narrow" w:hAnsi="Arial Narrow" w:eastAsia="Arial Narrow" w:cs="Arial Narrow"/>
                <w:b/>
                <w:bCs/>
                <w:color w:val="000000"/>
                <w:kern w:val="0"/>
                <w:sz w:val="20"/>
                <w:szCs w:val="20"/>
              </w:rPr>
              <w:t>.</w:t>
            </w:r>
            <w:r>
              <w:rPr>
                <w:rFonts w:hint="eastAsia" w:ascii="Arial Narrow" w:hAnsi="Arial Narrow" w:eastAsia="宋体" w:cs="Arial Narrow"/>
                <w:b/>
                <w:bCs/>
                <w:color w:val="000000"/>
                <w:kern w:val="0"/>
                <w:sz w:val="20"/>
                <w:szCs w:val="20"/>
              </w:rPr>
              <w:t>00</w:t>
            </w:r>
          </w:p>
        </w:tc>
        <w:tc>
          <w:tcPr>
            <w:tcW w:w="7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cs="Arial Narrow"/>
                <w:b/>
                <w:bCs/>
                <w:color w:val="000000"/>
                <w:kern w:val="0"/>
                <w:sz w:val="20"/>
                <w:szCs w:val="20"/>
              </w:rPr>
            </w:pPr>
            <w:r>
              <w:rPr>
                <w:rFonts w:hint="eastAsia" w:ascii="Arial Narrow" w:hAnsi="Arial Narrow" w:cs="Arial Narrow"/>
                <w:b/>
                <w:bCs/>
                <w:color w:val="000000"/>
                <w:kern w:val="0"/>
                <w:sz w:val="20"/>
                <w:szCs w:val="20"/>
              </w:rPr>
              <w:t>423,001.00</w:t>
            </w:r>
          </w:p>
        </w:tc>
        <w:tc>
          <w:tcPr>
            <w:tcW w:w="69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cs="Arial Narrow"/>
                <w:b/>
                <w:bCs/>
                <w:color w:val="000000"/>
                <w:kern w:val="0"/>
                <w:sz w:val="20"/>
                <w:szCs w:val="20"/>
              </w:rPr>
            </w:pPr>
            <w:r>
              <w:rPr>
                <w:rFonts w:hint="eastAsia" w:ascii="Arial Narrow" w:hAnsi="Arial Narrow" w:cs="Arial Narrow"/>
                <w:b/>
                <w:bCs/>
                <w:color w:val="000000"/>
                <w:kern w:val="0"/>
                <w:sz w:val="20"/>
                <w:szCs w:val="20"/>
              </w:rPr>
              <w:t>1,762,300.00</w:t>
            </w:r>
          </w:p>
        </w:tc>
        <w:tc>
          <w:tcPr>
            <w:tcW w:w="7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cs="Arial Narrow"/>
                <w:b/>
                <w:bCs/>
                <w:color w:val="000000"/>
                <w:sz w:val="20"/>
                <w:szCs w:val="20"/>
              </w:rPr>
            </w:pPr>
            <w:r>
              <w:rPr>
                <w:rFonts w:hint="eastAsia" w:ascii="Arial Narrow" w:hAnsi="Arial Narrow" w:eastAsia="宋体" w:cs="Arial Narrow"/>
                <w:b/>
                <w:bCs/>
                <w:color w:val="000000"/>
                <w:kern w:val="0"/>
                <w:sz w:val="20"/>
                <w:szCs w:val="20"/>
              </w:rPr>
              <w:t>7,557,903.49</w:t>
            </w:r>
          </w:p>
        </w:tc>
      </w:tr>
    </w:tbl>
    <w:p>
      <w:pPr>
        <w:widowControl w:val="0"/>
        <w:spacing w:line="560" w:lineRule="exact"/>
        <w:ind w:firstLine="560" w:firstLineChars="200"/>
        <w:outlineLvl w:val="2"/>
      </w:pPr>
      <w:bookmarkStart w:id="96" w:name="_Toc29370"/>
      <w:bookmarkStart w:id="97" w:name="_Toc11446"/>
      <w:bookmarkStart w:id="98" w:name="_Toc8495"/>
      <w:r>
        <w:rPr>
          <w:rFonts w:hint="eastAsia"/>
        </w:rPr>
        <w:t>1、资产增加情况</w:t>
      </w:r>
      <w:bookmarkEnd w:id="96"/>
      <w:bookmarkEnd w:id="97"/>
      <w:bookmarkEnd w:id="98"/>
    </w:p>
    <w:p>
      <w:pPr>
        <w:widowControl w:val="0"/>
        <w:spacing w:line="560" w:lineRule="exact"/>
        <w:ind w:firstLine="560" w:firstLineChars="200"/>
        <w:rPr>
          <w:bCs/>
        </w:rPr>
      </w:pPr>
      <w:bookmarkStart w:id="99" w:name="_Toc3980"/>
      <w:r>
        <w:rPr>
          <w:rFonts w:hint="eastAsia"/>
        </w:rPr>
        <w:t>2021年增加资产76项39.64万元，其中：增加固定资产75项25.34万元，增加无形资产1项14.30万元。</w:t>
      </w:r>
      <w:r>
        <w:rPr>
          <w:rFonts w:hint="eastAsia"/>
          <w:bCs/>
        </w:rPr>
        <w:t>具体情况见表1-5：</w:t>
      </w:r>
      <w:bookmarkEnd w:id="99"/>
    </w:p>
    <w:p>
      <w:pPr>
        <w:widowControl w:val="0"/>
        <w:spacing w:line="560" w:lineRule="exact"/>
        <w:jc w:val="center"/>
        <w:rPr>
          <w:b/>
          <w:bCs/>
        </w:rPr>
      </w:pPr>
      <w:r>
        <w:rPr>
          <w:rFonts w:hint="eastAsia"/>
          <w:b/>
          <w:bCs/>
        </w:rPr>
        <w:t>表1-5 新增固定资产汇总表</w:t>
      </w:r>
    </w:p>
    <w:p>
      <w:pPr>
        <w:widowControl w:val="0"/>
        <w:spacing w:line="540" w:lineRule="exact"/>
        <w:jc w:val="right"/>
      </w:pPr>
      <w:r>
        <w:rPr>
          <w:rFonts w:hint="eastAsia"/>
          <w:sz w:val="24"/>
          <w:szCs w:val="24"/>
        </w:rPr>
        <w:t>金额单位：元</w:t>
      </w:r>
    </w:p>
    <w:tbl>
      <w:tblPr>
        <w:tblStyle w:val="19"/>
        <w:tblW w:w="4998" w:type="pct"/>
        <w:jc w:val="center"/>
        <w:tblLayout w:type="fixed"/>
        <w:tblCellMar>
          <w:top w:w="0" w:type="dxa"/>
          <w:left w:w="108" w:type="dxa"/>
          <w:bottom w:w="0" w:type="dxa"/>
          <w:right w:w="108" w:type="dxa"/>
        </w:tblCellMar>
      </w:tblPr>
      <w:tblGrid>
        <w:gridCol w:w="1500"/>
        <w:gridCol w:w="1919"/>
        <w:gridCol w:w="1033"/>
        <w:gridCol w:w="1533"/>
        <w:gridCol w:w="1200"/>
        <w:gridCol w:w="1532"/>
      </w:tblGrid>
      <w:tr>
        <w:tblPrEx>
          <w:tblCellMar>
            <w:top w:w="0" w:type="dxa"/>
            <w:left w:w="108" w:type="dxa"/>
            <w:bottom w:w="0" w:type="dxa"/>
            <w:right w:w="108" w:type="dxa"/>
          </w:tblCellMar>
        </w:tblPrEx>
        <w:trPr>
          <w:trHeight w:val="397" w:hRule="atLeast"/>
          <w:tblHeader/>
          <w:jc w:val="center"/>
        </w:trPr>
        <w:tc>
          <w:tcPr>
            <w:tcW w:w="86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textAlignment w:val="center"/>
              <w:rPr>
                <w:b/>
                <w:bCs/>
                <w:color w:val="000000"/>
                <w:sz w:val="18"/>
                <w:szCs w:val="18"/>
              </w:rPr>
            </w:pPr>
            <w:bookmarkStart w:id="100" w:name="_Toc1164"/>
            <w:bookmarkStart w:id="101" w:name="_Toc4969"/>
            <w:bookmarkStart w:id="102" w:name="_Toc26440"/>
            <w:r>
              <w:rPr>
                <w:rFonts w:hint="eastAsia"/>
                <w:b/>
                <w:bCs/>
                <w:color w:val="000000"/>
                <w:kern w:val="0"/>
                <w:sz w:val="18"/>
                <w:szCs w:val="18"/>
              </w:rPr>
              <w:t>资产国标大类</w:t>
            </w:r>
          </w:p>
        </w:tc>
        <w:tc>
          <w:tcPr>
            <w:tcW w:w="109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textAlignment w:val="center"/>
              <w:rPr>
                <w:b/>
                <w:bCs/>
                <w:color w:val="000000"/>
                <w:sz w:val="18"/>
                <w:szCs w:val="18"/>
              </w:rPr>
            </w:pPr>
            <w:r>
              <w:rPr>
                <w:rFonts w:hint="eastAsia"/>
                <w:b/>
                <w:bCs/>
                <w:color w:val="000000"/>
                <w:kern w:val="0"/>
                <w:sz w:val="18"/>
                <w:szCs w:val="18"/>
              </w:rPr>
              <w:t>资产分类</w:t>
            </w:r>
          </w:p>
        </w:tc>
        <w:tc>
          <w:tcPr>
            <w:tcW w:w="1471"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textAlignment w:val="center"/>
              <w:rPr>
                <w:b/>
                <w:bCs/>
                <w:color w:val="000000"/>
                <w:sz w:val="18"/>
                <w:szCs w:val="18"/>
              </w:rPr>
            </w:pPr>
            <w:r>
              <w:rPr>
                <w:rFonts w:hint="eastAsia"/>
                <w:b/>
                <w:bCs/>
                <w:color w:val="000000"/>
                <w:kern w:val="0"/>
                <w:sz w:val="18"/>
                <w:szCs w:val="18"/>
              </w:rPr>
              <w:t>新购</w:t>
            </w:r>
          </w:p>
        </w:tc>
        <w:tc>
          <w:tcPr>
            <w:tcW w:w="1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textAlignment w:val="center"/>
              <w:rPr>
                <w:b/>
                <w:bCs/>
                <w:color w:val="000000"/>
                <w:sz w:val="18"/>
                <w:szCs w:val="18"/>
              </w:rPr>
            </w:pPr>
            <w:r>
              <w:rPr>
                <w:rFonts w:hint="eastAsia"/>
                <w:b/>
                <w:bCs/>
                <w:color w:val="000000"/>
                <w:kern w:val="0"/>
                <w:sz w:val="18"/>
                <w:szCs w:val="18"/>
              </w:rPr>
              <w:t>合计</w:t>
            </w:r>
          </w:p>
        </w:tc>
      </w:tr>
      <w:tr>
        <w:tblPrEx>
          <w:tblCellMar>
            <w:top w:w="0" w:type="dxa"/>
            <w:left w:w="108" w:type="dxa"/>
            <w:bottom w:w="0" w:type="dxa"/>
            <w:right w:w="108" w:type="dxa"/>
          </w:tblCellMar>
        </w:tblPrEx>
        <w:trPr>
          <w:trHeight w:val="397" w:hRule="atLeast"/>
          <w:tblHeader/>
          <w:jc w:val="center"/>
        </w:trPr>
        <w:tc>
          <w:tcPr>
            <w:tcW w:w="86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b/>
                <w:bCs/>
                <w:color w:val="000000"/>
                <w:sz w:val="18"/>
                <w:szCs w:val="18"/>
              </w:rPr>
            </w:pPr>
          </w:p>
        </w:tc>
        <w:tc>
          <w:tcPr>
            <w:tcW w:w="10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b/>
                <w:bCs/>
                <w:color w:val="00000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textAlignment w:val="center"/>
              <w:rPr>
                <w:b/>
                <w:bCs/>
                <w:color w:val="000000"/>
                <w:sz w:val="18"/>
                <w:szCs w:val="18"/>
              </w:rPr>
            </w:pPr>
            <w:r>
              <w:rPr>
                <w:rFonts w:hint="eastAsia"/>
                <w:b/>
                <w:bCs/>
                <w:color w:val="000000"/>
                <w:kern w:val="0"/>
                <w:sz w:val="18"/>
                <w:szCs w:val="18"/>
              </w:rPr>
              <w:t>数量</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textAlignment w:val="center"/>
              <w:rPr>
                <w:b/>
                <w:bCs/>
                <w:color w:val="000000"/>
                <w:sz w:val="18"/>
                <w:szCs w:val="18"/>
              </w:rPr>
            </w:pPr>
            <w:r>
              <w:rPr>
                <w:rFonts w:hint="eastAsia"/>
                <w:b/>
                <w:bCs/>
                <w:color w:val="000000"/>
                <w:kern w:val="0"/>
                <w:sz w:val="18"/>
                <w:szCs w:val="18"/>
              </w:rPr>
              <w:t>金额</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textAlignment w:val="center"/>
              <w:rPr>
                <w:b/>
                <w:bCs/>
                <w:color w:val="000000"/>
                <w:sz w:val="18"/>
                <w:szCs w:val="18"/>
              </w:rPr>
            </w:pPr>
            <w:r>
              <w:rPr>
                <w:rFonts w:hint="eastAsia"/>
                <w:b/>
                <w:bCs/>
                <w:color w:val="000000"/>
                <w:kern w:val="0"/>
                <w:sz w:val="18"/>
                <w:szCs w:val="18"/>
              </w:rPr>
              <w:t>数量</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textAlignment w:val="center"/>
              <w:rPr>
                <w:b/>
                <w:bCs/>
                <w:color w:val="000000"/>
                <w:sz w:val="18"/>
                <w:szCs w:val="18"/>
              </w:rPr>
            </w:pPr>
            <w:r>
              <w:rPr>
                <w:rFonts w:hint="eastAsia"/>
                <w:b/>
                <w:bCs/>
                <w:color w:val="000000"/>
                <w:kern w:val="0"/>
                <w:sz w:val="18"/>
                <w:szCs w:val="18"/>
              </w:rPr>
              <w:t>金额</w:t>
            </w:r>
          </w:p>
        </w:tc>
      </w:tr>
      <w:tr>
        <w:tblPrEx>
          <w:tblCellMar>
            <w:top w:w="0" w:type="dxa"/>
            <w:left w:w="108" w:type="dxa"/>
            <w:bottom w:w="0" w:type="dxa"/>
            <w:right w:w="108" w:type="dxa"/>
          </w:tblCellMar>
        </w:tblPrEx>
        <w:trPr>
          <w:trHeight w:val="397" w:hRule="atLeast"/>
          <w:jc w:val="center"/>
        </w:trPr>
        <w:tc>
          <w:tcPr>
            <w:tcW w:w="860" w:type="pct"/>
            <w:vMerge w:val="restart"/>
            <w:tcBorders>
              <w:top w:val="single" w:color="000000" w:sz="4" w:space="0"/>
              <w:left w:val="single" w:color="000000" w:sz="4" w:space="0"/>
              <w:right w:val="single" w:color="000000" w:sz="4" w:space="0"/>
            </w:tcBorders>
            <w:shd w:val="clear" w:color="auto" w:fill="FFFFFF" w:themeFill="background1"/>
            <w:noWrap/>
            <w:vAlign w:val="center"/>
          </w:tcPr>
          <w:p>
            <w:pPr>
              <w:jc w:val="center"/>
              <w:textAlignment w:val="center"/>
              <w:rPr>
                <w:color w:val="000000"/>
                <w:kern w:val="0"/>
                <w:sz w:val="20"/>
                <w:szCs w:val="18"/>
              </w:rPr>
            </w:pPr>
            <w:r>
              <w:rPr>
                <w:rFonts w:hint="eastAsia"/>
                <w:color w:val="000000"/>
                <w:kern w:val="0"/>
                <w:sz w:val="20"/>
                <w:szCs w:val="18"/>
              </w:rPr>
              <w:t>通用设备</w:t>
            </w:r>
          </w:p>
        </w:tc>
        <w:tc>
          <w:tcPr>
            <w:tcW w:w="10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kern w:val="0"/>
                <w:sz w:val="20"/>
                <w:szCs w:val="18"/>
              </w:rPr>
            </w:pPr>
            <w:r>
              <w:rPr>
                <w:rFonts w:hint="eastAsia"/>
                <w:color w:val="000000"/>
                <w:kern w:val="0"/>
                <w:sz w:val="20"/>
                <w:szCs w:val="18"/>
              </w:rPr>
              <w:t>一体机</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7</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107,399.00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7</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107,399.00</w:t>
            </w:r>
          </w:p>
        </w:tc>
      </w:tr>
      <w:tr>
        <w:tblPrEx>
          <w:tblCellMar>
            <w:top w:w="0" w:type="dxa"/>
            <w:left w:w="108" w:type="dxa"/>
            <w:bottom w:w="0" w:type="dxa"/>
            <w:right w:w="108" w:type="dxa"/>
          </w:tblCellMar>
        </w:tblPrEx>
        <w:trPr>
          <w:trHeight w:val="397" w:hRule="atLeast"/>
          <w:jc w:val="center"/>
        </w:trPr>
        <w:tc>
          <w:tcPr>
            <w:tcW w:w="860" w:type="pct"/>
            <w:vMerge w:val="continue"/>
            <w:tcBorders>
              <w:left w:val="single" w:color="000000" w:sz="4" w:space="0"/>
              <w:right w:val="single" w:color="000000" w:sz="4" w:space="0"/>
            </w:tcBorders>
            <w:shd w:val="clear" w:color="auto" w:fill="FFFFFF" w:themeFill="background1"/>
            <w:noWrap/>
            <w:vAlign w:val="center"/>
          </w:tcPr>
          <w:p>
            <w:pPr>
              <w:jc w:val="center"/>
              <w:textAlignment w:val="center"/>
              <w:rPr>
                <w:color w:val="000000"/>
                <w:kern w:val="0"/>
                <w:sz w:val="20"/>
                <w:szCs w:val="18"/>
              </w:rPr>
            </w:pPr>
          </w:p>
        </w:tc>
        <w:tc>
          <w:tcPr>
            <w:tcW w:w="10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kern w:val="0"/>
                <w:sz w:val="20"/>
                <w:szCs w:val="18"/>
              </w:rPr>
            </w:pPr>
            <w:r>
              <w:rPr>
                <w:rFonts w:hint="eastAsia"/>
                <w:color w:val="000000"/>
                <w:kern w:val="0"/>
                <w:sz w:val="20"/>
                <w:szCs w:val="18"/>
              </w:rPr>
              <w:t>计算机</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4</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33,700.00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4</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33,700.00</w:t>
            </w:r>
          </w:p>
        </w:tc>
      </w:tr>
      <w:tr>
        <w:tblPrEx>
          <w:tblCellMar>
            <w:top w:w="0" w:type="dxa"/>
            <w:left w:w="108" w:type="dxa"/>
            <w:bottom w:w="0" w:type="dxa"/>
            <w:right w:w="108" w:type="dxa"/>
          </w:tblCellMar>
        </w:tblPrEx>
        <w:trPr>
          <w:trHeight w:val="397" w:hRule="atLeast"/>
          <w:jc w:val="center"/>
        </w:trPr>
        <w:tc>
          <w:tcPr>
            <w:tcW w:w="860" w:type="pct"/>
            <w:vMerge w:val="continue"/>
            <w:tcBorders>
              <w:left w:val="single" w:color="000000" w:sz="4" w:space="0"/>
              <w:right w:val="single" w:color="000000" w:sz="4" w:space="0"/>
            </w:tcBorders>
            <w:shd w:val="clear" w:color="auto" w:fill="FFFFFF" w:themeFill="background1"/>
            <w:noWrap/>
            <w:vAlign w:val="center"/>
          </w:tcPr>
          <w:p>
            <w:pPr>
              <w:jc w:val="center"/>
              <w:textAlignment w:val="center"/>
              <w:rPr>
                <w:color w:val="000000"/>
                <w:kern w:val="0"/>
                <w:sz w:val="20"/>
                <w:szCs w:val="18"/>
              </w:rPr>
            </w:pPr>
          </w:p>
        </w:tc>
        <w:tc>
          <w:tcPr>
            <w:tcW w:w="10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kern w:val="0"/>
                <w:sz w:val="20"/>
                <w:szCs w:val="18"/>
              </w:rPr>
            </w:pPr>
            <w:r>
              <w:rPr>
                <w:rFonts w:hint="eastAsia"/>
                <w:color w:val="000000"/>
                <w:kern w:val="0"/>
                <w:sz w:val="20"/>
                <w:szCs w:val="18"/>
              </w:rPr>
              <w:t>打印机</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9,500.00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9,500.00</w:t>
            </w:r>
          </w:p>
        </w:tc>
      </w:tr>
      <w:tr>
        <w:tblPrEx>
          <w:tblCellMar>
            <w:top w:w="0" w:type="dxa"/>
            <w:left w:w="108" w:type="dxa"/>
            <w:bottom w:w="0" w:type="dxa"/>
            <w:right w:w="108" w:type="dxa"/>
          </w:tblCellMar>
        </w:tblPrEx>
        <w:trPr>
          <w:trHeight w:val="397" w:hRule="atLeast"/>
          <w:jc w:val="center"/>
        </w:trPr>
        <w:tc>
          <w:tcPr>
            <w:tcW w:w="860" w:type="pct"/>
            <w:vMerge w:val="continue"/>
            <w:tcBorders>
              <w:left w:val="single" w:color="000000" w:sz="4" w:space="0"/>
              <w:right w:val="single" w:color="000000" w:sz="4" w:space="0"/>
            </w:tcBorders>
            <w:shd w:val="clear" w:color="auto" w:fill="FFFFFF" w:themeFill="background1"/>
            <w:noWrap/>
            <w:vAlign w:val="center"/>
          </w:tcPr>
          <w:p>
            <w:pPr>
              <w:jc w:val="center"/>
              <w:textAlignment w:val="center"/>
              <w:rPr>
                <w:color w:val="000000"/>
                <w:kern w:val="0"/>
                <w:sz w:val="20"/>
                <w:szCs w:val="18"/>
              </w:rPr>
            </w:pPr>
          </w:p>
        </w:tc>
        <w:tc>
          <w:tcPr>
            <w:tcW w:w="10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kern w:val="0"/>
                <w:sz w:val="20"/>
                <w:szCs w:val="18"/>
              </w:rPr>
            </w:pPr>
            <w:r>
              <w:rPr>
                <w:rFonts w:hint="eastAsia"/>
                <w:color w:val="000000"/>
                <w:kern w:val="0"/>
                <w:sz w:val="20"/>
                <w:szCs w:val="18"/>
              </w:rPr>
              <w:t>空调</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8,.500.00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8,.500.00</w:t>
            </w:r>
          </w:p>
        </w:tc>
      </w:tr>
      <w:tr>
        <w:tblPrEx>
          <w:tblCellMar>
            <w:top w:w="0" w:type="dxa"/>
            <w:left w:w="108" w:type="dxa"/>
            <w:bottom w:w="0" w:type="dxa"/>
            <w:right w:w="108" w:type="dxa"/>
          </w:tblCellMar>
        </w:tblPrEx>
        <w:trPr>
          <w:trHeight w:val="397" w:hRule="atLeast"/>
          <w:jc w:val="center"/>
        </w:trPr>
        <w:tc>
          <w:tcPr>
            <w:tcW w:w="860" w:type="pct"/>
            <w:vMerge w:val="continue"/>
            <w:tcBorders>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color w:val="000000"/>
                <w:kern w:val="0"/>
                <w:sz w:val="20"/>
                <w:szCs w:val="18"/>
              </w:rPr>
            </w:pPr>
          </w:p>
        </w:tc>
        <w:tc>
          <w:tcPr>
            <w:tcW w:w="10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kern w:val="0"/>
                <w:sz w:val="20"/>
                <w:szCs w:val="18"/>
              </w:rPr>
            </w:pPr>
            <w:r>
              <w:rPr>
                <w:rFonts w:hint="eastAsia"/>
                <w:color w:val="000000"/>
                <w:kern w:val="0"/>
                <w:sz w:val="20"/>
                <w:szCs w:val="18"/>
              </w:rPr>
              <w:t>办公设备</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10</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48,625.00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10</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48,625.00</w:t>
            </w:r>
          </w:p>
        </w:tc>
      </w:tr>
      <w:tr>
        <w:tblPrEx>
          <w:tblCellMar>
            <w:top w:w="0" w:type="dxa"/>
            <w:left w:w="108" w:type="dxa"/>
            <w:bottom w:w="0" w:type="dxa"/>
            <w:right w:w="108" w:type="dxa"/>
          </w:tblCellMar>
        </w:tblPrEx>
        <w:trPr>
          <w:trHeight w:val="397" w:hRule="atLeast"/>
          <w:jc w:val="center"/>
        </w:trPr>
        <w:tc>
          <w:tcPr>
            <w:tcW w:w="860" w:type="pct"/>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textAlignment w:val="center"/>
              <w:rPr>
                <w:color w:val="000000"/>
                <w:sz w:val="20"/>
                <w:szCs w:val="18"/>
              </w:rPr>
            </w:pPr>
            <w:r>
              <w:rPr>
                <w:rFonts w:hint="eastAsia"/>
                <w:color w:val="000000"/>
                <w:kern w:val="0"/>
                <w:sz w:val="20"/>
                <w:szCs w:val="18"/>
              </w:rPr>
              <w:t>家具、用具、装具及动植物</w:t>
            </w:r>
          </w:p>
        </w:tc>
        <w:tc>
          <w:tcPr>
            <w:tcW w:w="10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kern w:val="0"/>
                <w:sz w:val="20"/>
                <w:szCs w:val="18"/>
              </w:rPr>
            </w:pPr>
            <w:r>
              <w:rPr>
                <w:rFonts w:hint="eastAsia"/>
                <w:color w:val="000000"/>
                <w:kern w:val="0"/>
                <w:sz w:val="20"/>
                <w:szCs w:val="18"/>
              </w:rPr>
              <w:t>椅、凳</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24</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14</w:t>
            </w:r>
            <w:r>
              <w:rPr>
                <w:rFonts w:ascii="Arial Narrow" w:hAnsi="Arial Narrow" w:eastAsia="Arial Narrow" w:cs="Arial Narrow"/>
                <w:color w:val="000000"/>
                <w:kern w:val="0"/>
                <w:sz w:val="20"/>
                <w:szCs w:val="18"/>
              </w:rPr>
              <w:t>,</w:t>
            </w:r>
            <w:r>
              <w:rPr>
                <w:rFonts w:hint="eastAsia" w:ascii="Arial Narrow" w:hAnsi="Arial Narrow" w:eastAsia="宋体" w:cs="Arial Narrow"/>
                <w:color w:val="000000"/>
                <w:kern w:val="0"/>
                <w:sz w:val="20"/>
                <w:szCs w:val="18"/>
              </w:rPr>
              <w:t>420.00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24</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14</w:t>
            </w:r>
            <w:r>
              <w:rPr>
                <w:rFonts w:ascii="Arial Narrow" w:hAnsi="Arial Narrow" w:eastAsia="Arial Narrow" w:cs="Arial Narrow"/>
                <w:color w:val="000000"/>
                <w:kern w:val="0"/>
                <w:sz w:val="20"/>
                <w:szCs w:val="18"/>
              </w:rPr>
              <w:t>,</w:t>
            </w:r>
            <w:r>
              <w:rPr>
                <w:rFonts w:hint="eastAsia" w:ascii="Arial Narrow" w:hAnsi="Arial Narrow" w:eastAsia="宋体" w:cs="Arial Narrow"/>
                <w:color w:val="000000"/>
                <w:kern w:val="0"/>
                <w:sz w:val="20"/>
                <w:szCs w:val="18"/>
              </w:rPr>
              <w:t>420.00</w:t>
            </w:r>
          </w:p>
        </w:tc>
      </w:tr>
      <w:tr>
        <w:tblPrEx>
          <w:tblCellMar>
            <w:top w:w="0" w:type="dxa"/>
            <w:left w:w="108" w:type="dxa"/>
            <w:bottom w:w="0" w:type="dxa"/>
            <w:right w:w="108" w:type="dxa"/>
          </w:tblCellMar>
        </w:tblPrEx>
        <w:trPr>
          <w:trHeight w:val="397" w:hRule="atLeast"/>
          <w:jc w:val="center"/>
        </w:trPr>
        <w:tc>
          <w:tcPr>
            <w:tcW w:w="860" w:type="pct"/>
            <w:vMerge w:val="continue"/>
            <w:tcBorders>
              <w:left w:val="single" w:color="000000" w:sz="4" w:space="0"/>
              <w:right w:val="single" w:color="000000" w:sz="4" w:space="0"/>
            </w:tcBorders>
            <w:shd w:val="clear" w:color="auto" w:fill="FFFFFF" w:themeFill="background1"/>
            <w:vAlign w:val="center"/>
          </w:tcPr>
          <w:p>
            <w:pPr>
              <w:jc w:val="center"/>
              <w:textAlignment w:val="center"/>
              <w:rPr>
                <w:color w:val="000000"/>
                <w:sz w:val="20"/>
                <w:szCs w:val="18"/>
              </w:rPr>
            </w:pPr>
          </w:p>
        </w:tc>
        <w:tc>
          <w:tcPr>
            <w:tcW w:w="10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sz w:val="20"/>
                <w:szCs w:val="18"/>
              </w:rPr>
            </w:pPr>
            <w:r>
              <w:rPr>
                <w:rFonts w:hint="eastAsia"/>
                <w:color w:val="000000"/>
                <w:kern w:val="0"/>
                <w:sz w:val="20"/>
                <w:szCs w:val="18"/>
              </w:rPr>
              <w:t>文件柜</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color w:val="000000"/>
                <w:sz w:val="20"/>
                <w:szCs w:val="18"/>
              </w:rPr>
            </w:pPr>
            <w:r>
              <w:rPr>
                <w:rFonts w:hint="eastAsia" w:ascii="Arial Narrow" w:hAnsi="Arial Narrow" w:eastAsia="宋体" w:cs="Arial Narrow"/>
                <w:color w:val="000000"/>
                <w:kern w:val="0"/>
                <w:sz w:val="20"/>
                <w:szCs w:val="18"/>
              </w:rPr>
              <w:t>8</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18"/>
              </w:rPr>
            </w:pPr>
            <w:r>
              <w:rPr>
                <w:rFonts w:hint="eastAsia" w:ascii="Arial Narrow" w:hAnsi="Arial Narrow" w:eastAsia="宋体" w:cs="Arial Narrow"/>
                <w:color w:val="000000"/>
                <w:kern w:val="0"/>
                <w:sz w:val="20"/>
                <w:szCs w:val="18"/>
              </w:rPr>
              <w:t>5</w:t>
            </w:r>
            <w:r>
              <w:rPr>
                <w:rFonts w:ascii="Arial Narrow" w:hAnsi="Arial Narrow" w:eastAsia="Arial Narrow" w:cs="Arial Narrow"/>
                <w:color w:val="000000"/>
                <w:kern w:val="0"/>
                <w:sz w:val="20"/>
                <w:szCs w:val="18"/>
              </w:rPr>
              <w:t>,</w:t>
            </w:r>
            <w:r>
              <w:rPr>
                <w:rFonts w:hint="eastAsia" w:ascii="Arial Narrow" w:hAnsi="Arial Narrow" w:eastAsia="宋体" w:cs="Arial Narrow"/>
                <w:color w:val="000000"/>
                <w:kern w:val="0"/>
                <w:sz w:val="20"/>
                <w:szCs w:val="18"/>
              </w:rPr>
              <w:t>760</w:t>
            </w:r>
            <w:r>
              <w:rPr>
                <w:rFonts w:ascii="Arial Narrow" w:hAnsi="Arial Narrow" w:eastAsia="Arial Narrow" w:cs="Arial Narrow"/>
                <w:color w:val="000000"/>
                <w:kern w:val="0"/>
                <w:sz w:val="20"/>
                <w:szCs w:val="18"/>
              </w:rPr>
              <w:t>.00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color w:val="000000"/>
                <w:sz w:val="20"/>
                <w:szCs w:val="18"/>
              </w:rPr>
            </w:pPr>
            <w:r>
              <w:rPr>
                <w:rFonts w:hint="eastAsia" w:ascii="Arial Narrow" w:hAnsi="Arial Narrow" w:eastAsia="宋体" w:cs="Arial Narrow"/>
                <w:color w:val="000000"/>
                <w:kern w:val="0"/>
                <w:sz w:val="20"/>
                <w:szCs w:val="18"/>
              </w:rPr>
              <w:t>8</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18"/>
              </w:rPr>
            </w:pPr>
            <w:r>
              <w:rPr>
                <w:rFonts w:hint="eastAsia" w:ascii="Arial Narrow" w:hAnsi="Arial Narrow" w:eastAsia="宋体" w:cs="Arial Narrow"/>
                <w:color w:val="000000"/>
                <w:kern w:val="0"/>
                <w:sz w:val="20"/>
                <w:szCs w:val="18"/>
              </w:rPr>
              <w:t>5</w:t>
            </w:r>
            <w:r>
              <w:rPr>
                <w:rFonts w:ascii="Arial Narrow" w:hAnsi="Arial Narrow" w:eastAsia="Arial Narrow" w:cs="Arial Narrow"/>
                <w:color w:val="000000"/>
                <w:kern w:val="0"/>
                <w:sz w:val="20"/>
                <w:szCs w:val="18"/>
              </w:rPr>
              <w:t>,</w:t>
            </w:r>
            <w:r>
              <w:rPr>
                <w:rFonts w:hint="eastAsia" w:ascii="Arial Narrow" w:hAnsi="Arial Narrow" w:eastAsia="宋体" w:cs="Arial Narrow"/>
                <w:color w:val="000000"/>
                <w:kern w:val="0"/>
                <w:sz w:val="20"/>
                <w:szCs w:val="18"/>
              </w:rPr>
              <w:t>760</w:t>
            </w:r>
            <w:r>
              <w:rPr>
                <w:rFonts w:ascii="Arial Narrow" w:hAnsi="Arial Narrow" w:eastAsia="Arial Narrow" w:cs="Arial Narrow"/>
                <w:color w:val="000000"/>
                <w:kern w:val="0"/>
                <w:sz w:val="20"/>
                <w:szCs w:val="18"/>
              </w:rPr>
              <w:t>.00</w:t>
            </w:r>
          </w:p>
        </w:tc>
      </w:tr>
      <w:tr>
        <w:tblPrEx>
          <w:tblCellMar>
            <w:top w:w="0" w:type="dxa"/>
            <w:left w:w="108" w:type="dxa"/>
            <w:bottom w:w="0" w:type="dxa"/>
            <w:right w:w="108" w:type="dxa"/>
          </w:tblCellMar>
        </w:tblPrEx>
        <w:trPr>
          <w:trHeight w:val="397" w:hRule="atLeast"/>
          <w:jc w:val="center"/>
        </w:trPr>
        <w:tc>
          <w:tcPr>
            <w:tcW w:w="860" w:type="pct"/>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color w:val="000000"/>
                <w:sz w:val="20"/>
                <w:szCs w:val="18"/>
              </w:rPr>
            </w:pPr>
          </w:p>
        </w:tc>
        <w:tc>
          <w:tcPr>
            <w:tcW w:w="10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sz w:val="20"/>
                <w:szCs w:val="18"/>
              </w:rPr>
            </w:pPr>
            <w:r>
              <w:rPr>
                <w:rFonts w:hint="eastAsia"/>
                <w:color w:val="000000"/>
                <w:kern w:val="0"/>
                <w:sz w:val="20"/>
                <w:szCs w:val="18"/>
              </w:rPr>
              <w:t>台、桌</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color w:val="000000"/>
                <w:sz w:val="20"/>
                <w:szCs w:val="18"/>
              </w:rPr>
            </w:pPr>
            <w:r>
              <w:rPr>
                <w:rFonts w:hint="eastAsia" w:ascii="Arial Narrow" w:hAnsi="Arial Narrow" w:eastAsia="宋体" w:cs="Arial Narrow"/>
                <w:color w:val="000000"/>
                <w:kern w:val="0"/>
                <w:sz w:val="20"/>
                <w:szCs w:val="18"/>
              </w:rPr>
              <w:t>20</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18"/>
              </w:rPr>
            </w:pPr>
            <w:r>
              <w:rPr>
                <w:rFonts w:hint="eastAsia" w:ascii="Arial Narrow" w:hAnsi="Arial Narrow" w:eastAsia="宋体" w:cs="Arial Narrow"/>
                <w:color w:val="000000"/>
                <w:kern w:val="0"/>
                <w:sz w:val="20"/>
                <w:szCs w:val="18"/>
              </w:rPr>
              <w:t>25</w:t>
            </w:r>
            <w:r>
              <w:rPr>
                <w:rFonts w:ascii="Arial Narrow" w:hAnsi="Arial Narrow" w:eastAsia="Arial Narrow" w:cs="Arial Narrow"/>
                <w:color w:val="000000"/>
                <w:kern w:val="0"/>
                <w:sz w:val="20"/>
                <w:szCs w:val="18"/>
              </w:rPr>
              <w:t>,</w:t>
            </w:r>
            <w:r>
              <w:rPr>
                <w:rFonts w:hint="eastAsia" w:ascii="Arial Narrow" w:hAnsi="Arial Narrow" w:eastAsia="宋体" w:cs="Arial Narrow"/>
                <w:color w:val="000000"/>
                <w:kern w:val="0"/>
                <w:sz w:val="20"/>
                <w:szCs w:val="18"/>
              </w:rPr>
              <w:t>540</w:t>
            </w:r>
            <w:r>
              <w:rPr>
                <w:rFonts w:ascii="Arial Narrow" w:hAnsi="Arial Narrow" w:eastAsia="Arial Narrow" w:cs="Arial Narrow"/>
                <w:color w:val="000000"/>
                <w:kern w:val="0"/>
                <w:sz w:val="20"/>
                <w:szCs w:val="18"/>
              </w:rPr>
              <w:t>.00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color w:val="000000"/>
                <w:sz w:val="20"/>
                <w:szCs w:val="18"/>
              </w:rPr>
            </w:pPr>
            <w:r>
              <w:rPr>
                <w:rFonts w:hint="eastAsia" w:ascii="Arial Narrow" w:hAnsi="Arial Narrow" w:eastAsia="宋体" w:cs="Arial Narrow"/>
                <w:color w:val="000000"/>
                <w:kern w:val="0"/>
                <w:sz w:val="20"/>
                <w:szCs w:val="18"/>
              </w:rPr>
              <w:t>20</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color w:val="000000"/>
                <w:sz w:val="20"/>
                <w:szCs w:val="18"/>
              </w:rPr>
            </w:pPr>
            <w:r>
              <w:rPr>
                <w:rFonts w:hint="eastAsia" w:ascii="Arial Narrow" w:hAnsi="Arial Narrow" w:eastAsia="宋体" w:cs="Arial Narrow"/>
                <w:color w:val="000000"/>
                <w:kern w:val="0"/>
                <w:sz w:val="20"/>
                <w:szCs w:val="18"/>
              </w:rPr>
              <w:t>25</w:t>
            </w:r>
            <w:r>
              <w:rPr>
                <w:rFonts w:ascii="Arial Narrow" w:hAnsi="Arial Narrow" w:eastAsia="Arial Narrow" w:cs="Arial Narrow"/>
                <w:color w:val="000000"/>
                <w:kern w:val="0"/>
                <w:sz w:val="20"/>
                <w:szCs w:val="18"/>
              </w:rPr>
              <w:t>,</w:t>
            </w:r>
            <w:r>
              <w:rPr>
                <w:rFonts w:hint="eastAsia" w:ascii="Arial Narrow" w:hAnsi="Arial Narrow" w:eastAsia="宋体" w:cs="Arial Narrow"/>
                <w:color w:val="000000"/>
                <w:kern w:val="0"/>
                <w:sz w:val="20"/>
                <w:szCs w:val="18"/>
              </w:rPr>
              <w:t>540</w:t>
            </w:r>
            <w:r>
              <w:rPr>
                <w:rFonts w:ascii="Arial Narrow" w:hAnsi="Arial Narrow" w:eastAsia="Arial Narrow" w:cs="Arial Narrow"/>
                <w:color w:val="000000"/>
                <w:kern w:val="0"/>
                <w:sz w:val="20"/>
                <w:szCs w:val="18"/>
              </w:rPr>
              <w:t>.00</w:t>
            </w:r>
          </w:p>
        </w:tc>
      </w:tr>
      <w:tr>
        <w:tblPrEx>
          <w:tblCellMar>
            <w:top w:w="0" w:type="dxa"/>
            <w:left w:w="108" w:type="dxa"/>
            <w:bottom w:w="0" w:type="dxa"/>
            <w:right w:w="108" w:type="dxa"/>
          </w:tblCellMar>
        </w:tblPrEx>
        <w:trPr>
          <w:trHeight w:val="397" w:hRule="atLeast"/>
          <w:jc w:val="center"/>
        </w:trPr>
        <w:tc>
          <w:tcPr>
            <w:tcW w:w="8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color w:val="000000"/>
                <w:kern w:val="0"/>
                <w:sz w:val="20"/>
                <w:szCs w:val="18"/>
              </w:rPr>
            </w:pPr>
            <w:r>
              <w:rPr>
                <w:rFonts w:hint="eastAsia"/>
                <w:color w:val="000000"/>
                <w:kern w:val="0"/>
                <w:sz w:val="20"/>
                <w:szCs w:val="18"/>
              </w:rPr>
              <w:t>无形资产</w:t>
            </w:r>
          </w:p>
        </w:tc>
        <w:tc>
          <w:tcPr>
            <w:tcW w:w="10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textAlignment w:val="center"/>
              <w:rPr>
                <w:color w:val="000000"/>
                <w:kern w:val="0"/>
                <w:sz w:val="20"/>
                <w:szCs w:val="18"/>
              </w:rPr>
            </w:pPr>
            <w:r>
              <w:rPr>
                <w:rFonts w:hint="eastAsia"/>
                <w:color w:val="000000"/>
                <w:kern w:val="0"/>
                <w:sz w:val="20"/>
                <w:szCs w:val="18"/>
              </w:rPr>
              <w:t>应用软件</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143</w:t>
            </w:r>
            <w:r>
              <w:rPr>
                <w:rFonts w:ascii="Arial Narrow" w:hAnsi="Arial Narrow" w:eastAsia="Arial Narrow" w:cs="Arial Narrow"/>
                <w:color w:val="000000"/>
                <w:kern w:val="0"/>
                <w:sz w:val="20"/>
                <w:szCs w:val="18"/>
              </w:rPr>
              <w:t>,</w:t>
            </w:r>
            <w:r>
              <w:rPr>
                <w:rFonts w:hint="eastAsia" w:ascii="Arial Narrow" w:hAnsi="Arial Narrow" w:eastAsia="宋体" w:cs="Arial Narrow"/>
                <w:color w:val="000000"/>
                <w:kern w:val="0"/>
                <w:sz w:val="20"/>
                <w:szCs w:val="18"/>
              </w:rPr>
              <w:t>000.00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rFonts w:ascii="Arial Narrow" w:hAnsi="Arial Narrow" w:eastAsia="宋体" w:cs="Arial Narrow"/>
                <w:color w:val="000000"/>
                <w:kern w:val="0"/>
                <w:sz w:val="20"/>
                <w:szCs w:val="18"/>
              </w:rPr>
            </w:pPr>
            <w:r>
              <w:rPr>
                <w:rFonts w:hint="eastAsia" w:ascii="Arial Narrow" w:hAnsi="Arial Narrow" w:eastAsia="宋体" w:cs="Arial Narrow"/>
                <w:color w:val="000000"/>
                <w:kern w:val="0"/>
                <w:sz w:val="20"/>
                <w:szCs w:val="18"/>
              </w:rPr>
              <w:t>143</w:t>
            </w:r>
            <w:r>
              <w:rPr>
                <w:rFonts w:ascii="Arial Narrow" w:hAnsi="Arial Narrow" w:eastAsia="Arial Narrow" w:cs="Arial Narrow"/>
                <w:color w:val="000000"/>
                <w:kern w:val="0"/>
                <w:sz w:val="20"/>
                <w:szCs w:val="18"/>
              </w:rPr>
              <w:t>,</w:t>
            </w:r>
            <w:r>
              <w:rPr>
                <w:rFonts w:hint="eastAsia" w:ascii="Arial Narrow" w:hAnsi="Arial Narrow" w:eastAsia="宋体" w:cs="Arial Narrow"/>
                <w:color w:val="000000"/>
                <w:kern w:val="0"/>
                <w:sz w:val="20"/>
                <w:szCs w:val="18"/>
              </w:rPr>
              <w:t>000.00</w:t>
            </w:r>
          </w:p>
        </w:tc>
      </w:tr>
      <w:tr>
        <w:tblPrEx>
          <w:tblCellMar>
            <w:top w:w="0" w:type="dxa"/>
            <w:left w:w="108" w:type="dxa"/>
            <w:bottom w:w="0" w:type="dxa"/>
            <w:right w:w="108" w:type="dxa"/>
          </w:tblCellMar>
        </w:tblPrEx>
        <w:trPr>
          <w:trHeight w:val="397" w:hRule="atLeast"/>
          <w:jc w:val="center"/>
        </w:trPr>
        <w:tc>
          <w:tcPr>
            <w:tcW w:w="1960"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sz w:val="20"/>
              </w:rPr>
            </w:pPr>
            <w:r>
              <w:rPr>
                <w:rFonts w:hint="eastAsia"/>
                <w:b/>
                <w:bCs/>
                <w:color w:val="000000"/>
                <w:kern w:val="0"/>
                <w:sz w:val="20"/>
                <w:szCs w:val="18"/>
              </w:rPr>
              <w:t>合计</w:t>
            </w:r>
          </w:p>
        </w:tc>
        <w:tc>
          <w:tcPr>
            <w:tcW w:w="5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18"/>
              </w:rPr>
            </w:pPr>
            <w:r>
              <w:rPr>
                <w:rFonts w:hint="eastAsia" w:ascii="Arial Narrow" w:hAnsi="Arial Narrow" w:eastAsia="宋体" w:cs="Arial Narrow"/>
                <w:b/>
                <w:bCs/>
                <w:color w:val="000000"/>
                <w:kern w:val="0"/>
                <w:sz w:val="20"/>
                <w:szCs w:val="18"/>
              </w:rPr>
              <w:t>76</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b/>
                <w:bCs/>
                <w:color w:val="000000"/>
                <w:sz w:val="20"/>
                <w:szCs w:val="18"/>
              </w:rPr>
            </w:pPr>
            <w:r>
              <w:rPr>
                <w:rFonts w:hint="eastAsia" w:ascii="Arial Narrow" w:hAnsi="Arial Narrow" w:eastAsia="宋体" w:cs="Arial Narrow"/>
                <w:b/>
                <w:bCs/>
                <w:color w:val="000000"/>
                <w:kern w:val="0"/>
                <w:sz w:val="20"/>
                <w:szCs w:val="18"/>
              </w:rPr>
              <w:t>396</w:t>
            </w:r>
            <w:r>
              <w:rPr>
                <w:rFonts w:ascii="Arial Narrow" w:hAnsi="Arial Narrow" w:eastAsia="Arial Narrow" w:cs="Arial Narrow"/>
                <w:b/>
                <w:bCs/>
                <w:color w:val="000000"/>
                <w:kern w:val="0"/>
                <w:sz w:val="20"/>
                <w:szCs w:val="18"/>
              </w:rPr>
              <w:t>,</w:t>
            </w:r>
            <w:r>
              <w:rPr>
                <w:rFonts w:hint="eastAsia" w:ascii="Arial Narrow" w:hAnsi="Arial Narrow" w:eastAsia="宋体" w:cs="Arial Narrow"/>
                <w:b/>
                <w:bCs/>
                <w:color w:val="000000"/>
                <w:kern w:val="0"/>
                <w:sz w:val="20"/>
                <w:szCs w:val="18"/>
              </w:rPr>
              <w:t>444</w:t>
            </w:r>
            <w:r>
              <w:rPr>
                <w:rFonts w:ascii="Arial Narrow" w:hAnsi="Arial Narrow" w:eastAsia="Arial Narrow" w:cs="Arial Narrow"/>
                <w:b/>
                <w:bCs/>
                <w:color w:val="000000"/>
                <w:kern w:val="0"/>
                <w:sz w:val="20"/>
                <w:szCs w:val="18"/>
              </w:rPr>
              <w:t>.00</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b/>
                <w:bCs/>
                <w:color w:val="000000"/>
                <w:sz w:val="20"/>
                <w:szCs w:val="18"/>
              </w:rPr>
            </w:pPr>
            <w:r>
              <w:rPr>
                <w:rFonts w:hint="eastAsia" w:ascii="Arial Narrow" w:hAnsi="Arial Narrow" w:eastAsia="宋体" w:cs="Arial Narrow"/>
                <w:b/>
                <w:bCs/>
                <w:color w:val="000000"/>
                <w:kern w:val="0"/>
                <w:sz w:val="20"/>
                <w:szCs w:val="18"/>
              </w:rPr>
              <w:t>76</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textAlignment w:val="center"/>
              <w:rPr>
                <w:b/>
                <w:bCs/>
                <w:color w:val="000000"/>
                <w:sz w:val="20"/>
                <w:szCs w:val="18"/>
              </w:rPr>
            </w:pPr>
            <w:r>
              <w:rPr>
                <w:rFonts w:hint="eastAsia" w:ascii="Arial Narrow" w:hAnsi="Arial Narrow" w:eastAsia="宋体" w:cs="Arial Narrow"/>
                <w:b/>
                <w:bCs/>
                <w:color w:val="000000"/>
                <w:kern w:val="0"/>
                <w:sz w:val="20"/>
                <w:szCs w:val="18"/>
              </w:rPr>
              <w:t>396</w:t>
            </w:r>
            <w:r>
              <w:rPr>
                <w:rFonts w:ascii="Arial Narrow" w:hAnsi="Arial Narrow" w:eastAsia="Arial Narrow" w:cs="Arial Narrow"/>
                <w:b/>
                <w:bCs/>
                <w:color w:val="000000"/>
                <w:kern w:val="0"/>
                <w:sz w:val="20"/>
                <w:szCs w:val="18"/>
              </w:rPr>
              <w:t>,</w:t>
            </w:r>
            <w:r>
              <w:rPr>
                <w:rFonts w:hint="eastAsia" w:ascii="Arial Narrow" w:hAnsi="Arial Narrow" w:eastAsia="宋体" w:cs="Arial Narrow"/>
                <w:b/>
                <w:bCs/>
                <w:color w:val="000000"/>
                <w:kern w:val="0"/>
                <w:sz w:val="20"/>
                <w:szCs w:val="18"/>
              </w:rPr>
              <w:t>444</w:t>
            </w:r>
            <w:r>
              <w:rPr>
                <w:rFonts w:ascii="Arial Narrow" w:hAnsi="Arial Narrow" w:eastAsia="Arial Narrow" w:cs="Arial Narrow"/>
                <w:b/>
                <w:bCs/>
                <w:color w:val="000000"/>
                <w:kern w:val="0"/>
                <w:sz w:val="20"/>
                <w:szCs w:val="18"/>
              </w:rPr>
              <w:t>.00</w:t>
            </w:r>
          </w:p>
        </w:tc>
      </w:tr>
    </w:tbl>
    <w:p>
      <w:pPr>
        <w:widowControl w:val="0"/>
        <w:spacing w:line="560" w:lineRule="exact"/>
        <w:ind w:firstLine="562" w:firstLineChars="200"/>
        <w:textAlignment w:val="center"/>
        <w:outlineLvl w:val="2"/>
        <w:rPr>
          <w:b/>
        </w:rPr>
      </w:pPr>
      <w:r>
        <w:rPr>
          <w:rFonts w:hint="eastAsia"/>
          <w:b/>
        </w:rPr>
        <w:t>2、资产减少情况</w:t>
      </w:r>
    </w:p>
    <w:p>
      <w:pPr>
        <w:widowControl w:val="0"/>
        <w:spacing w:line="560" w:lineRule="exact"/>
        <w:ind w:firstLine="560" w:firstLineChars="200"/>
        <w:textAlignment w:val="center"/>
        <w:outlineLvl w:val="2"/>
      </w:pPr>
      <w:r>
        <w:rPr>
          <w:rFonts w:hint="eastAsia"/>
        </w:rPr>
        <w:t>2021年</w:t>
      </w:r>
      <w:bookmarkEnd w:id="100"/>
      <w:bookmarkEnd w:id="101"/>
      <w:bookmarkEnd w:id="102"/>
      <w:r>
        <w:rPr>
          <w:rFonts w:hint="eastAsia"/>
        </w:rPr>
        <w:t>固定资产无减少。</w:t>
      </w:r>
    </w:p>
    <w:p>
      <w:pPr>
        <w:widowControl w:val="0"/>
        <w:spacing w:line="560" w:lineRule="exact"/>
        <w:ind w:firstLine="562" w:firstLineChars="200"/>
        <w:textAlignment w:val="center"/>
        <w:outlineLvl w:val="2"/>
        <w:rPr>
          <w:b/>
        </w:rPr>
      </w:pPr>
      <w:r>
        <w:rPr>
          <w:rFonts w:hint="eastAsia"/>
          <w:b/>
        </w:rPr>
        <w:t>3、部门车辆情况</w:t>
      </w:r>
    </w:p>
    <w:p>
      <w:pPr>
        <w:widowControl w:val="0"/>
        <w:spacing w:line="560" w:lineRule="exact"/>
        <w:ind w:firstLine="560" w:firstLineChars="200"/>
        <w:textAlignment w:val="center"/>
        <w:rPr>
          <w:bCs/>
        </w:rPr>
      </w:pPr>
      <w:r>
        <w:rPr>
          <w:rFonts w:hint="eastAsia"/>
        </w:rPr>
        <w:t>运城市人力资源和社会保障局自有公务用车5辆，</w:t>
      </w:r>
      <w:r>
        <w:rPr>
          <w:rFonts w:hint="eastAsia"/>
          <w:bCs/>
        </w:rPr>
        <w:t>具体情况见表1-6：</w:t>
      </w:r>
    </w:p>
    <w:p>
      <w:pPr>
        <w:widowControl w:val="0"/>
        <w:spacing w:line="540" w:lineRule="exact"/>
        <w:jc w:val="center"/>
        <w:rPr>
          <w:b/>
          <w:bCs/>
        </w:rPr>
      </w:pPr>
      <w:r>
        <w:rPr>
          <w:rFonts w:hint="eastAsia"/>
          <w:b/>
          <w:bCs/>
        </w:rPr>
        <w:t>表1-6  车辆情况表</w:t>
      </w:r>
    </w:p>
    <w:p>
      <w:pPr>
        <w:widowControl w:val="0"/>
        <w:spacing w:line="500" w:lineRule="exact"/>
        <w:jc w:val="right"/>
        <w:rPr>
          <w:sz w:val="24"/>
          <w:szCs w:val="24"/>
        </w:rPr>
      </w:pPr>
      <w:r>
        <w:rPr>
          <w:rFonts w:hint="eastAsia"/>
          <w:sz w:val="24"/>
          <w:szCs w:val="24"/>
        </w:rPr>
        <w:t>金额单位：元</w:t>
      </w:r>
    </w:p>
    <w:tbl>
      <w:tblPr>
        <w:tblStyle w:val="19"/>
        <w:tblW w:w="4997" w:type="pct"/>
        <w:tblInd w:w="0" w:type="dxa"/>
        <w:tblLayout w:type="autofit"/>
        <w:tblCellMar>
          <w:top w:w="0" w:type="dxa"/>
          <w:left w:w="108" w:type="dxa"/>
          <w:bottom w:w="0" w:type="dxa"/>
          <w:right w:w="108" w:type="dxa"/>
        </w:tblCellMar>
      </w:tblPr>
      <w:tblGrid>
        <w:gridCol w:w="845"/>
        <w:gridCol w:w="1389"/>
        <w:gridCol w:w="1501"/>
        <w:gridCol w:w="1245"/>
        <w:gridCol w:w="1245"/>
        <w:gridCol w:w="1245"/>
        <w:gridCol w:w="1245"/>
      </w:tblGrid>
      <w:tr>
        <w:tblPrEx>
          <w:tblCellMar>
            <w:top w:w="0" w:type="dxa"/>
            <w:left w:w="108" w:type="dxa"/>
            <w:bottom w:w="0" w:type="dxa"/>
            <w:right w:w="108" w:type="dxa"/>
          </w:tblCellMar>
        </w:tblPrEx>
        <w:trPr>
          <w:trHeight w:val="397"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0"/>
                <w:szCs w:val="20"/>
              </w:rPr>
            </w:pPr>
            <w:r>
              <w:rPr>
                <w:rFonts w:hint="eastAsia"/>
                <w:b/>
                <w:bCs/>
                <w:color w:val="000000"/>
                <w:kern w:val="0"/>
                <w:sz w:val="20"/>
                <w:szCs w:val="20"/>
              </w:rPr>
              <w:t>序号</w:t>
            </w:r>
          </w:p>
        </w:tc>
        <w:tc>
          <w:tcPr>
            <w:tcW w:w="7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0"/>
                <w:szCs w:val="20"/>
              </w:rPr>
            </w:pPr>
            <w:r>
              <w:rPr>
                <w:rFonts w:hint="eastAsia"/>
                <w:b/>
                <w:bCs/>
                <w:color w:val="000000"/>
                <w:kern w:val="0"/>
                <w:sz w:val="20"/>
                <w:szCs w:val="20"/>
              </w:rPr>
              <w:t>名称</w:t>
            </w:r>
          </w:p>
        </w:tc>
        <w:tc>
          <w:tcPr>
            <w:tcW w:w="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0"/>
                <w:szCs w:val="20"/>
              </w:rPr>
            </w:pPr>
            <w:r>
              <w:rPr>
                <w:rFonts w:hint="eastAsia"/>
                <w:b/>
                <w:bCs/>
                <w:color w:val="000000"/>
                <w:kern w:val="0"/>
                <w:sz w:val="20"/>
                <w:szCs w:val="20"/>
              </w:rPr>
              <w:t>取得时间</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0"/>
                <w:szCs w:val="20"/>
              </w:rPr>
            </w:pPr>
            <w:r>
              <w:rPr>
                <w:rFonts w:hint="eastAsia"/>
                <w:b/>
                <w:bCs/>
                <w:color w:val="000000"/>
                <w:kern w:val="0"/>
                <w:sz w:val="20"/>
                <w:szCs w:val="20"/>
              </w:rPr>
              <w:t>金额</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0"/>
                <w:szCs w:val="20"/>
              </w:rPr>
            </w:pPr>
            <w:r>
              <w:rPr>
                <w:rFonts w:hint="eastAsia"/>
                <w:b/>
                <w:bCs/>
                <w:color w:val="000000"/>
                <w:kern w:val="0"/>
                <w:sz w:val="20"/>
                <w:szCs w:val="20"/>
              </w:rPr>
              <w:t>车辆品牌</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0"/>
                <w:szCs w:val="20"/>
              </w:rPr>
            </w:pPr>
            <w:r>
              <w:rPr>
                <w:rFonts w:hint="eastAsia"/>
                <w:b/>
                <w:bCs/>
                <w:color w:val="000000"/>
                <w:kern w:val="0"/>
                <w:sz w:val="20"/>
                <w:szCs w:val="20"/>
              </w:rPr>
              <w:t>车牌号</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0"/>
                <w:szCs w:val="20"/>
              </w:rPr>
            </w:pPr>
            <w:r>
              <w:rPr>
                <w:rFonts w:hint="eastAsia"/>
                <w:b/>
                <w:bCs/>
                <w:color w:val="000000"/>
                <w:kern w:val="0"/>
                <w:sz w:val="20"/>
                <w:szCs w:val="20"/>
              </w:rPr>
              <w:t>取得方式</w:t>
            </w:r>
          </w:p>
        </w:tc>
      </w:tr>
      <w:tr>
        <w:tblPrEx>
          <w:tblCellMar>
            <w:top w:w="0" w:type="dxa"/>
            <w:left w:w="108" w:type="dxa"/>
            <w:bottom w:w="0" w:type="dxa"/>
            <w:right w:w="108" w:type="dxa"/>
          </w:tblCellMar>
        </w:tblPrEx>
        <w:trPr>
          <w:trHeight w:val="397"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w:t>
            </w:r>
          </w:p>
        </w:tc>
        <w:tc>
          <w:tcPr>
            <w:tcW w:w="7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轿车</w:t>
            </w:r>
          </w:p>
        </w:tc>
        <w:tc>
          <w:tcPr>
            <w:tcW w:w="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2019/12/30</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179,800.00</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迈腾</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晋M6823N</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调拨</w:t>
            </w:r>
          </w:p>
        </w:tc>
      </w:tr>
      <w:tr>
        <w:tblPrEx>
          <w:tblCellMar>
            <w:top w:w="0" w:type="dxa"/>
            <w:left w:w="108" w:type="dxa"/>
            <w:bottom w:w="0" w:type="dxa"/>
            <w:right w:w="108" w:type="dxa"/>
          </w:tblCellMar>
        </w:tblPrEx>
        <w:trPr>
          <w:trHeight w:val="397"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w:t>
            </w:r>
          </w:p>
        </w:tc>
        <w:tc>
          <w:tcPr>
            <w:tcW w:w="7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轿车</w:t>
            </w:r>
          </w:p>
        </w:tc>
        <w:tc>
          <w:tcPr>
            <w:tcW w:w="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2019/12/30</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179,800.00</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迈腾</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晋MS0896</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调拨</w:t>
            </w:r>
          </w:p>
        </w:tc>
      </w:tr>
      <w:tr>
        <w:tblPrEx>
          <w:tblCellMar>
            <w:top w:w="0" w:type="dxa"/>
            <w:left w:w="108" w:type="dxa"/>
            <w:bottom w:w="0" w:type="dxa"/>
            <w:right w:w="108" w:type="dxa"/>
          </w:tblCellMar>
        </w:tblPrEx>
        <w:trPr>
          <w:trHeight w:val="397"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w:t>
            </w:r>
          </w:p>
        </w:tc>
        <w:tc>
          <w:tcPr>
            <w:tcW w:w="7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轿车</w:t>
            </w:r>
          </w:p>
        </w:tc>
        <w:tc>
          <w:tcPr>
            <w:tcW w:w="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2019/12/30</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179,800.00</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帕萨特</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晋M0589N</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调拨</w:t>
            </w:r>
          </w:p>
        </w:tc>
      </w:tr>
      <w:tr>
        <w:tblPrEx>
          <w:tblCellMar>
            <w:top w:w="0" w:type="dxa"/>
            <w:left w:w="108" w:type="dxa"/>
            <w:bottom w:w="0" w:type="dxa"/>
            <w:right w:w="108" w:type="dxa"/>
          </w:tblCellMar>
        </w:tblPrEx>
        <w:trPr>
          <w:trHeight w:val="397"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w:t>
            </w:r>
          </w:p>
        </w:tc>
        <w:tc>
          <w:tcPr>
            <w:tcW w:w="7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轿车</w:t>
            </w:r>
          </w:p>
        </w:tc>
        <w:tc>
          <w:tcPr>
            <w:tcW w:w="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2010/10/13</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210,100.00</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雅阁</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晋MV3669</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购置</w:t>
            </w:r>
          </w:p>
        </w:tc>
      </w:tr>
      <w:tr>
        <w:tblPrEx>
          <w:tblCellMar>
            <w:top w:w="0" w:type="dxa"/>
            <w:left w:w="108" w:type="dxa"/>
            <w:bottom w:w="0" w:type="dxa"/>
            <w:right w:w="108" w:type="dxa"/>
          </w:tblCellMar>
        </w:tblPrEx>
        <w:trPr>
          <w:trHeight w:val="397"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w:t>
            </w:r>
          </w:p>
        </w:tc>
        <w:tc>
          <w:tcPr>
            <w:tcW w:w="7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轿车</w:t>
            </w:r>
          </w:p>
        </w:tc>
        <w:tc>
          <w:tcPr>
            <w:tcW w:w="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2010/9/15</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208,800.00</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帕萨特</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晋MA0839</w:t>
            </w: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0"/>
                <w:szCs w:val="20"/>
              </w:rPr>
            </w:pPr>
            <w:r>
              <w:rPr>
                <w:rFonts w:hint="eastAsia"/>
                <w:color w:val="000000"/>
                <w:kern w:val="0"/>
                <w:sz w:val="20"/>
                <w:szCs w:val="20"/>
              </w:rPr>
              <w:t>购置</w:t>
            </w:r>
          </w:p>
        </w:tc>
      </w:tr>
    </w:tbl>
    <w:p>
      <w:pPr>
        <w:pStyle w:val="4"/>
        <w:spacing w:before="0" w:after="0" w:line="560" w:lineRule="exact"/>
        <w:ind w:firstLine="562" w:firstLineChars="200"/>
        <w:rPr>
          <w:rFonts w:ascii="仿宋" w:hAnsi="仿宋" w:eastAsia="仿宋"/>
          <w:sz w:val="28"/>
        </w:rPr>
      </w:pPr>
      <w:bookmarkStart w:id="103" w:name="_Toc7113"/>
      <w:r>
        <w:rPr>
          <w:rFonts w:hint="eastAsia" w:ascii="仿宋" w:hAnsi="仿宋" w:eastAsia="仿宋"/>
          <w:sz w:val="28"/>
        </w:rPr>
        <w:t>（四）2021年部门工作开展情况</w:t>
      </w:r>
      <w:bookmarkEnd w:id="103"/>
    </w:p>
    <w:p>
      <w:pPr>
        <w:numPr>
          <w:ilvl w:val="0"/>
          <w:numId w:val="2"/>
        </w:numPr>
        <w:spacing w:line="560" w:lineRule="exact"/>
        <w:ind w:firstLine="560" w:firstLineChars="200"/>
        <w:rPr>
          <w:kern w:val="0"/>
        </w:rPr>
      </w:pPr>
      <w:r>
        <w:rPr>
          <w:rFonts w:hint="eastAsia"/>
          <w:kern w:val="0"/>
        </w:rPr>
        <w:t>就业创业培训服务完成情况</w:t>
      </w:r>
    </w:p>
    <w:p>
      <w:pPr>
        <w:spacing w:line="560" w:lineRule="exact"/>
        <w:ind w:firstLine="560" w:firstLineChars="200"/>
        <w:rPr>
          <w:kern w:val="0"/>
        </w:rPr>
      </w:pPr>
      <w:r>
        <w:rPr>
          <w:rFonts w:hint="eastAsia"/>
          <w:kern w:val="0"/>
        </w:rPr>
        <w:t>（1）深化市校合作，推动12大基地建设。成立市校合作工作专班，制定专项工作方案，建立优质服务直通平台，为市校“牵线搭桥”。组织开展“运才兴运”专项活动，与武汉大学、太原理工大学等多所高校达成合作协议，全市共建立技能服务人才培养基地35个，向高校输送技能人才400余名。</w:t>
      </w:r>
    </w:p>
    <w:p>
      <w:pPr>
        <w:spacing w:line="560" w:lineRule="exact"/>
        <w:ind w:firstLine="560" w:firstLineChars="200"/>
        <w:rPr>
          <w:kern w:val="0"/>
        </w:rPr>
      </w:pPr>
      <w:r>
        <w:rPr>
          <w:rFonts w:hint="eastAsia"/>
          <w:kern w:val="0"/>
        </w:rPr>
        <w:t>（2）运城盐湖区零工市场占地4000余平米，设置“六部五窗口”，运营以来，采集零工求职信息6000余条，举办了16场现场招聘活动，提供就业岗位2万余个，促成就业5000余人。</w:t>
      </w:r>
    </w:p>
    <w:p>
      <w:pPr>
        <w:spacing w:line="560" w:lineRule="exact"/>
        <w:ind w:firstLine="560" w:firstLineChars="200"/>
        <w:rPr>
          <w:kern w:val="0"/>
        </w:rPr>
      </w:pPr>
      <w:r>
        <w:rPr>
          <w:rFonts w:hint="eastAsia"/>
          <w:kern w:val="0"/>
        </w:rPr>
        <w:t>（3）打造了“运城焊工”“关乡家嫂”“面都永济”“闻喜花馍”等各有特色的劳务品牌14个，向省人社厅推荐省级劳务品牌10个。</w:t>
      </w:r>
    </w:p>
    <w:p>
      <w:pPr>
        <w:spacing w:line="560" w:lineRule="exact"/>
        <w:ind w:firstLine="560" w:firstLineChars="200"/>
        <w:rPr>
          <w:kern w:val="0"/>
        </w:rPr>
      </w:pPr>
      <w:r>
        <w:rPr>
          <w:rFonts w:hint="eastAsia"/>
          <w:kern w:val="0"/>
        </w:rPr>
        <w:t>（4）推进充分就业帮扶行动，助力乡村振兴。在全市13个县（市、区）确定了239个重点社区（村），向4.3万重点帮扶对象提供职业介绍、职业培训、创业帮扶等公共就业服务，确保就业保障安全有力。</w:t>
      </w:r>
    </w:p>
    <w:p>
      <w:pPr>
        <w:widowControl w:val="0"/>
        <w:spacing w:line="560" w:lineRule="exact"/>
        <w:ind w:firstLine="560" w:firstLineChars="200"/>
        <w:rPr>
          <w:kern w:val="0"/>
        </w:rPr>
      </w:pPr>
      <w:r>
        <w:rPr>
          <w:rFonts w:hint="eastAsia"/>
          <w:kern w:val="0"/>
        </w:rPr>
        <w:t>（5）加大劳务输出力度。全市城镇新增就业6.21万人，转移就业16.65万人，城镇登记失业率控制在0.02%，低于省定控制指标。</w:t>
      </w:r>
    </w:p>
    <w:p>
      <w:pPr>
        <w:widowControl w:val="0"/>
        <w:spacing w:line="560" w:lineRule="exact"/>
        <w:ind w:firstLine="560" w:firstLineChars="200"/>
        <w:rPr>
          <w:kern w:val="0"/>
        </w:rPr>
      </w:pPr>
      <w:r>
        <w:rPr>
          <w:rFonts w:hint="eastAsia"/>
          <w:kern w:val="0"/>
        </w:rPr>
        <w:t>2、劳动者技能素质任务完成情况</w:t>
      </w:r>
    </w:p>
    <w:p>
      <w:pPr>
        <w:widowControl w:val="0"/>
        <w:spacing w:line="560" w:lineRule="exact"/>
        <w:ind w:firstLine="560" w:firstLineChars="200"/>
        <w:rPr>
          <w:kern w:val="0"/>
        </w:rPr>
      </w:pPr>
      <w:r>
        <w:rPr>
          <w:rFonts w:hint="eastAsia"/>
          <w:kern w:val="0"/>
        </w:rPr>
        <w:t>（1）需求导向、分类培训。推动建立“技能运城”信息平台，畅通“线上+线下”信息渠道，全面推行实名制职业技能电子培训券使用，健全培训和就业需求信息采集、分析、研判、反馈、发布综合服务体系，促进实现“培训-取证-就业增收”全链条服务。</w:t>
      </w:r>
    </w:p>
    <w:p>
      <w:pPr>
        <w:widowControl w:val="0"/>
        <w:spacing w:line="560" w:lineRule="exact"/>
        <w:ind w:firstLine="560" w:firstLineChars="200"/>
        <w:rPr>
          <w:kern w:val="0"/>
        </w:rPr>
      </w:pPr>
      <w:r>
        <w:rPr>
          <w:rFonts w:hint="eastAsia"/>
          <w:kern w:val="0"/>
        </w:rPr>
        <w:t>（2）推进技师学院建设、打造公共实训基地。山西省政府于11月初已批复同意将运城市高级技工学校晋升为山西新产业技师学院，挂牌成立在即。积极申报市级公共实训基地建设，目前正在审批中；稷山县和河津市公共实训基地建设项目也在积极招标、动工中。</w:t>
      </w:r>
    </w:p>
    <w:p>
      <w:pPr>
        <w:widowControl w:val="0"/>
        <w:spacing w:line="560" w:lineRule="exact"/>
        <w:ind w:firstLine="560" w:firstLineChars="200"/>
        <w:rPr>
          <w:kern w:val="0"/>
        </w:rPr>
      </w:pPr>
      <w:r>
        <w:rPr>
          <w:rFonts w:hint="eastAsia"/>
          <w:kern w:val="0"/>
        </w:rPr>
        <w:t>（3）举办技能大赛、以赛促学促训。承办第三届全省职业技能大赛决赛10个项目；举办第三届全省职业技能大赛运城选拔赛；10月21日，举办运城市第一届劳务品牌大赛；“万荣面塑”“闻喜花馍”“绛州澄泥砚”在全国乡村振兴职业技能大赛上广受关注、大放异彩；13个县（市、区）全年共举办各类技能大赛16场。截至目前，全市开展各类职业技能培训23.74万人，完成省级全年目标任务15万人的158.29％，完成市级全年目标任务20万人的118.72％；新增技能人才7.39万人，完成省级全年目标任务3.5万人的211.14％，完成市级全年目标任务5.5万人的134.36％；新增高技能人才1.37万人，完成省级全年目标任务8000人的171.41％，完成市级全年目标任务1万人的137.13％。</w:t>
      </w:r>
    </w:p>
    <w:p>
      <w:pPr>
        <w:spacing w:line="560" w:lineRule="exact"/>
        <w:ind w:firstLine="560" w:firstLineChars="200"/>
        <w:rPr>
          <w:kern w:val="0"/>
        </w:rPr>
      </w:pPr>
      <w:r>
        <w:rPr>
          <w:rFonts w:hint="eastAsia"/>
          <w:kern w:val="0"/>
        </w:rPr>
        <w:t>3、建立健全社会保障体系</w:t>
      </w:r>
    </w:p>
    <w:p>
      <w:pPr>
        <w:spacing w:line="560" w:lineRule="exact"/>
        <w:ind w:firstLine="560" w:firstLineChars="200"/>
        <w:rPr>
          <w:kern w:val="0"/>
        </w:rPr>
      </w:pPr>
      <w:r>
        <w:rPr>
          <w:rFonts w:hint="eastAsia"/>
          <w:kern w:val="0"/>
        </w:rPr>
        <w:t>（1）城乡居民补充养老保险工作有序推进，全市城乡居民补充养老保险参保277.54万人，参保率99.7％，全市城乡居民补充养老保险征缴人数134.7万人，征缴率60.35％，征缴金额4.38亿元。</w:t>
      </w:r>
    </w:p>
    <w:p>
      <w:pPr>
        <w:spacing w:line="560" w:lineRule="exact"/>
        <w:ind w:firstLine="560" w:firstLineChars="200"/>
        <w:rPr>
          <w:kern w:val="0"/>
        </w:rPr>
      </w:pPr>
      <w:r>
        <w:rPr>
          <w:rFonts w:hint="eastAsia"/>
          <w:kern w:val="0"/>
        </w:rPr>
        <w:t>（2）推动落实全民参保计划。截至当前，全市城乡居民基本养老保险、失业保险、工伤保险参保分别达到286.54万人、38.01万人、70.93万人，均已完成年度目标任务。</w:t>
      </w:r>
    </w:p>
    <w:p>
      <w:pPr>
        <w:spacing w:line="560" w:lineRule="exact"/>
        <w:ind w:firstLine="560" w:firstLineChars="200"/>
        <w:rPr>
          <w:kern w:val="0"/>
        </w:rPr>
      </w:pPr>
      <w:r>
        <w:rPr>
          <w:rFonts w:hint="eastAsia"/>
          <w:kern w:val="0"/>
        </w:rPr>
        <w:t>（3）推动落实援企稳岗政策，2021年8月以来，为切实减轻国有困难企业负担，维护企业职工合法权益，为山西农药厂、永济纺织厂、永济印染厂、运城市鳞肥厂、新绛纺织厂等13个国企4180名参保职工落实缓交养老保险滞纳金3.6565亿元。</w:t>
      </w:r>
    </w:p>
    <w:p>
      <w:pPr>
        <w:spacing w:line="560" w:lineRule="exact"/>
        <w:ind w:firstLine="560" w:firstLineChars="200"/>
        <w:rPr>
          <w:kern w:val="0"/>
        </w:rPr>
      </w:pPr>
      <w:r>
        <w:rPr>
          <w:rFonts w:hint="eastAsia"/>
          <w:kern w:val="0"/>
        </w:rPr>
        <w:t>4、健全完善体制机制，加强人才人事工作。</w:t>
      </w:r>
    </w:p>
    <w:p>
      <w:pPr>
        <w:spacing w:line="560" w:lineRule="exact"/>
        <w:ind w:firstLine="560" w:firstLineChars="200"/>
        <w:rPr>
          <w:kern w:val="0"/>
        </w:rPr>
      </w:pPr>
      <w:r>
        <w:rPr>
          <w:rFonts w:hint="eastAsia"/>
          <w:kern w:val="0"/>
        </w:rPr>
        <w:t>（1）安置高校毕业生就业方面。全市安置高校毕业生就业共计13309人，其中面向全国公开引进高素质青年人才457名；全市事业单位公开招聘2327人，全市持续实施“三支一扶”计划，向基层输送各类人才93名；大学生村官招聘732人，大学生实名制登记就业9700人。</w:t>
      </w:r>
    </w:p>
    <w:p>
      <w:pPr>
        <w:spacing w:line="560" w:lineRule="exact"/>
        <w:ind w:firstLine="560" w:firstLineChars="200"/>
        <w:rPr>
          <w:kern w:val="0"/>
        </w:rPr>
      </w:pPr>
      <w:r>
        <w:rPr>
          <w:rFonts w:hint="eastAsia"/>
          <w:kern w:val="0"/>
        </w:rPr>
        <w:t>（2）培训人才方面。2021年培训人数达到81750人；通过建立高技能人才培训基地和技能大师工作室，培育技能人才，运城市荣获山西省人社厅授牌的省级技能大师工作室3个，分别为：山西新绛县绛州澄泥砚研制所蔺永茂技能大师工作室、运城职业技术大学杨利技能大师工作室、永济电机高级技工学校李红军技能大师工作室。</w:t>
      </w:r>
    </w:p>
    <w:p>
      <w:pPr>
        <w:spacing w:line="560" w:lineRule="exact"/>
        <w:ind w:firstLine="560" w:firstLineChars="200"/>
        <w:rPr>
          <w:kern w:val="0"/>
        </w:rPr>
      </w:pPr>
      <w:r>
        <w:rPr>
          <w:rFonts w:hint="eastAsia"/>
          <w:kern w:val="0"/>
        </w:rPr>
        <w:t>（3）灵活机制用才方面。全面落实艰苦边远地区和基层一线岗位聘用倾斜政策，提高艰苦边远地区的乡镇事业单位高、中级专业技术岗位结构比例3％，打破基层专业技术人员晋级“天花板”。完善修订专业技术人员职称评价标准。提高全市文博系统和疾控中心岗位设置高、中级专业技术比例。</w:t>
      </w:r>
    </w:p>
    <w:p>
      <w:pPr>
        <w:spacing w:line="560" w:lineRule="exact"/>
        <w:ind w:firstLine="560" w:firstLineChars="200"/>
        <w:rPr>
          <w:kern w:val="0"/>
          <w:highlight w:val="yellow"/>
        </w:rPr>
      </w:pPr>
      <w:r>
        <w:rPr>
          <w:rFonts w:hint="eastAsia"/>
          <w:kern w:val="0"/>
        </w:rPr>
        <w:t>（4）优化服务留才。全面落实基层工作人员工资待遇，8月底前已全部发放到位；深化公立医院薪酬制度改革，落实绩效工资倾斜，市直2021年公立医院绩效工资共倾斜1.2亿元，涉及1602人，人均增加7.5万元/年。</w:t>
      </w:r>
    </w:p>
    <w:p>
      <w:pPr>
        <w:spacing w:line="560" w:lineRule="exact"/>
        <w:ind w:firstLine="560" w:firstLineChars="200"/>
        <w:rPr>
          <w:kern w:val="0"/>
        </w:rPr>
      </w:pPr>
      <w:r>
        <w:rPr>
          <w:rFonts w:hint="eastAsia"/>
          <w:kern w:val="0"/>
        </w:rPr>
        <w:t>5、加大风险防控力度，劳动关系总体和谐稳定。</w:t>
      </w:r>
    </w:p>
    <w:p>
      <w:pPr>
        <w:spacing w:line="560" w:lineRule="exact"/>
        <w:ind w:firstLine="560" w:firstLineChars="200"/>
        <w:rPr>
          <w:kern w:val="0"/>
        </w:rPr>
      </w:pPr>
      <w:r>
        <w:rPr>
          <w:rFonts w:hint="eastAsia"/>
          <w:kern w:val="0"/>
        </w:rPr>
        <w:t>（1）持续推进根治欠薪攻坚行动。全市现金存储1011个项目中，保函替代270个，完工返还524个，转存217个，共计释放企业资金4.79亿元；积极开展冬季专项行动、“春节大接访”、工程建设项目根治欠薪制度措施落实情况专项检查等各项活动。</w:t>
      </w:r>
    </w:p>
    <w:p>
      <w:pPr>
        <w:spacing w:line="560" w:lineRule="exact"/>
        <w:ind w:firstLine="560" w:firstLineChars="200"/>
        <w:rPr>
          <w:kern w:val="0"/>
        </w:rPr>
      </w:pPr>
      <w:r>
        <w:rPr>
          <w:rFonts w:hint="eastAsia"/>
          <w:kern w:val="0"/>
        </w:rPr>
        <w:t>（2）持续规范劳动人事争议仲裁。组织7名执法人员参加全省劳动人事争议调解仲裁与信访骨干业务能力提升培训班，组织全体行政执法人员参加“行政执法大讲堂”四期线上培训活动，进一步提升仲裁信访队伍专业化水平；完善仲裁员管理信息系统，实行仲裁员实名制管理，增强调解仲裁工作的公信力。</w:t>
      </w:r>
    </w:p>
    <w:p>
      <w:pPr>
        <w:spacing w:line="560" w:lineRule="exact"/>
        <w:ind w:firstLine="560" w:firstLineChars="200"/>
        <w:rPr>
          <w:kern w:val="0"/>
          <w:highlight w:val="yellow"/>
        </w:rPr>
      </w:pPr>
      <w:r>
        <w:rPr>
          <w:rFonts w:hint="eastAsia"/>
          <w:kern w:val="0"/>
        </w:rPr>
        <w:t>（3）持续提升信访工作质效。全面落实首问责任制，规范信访事项办理，跟进疏导教育、困难帮扶等工作，从源头上控制投诉、信访增量，防止重复信访的发生。2021年度受理信访事项44件，较2020年度下降61.8％。</w:t>
      </w:r>
    </w:p>
    <w:p>
      <w:pPr>
        <w:spacing w:line="560" w:lineRule="exact"/>
        <w:ind w:firstLine="560" w:firstLineChars="200"/>
        <w:rPr>
          <w:kern w:val="0"/>
        </w:rPr>
      </w:pPr>
      <w:r>
        <w:rPr>
          <w:rFonts w:hint="eastAsia"/>
          <w:kern w:val="0"/>
        </w:rPr>
        <w:t>6、人社服务任务完成情况。</w:t>
      </w:r>
    </w:p>
    <w:p>
      <w:pPr>
        <w:spacing w:line="560" w:lineRule="exact"/>
        <w:ind w:firstLine="560" w:firstLineChars="200"/>
        <w:rPr>
          <w:kern w:val="0"/>
        </w:rPr>
      </w:pPr>
      <w:r>
        <w:rPr>
          <w:rFonts w:hint="eastAsia"/>
          <w:kern w:val="0"/>
        </w:rPr>
        <w:t>（1）人社服务信息化建设进一步加强。建成全省统一的社会保险公共服务平台，集中工伤保险信息系统上线运行；职称证书实现电子化，实行全流程网上办理，网上签发，全面推行职业技能电子培训券使用。</w:t>
      </w:r>
    </w:p>
    <w:p>
      <w:pPr>
        <w:spacing w:line="560" w:lineRule="exact"/>
        <w:ind w:firstLine="560" w:firstLineChars="200"/>
        <w:rPr>
          <w:kern w:val="0"/>
        </w:rPr>
      </w:pPr>
      <w:r>
        <w:rPr>
          <w:rFonts w:hint="eastAsia"/>
          <w:kern w:val="0"/>
        </w:rPr>
        <w:t>（2）积极开展“人社服务快办行动”。已经取消125件次证明事项材料，实现了25项高频服务事项提速50％以上，让“网办”成为了主渠道，让“快办”成为了新亮点。</w:t>
      </w:r>
    </w:p>
    <w:p>
      <w:pPr>
        <w:pStyle w:val="4"/>
        <w:spacing w:before="0" w:after="0" w:line="560" w:lineRule="exact"/>
        <w:ind w:firstLine="562" w:firstLineChars="200"/>
        <w:rPr>
          <w:rFonts w:ascii="仿宋" w:hAnsi="仿宋" w:eastAsia="仿宋"/>
          <w:sz w:val="28"/>
        </w:rPr>
      </w:pPr>
      <w:bookmarkStart w:id="104" w:name="_Toc30289"/>
      <w:r>
        <w:rPr>
          <w:rFonts w:hint="eastAsia" w:ascii="仿宋" w:hAnsi="仿宋" w:eastAsia="仿宋"/>
          <w:sz w:val="28"/>
        </w:rPr>
        <w:t>（五）</w:t>
      </w:r>
      <w:bookmarkEnd w:id="0"/>
      <w:bookmarkEnd w:id="1"/>
      <w:bookmarkEnd w:id="2"/>
      <w:bookmarkEnd w:id="3"/>
      <w:bookmarkEnd w:id="4"/>
      <w:bookmarkEnd w:id="5"/>
      <w:bookmarkStart w:id="105" w:name="_Toc28215"/>
      <w:bookmarkStart w:id="106" w:name="_Toc20352"/>
      <w:bookmarkStart w:id="107" w:name="_Toc4174"/>
      <w:bookmarkStart w:id="108" w:name="_Toc21115"/>
      <w:r>
        <w:rPr>
          <w:rFonts w:hint="eastAsia" w:ascii="仿宋" w:hAnsi="仿宋" w:eastAsia="仿宋"/>
          <w:sz w:val="28"/>
        </w:rPr>
        <w:t>部门整体支出绩效目标</w:t>
      </w:r>
      <w:bookmarkEnd w:id="104"/>
    </w:p>
    <w:bookmarkEnd w:id="105"/>
    <w:bookmarkEnd w:id="106"/>
    <w:bookmarkEnd w:id="107"/>
    <w:bookmarkEnd w:id="108"/>
    <w:p>
      <w:pPr>
        <w:spacing w:line="560" w:lineRule="exact"/>
        <w:ind w:firstLine="560" w:firstLineChars="200"/>
      </w:pPr>
      <w:bookmarkStart w:id="109" w:name="_Toc9381_WPSOffice_Level1"/>
      <w:bookmarkStart w:id="110" w:name="_Toc6643"/>
      <w:bookmarkStart w:id="111" w:name="_Toc21958"/>
      <w:bookmarkStart w:id="112" w:name="_Toc16752"/>
      <w:bookmarkStart w:id="113" w:name="_Toc28172"/>
      <w:bookmarkStart w:id="114" w:name="_Toc15169"/>
      <w:r>
        <w:rPr>
          <w:rFonts w:hint="eastAsia"/>
        </w:rPr>
        <w:t>项目单位根据部门业务工作内容及职责，向财政部门报送其编制的部门绩效目标，具体内容为：</w:t>
      </w:r>
    </w:p>
    <w:p>
      <w:pPr>
        <w:spacing w:line="560" w:lineRule="exact"/>
        <w:ind w:firstLine="560" w:firstLineChars="200"/>
      </w:pPr>
      <w:r>
        <w:rPr>
          <w:rFonts w:hint="eastAsia"/>
        </w:rPr>
        <w:t>1、总目标</w:t>
      </w:r>
    </w:p>
    <w:p>
      <w:pPr>
        <w:spacing w:line="560" w:lineRule="exact"/>
        <w:ind w:firstLine="560" w:firstLineChars="200"/>
      </w:pPr>
      <w:bookmarkStart w:id="115" w:name="_Toc16561"/>
      <w:bookmarkStart w:id="116" w:name="_Toc3997"/>
      <w:bookmarkStart w:id="117" w:name="_Toc11373"/>
      <w:bookmarkStart w:id="118" w:name="_Toc23670"/>
      <w:r>
        <w:rPr>
          <w:rFonts w:hint="eastAsia"/>
        </w:rPr>
        <w:t>深入贯彻落实党的十九大精神，紧贴全市人民群众对美好生活的需求期盼，推动完善社会保障体系，推进和谐社会建设，深化收入分配制度改革，切实解决困难群众生产生活中的困难。</w:t>
      </w:r>
    </w:p>
    <w:p>
      <w:pPr>
        <w:spacing w:line="560" w:lineRule="exact"/>
        <w:ind w:firstLine="560" w:firstLineChars="200"/>
      </w:pPr>
      <w:r>
        <w:rPr>
          <w:rFonts w:hint="eastAsia"/>
        </w:rPr>
        <w:t>2、2021年年度</w:t>
      </w:r>
      <w:bookmarkEnd w:id="115"/>
      <w:bookmarkEnd w:id="116"/>
      <w:r>
        <w:rPr>
          <w:rFonts w:hint="eastAsia"/>
        </w:rPr>
        <w:t>目标</w:t>
      </w:r>
      <w:bookmarkEnd w:id="117"/>
      <w:bookmarkEnd w:id="118"/>
    </w:p>
    <w:p>
      <w:pPr>
        <w:spacing w:line="560" w:lineRule="exact"/>
        <w:ind w:firstLine="560" w:firstLineChars="200"/>
      </w:pPr>
      <w:r>
        <w:rPr>
          <w:rFonts w:hint="eastAsia"/>
        </w:rPr>
        <w:t>（1）突出就业优先，全力提升就业创业质量。</w:t>
      </w:r>
    </w:p>
    <w:p>
      <w:pPr>
        <w:spacing w:line="560" w:lineRule="exact"/>
        <w:ind w:firstLine="560" w:firstLineChars="200"/>
      </w:pPr>
      <w:bookmarkStart w:id="119" w:name="_Toc10251"/>
      <w:bookmarkStart w:id="120" w:name="_Toc10596"/>
      <w:r>
        <w:rPr>
          <w:rFonts w:hint="eastAsia"/>
        </w:rPr>
        <w:t>（2）</w:t>
      </w:r>
      <w:bookmarkEnd w:id="119"/>
      <w:r>
        <w:rPr>
          <w:rFonts w:hint="eastAsia"/>
        </w:rPr>
        <w:t>突出保障民生，持续深化社保制度改革，巩固城乡居民养老保险全覆盖、社保费征缴体制改革“两成果”。</w:t>
      </w:r>
      <w:bookmarkEnd w:id="120"/>
    </w:p>
    <w:p>
      <w:pPr>
        <w:spacing w:line="560" w:lineRule="exact"/>
        <w:ind w:firstLine="560" w:firstLineChars="200"/>
      </w:pPr>
      <w:bookmarkStart w:id="121" w:name="_Toc26668"/>
      <w:bookmarkStart w:id="122" w:name="_Toc15737"/>
      <w:r>
        <w:rPr>
          <w:rFonts w:hint="eastAsia"/>
        </w:rPr>
        <w:t>（3）</w:t>
      </w:r>
      <w:bookmarkEnd w:id="121"/>
      <w:r>
        <w:rPr>
          <w:rFonts w:hint="eastAsia"/>
        </w:rPr>
        <w:t>突出服务发展，切实加强人才队伍建设，围绕中心工作，加强专技人才队伍建设。</w:t>
      </w:r>
      <w:bookmarkEnd w:id="122"/>
    </w:p>
    <w:p>
      <w:pPr>
        <w:spacing w:line="560" w:lineRule="exact"/>
        <w:ind w:firstLine="560" w:firstLineChars="200"/>
      </w:pPr>
      <w:bookmarkStart w:id="123" w:name="_Toc14666"/>
      <w:bookmarkStart w:id="124" w:name="_Toc22127"/>
      <w:r>
        <w:rPr>
          <w:rFonts w:hint="eastAsia"/>
        </w:rPr>
        <w:t>（4）</w:t>
      </w:r>
      <w:bookmarkEnd w:id="123"/>
      <w:bookmarkStart w:id="125" w:name="_Toc27872"/>
      <w:r>
        <w:rPr>
          <w:rFonts w:hint="eastAsia"/>
        </w:rPr>
        <w:t>突出根治欠薪，着力维护劳动关系和谐。</w:t>
      </w:r>
      <w:bookmarkEnd w:id="124"/>
    </w:p>
    <w:p>
      <w:pPr>
        <w:spacing w:line="560" w:lineRule="exact"/>
        <w:ind w:firstLine="560" w:firstLineChars="200"/>
      </w:pPr>
      <w:bookmarkStart w:id="126" w:name="_Toc801"/>
      <w:r>
        <w:rPr>
          <w:rFonts w:hint="eastAsia"/>
        </w:rPr>
        <w:t>（5）</w:t>
      </w:r>
      <w:bookmarkEnd w:id="125"/>
      <w:r>
        <w:rPr>
          <w:rFonts w:hint="eastAsia"/>
        </w:rPr>
        <w:t>不断完善社会保障体系，积极构建和谐稳定劳动关系，服务和促进全市经济社会发展。</w:t>
      </w:r>
      <w:bookmarkEnd w:id="126"/>
    </w:p>
    <w:p>
      <w:pPr>
        <w:spacing w:line="560" w:lineRule="exact"/>
        <w:ind w:firstLine="560" w:firstLineChars="200"/>
      </w:pPr>
      <w:bookmarkStart w:id="127" w:name="_Toc28862"/>
      <w:bookmarkStart w:id="128" w:name="_Toc15602"/>
      <w:r>
        <w:rPr>
          <w:rFonts w:hint="eastAsia"/>
        </w:rPr>
        <w:t>（6）突出就业优先、社保惠民、人才强市三大重点，全面贯彻落实积极就业政策，深入推进人事人才建设。</w:t>
      </w:r>
      <w:bookmarkEnd w:id="127"/>
    </w:p>
    <w:p>
      <w:pPr>
        <w:spacing w:line="560" w:lineRule="exact"/>
        <w:ind w:firstLine="560" w:firstLineChars="200"/>
      </w:pPr>
      <w:bookmarkStart w:id="129" w:name="_Toc32123"/>
      <w:r>
        <w:rPr>
          <w:rFonts w:hint="eastAsia"/>
        </w:rPr>
        <w:t>（7）办理市人力资源和社会保障局交办的其他事项。</w:t>
      </w:r>
      <w:bookmarkEnd w:id="128"/>
      <w:bookmarkEnd w:id="129"/>
    </w:p>
    <w:p>
      <w:pPr>
        <w:pStyle w:val="3"/>
        <w:spacing w:before="0" w:after="0" w:line="560" w:lineRule="exact"/>
        <w:ind w:firstLine="562" w:firstLineChars="200"/>
        <w:rPr>
          <w:sz w:val="28"/>
        </w:rPr>
      </w:pPr>
      <w:bookmarkStart w:id="130" w:name="_Toc15780"/>
      <w:r>
        <w:rPr>
          <w:rFonts w:hint="eastAsia"/>
          <w:sz w:val="28"/>
        </w:rPr>
        <w:t>二、绩效评价</w:t>
      </w:r>
      <w:bookmarkEnd w:id="109"/>
      <w:bookmarkEnd w:id="110"/>
      <w:bookmarkStart w:id="131" w:name="_Toc9883_WPSOffice_Level2"/>
      <w:bookmarkStart w:id="132" w:name="_Toc664_WPSOffice_Level2"/>
      <w:bookmarkStart w:id="133" w:name="_Toc3613_WPSOffice_Level2"/>
      <w:bookmarkStart w:id="134" w:name="_Toc8672_WPSOffice_Level2"/>
      <w:bookmarkStart w:id="135" w:name="_Toc23969_WPSOffice_Level2"/>
      <w:r>
        <w:rPr>
          <w:rFonts w:hint="eastAsia"/>
          <w:sz w:val="28"/>
        </w:rPr>
        <w:t>工作开展情况</w:t>
      </w:r>
      <w:bookmarkEnd w:id="111"/>
      <w:bookmarkEnd w:id="112"/>
      <w:bookmarkEnd w:id="113"/>
      <w:bookmarkEnd w:id="114"/>
      <w:bookmarkEnd w:id="130"/>
    </w:p>
    <w:p>
      <w:pPr>
        <w:pStyle w:val="4"/>
        <w:spacing w:before="0" w:after="0" w:line="560" w:lineRule="exact"/>
        <w:ind w:firstLine="562" w:firstLineChars="200"/>
        <w:rPr>
          <w:rFonts w:ascii="仿宋" w:hAnsi="仿宋" w:eastAsia="仿宋"/>
          <w:sz w:val="28"/>
        </w:rPr>
      </w:pPr>
      <w:bookmarkStart w:id="136" w:name="_Toc4824"/>
      <w:bookmarkStart w:id="137" w:name="_Toc30921"/>
      <w:bookmarkStart w:id="138" w:name="_Toc12676"/>
      <w:bookmarkStart w:id="139" w:name="_Toc16289"/>
      <w:bookmarkStart w:id="140" w:name="_Toc1927"/>
      <w:bookmarkStart w:id="141" w:name="_Toc7984"/>
      <w:r>
        <w:rPr>
          <w:rFonts w:hint="eastAsia" w:ascii="仿宋" w:hAnsi="仿宋" w:eastAsia="仿宋"/>
          <w:sz w:val="28"/>
        </w:rPr>
        <w:t>（一）绩效评价的目的和依据</w:t>
      </w:r>
      <w:bookmarkEnd w:id="131"/>
      <w:bookmarkEnd w:id="132"/>
      <w:bookmarkEnd w:id="133"/>
      <w:bookmarkEnd w:id="134"/>
      <w:bookmarkEnd w:id="135"/>
      <w:bookmarkEnd w:id="136"/>
      <w:bookmarkEnd w:id="137"/>
      <w:bookmarkEnd w:id="138"/>
      <w:bookmarkEnd w:id="139"/>
      <w:bookmarkEnd w:id="140"/>
      <w:bookmarkEnd w:id="141"/>
    </w:p>
    <w:p>
      <w:pPr>
        <w:spacing w:line="560" w:lineRule="exact"/>
        <w:ind w:firstLine="560" w:firstLineChars="200"/>
      </w:pPr>
      <w:bookmarkStart w:id="142" w:name="_Toc25956"/>
      <w:bookmarkStart w:id="143" w:name="_Toc14754"/>
      <w:bookmarkStart w:id="144" w:name="_Toc1749"/>
      <w:bookmarkStart w:id="145" w:name="_Toc15395"/>
      <w:r>
        <w:rPr>
          <w:rFonts w:hint="eastAsia"/>
        </w:rPr>
        <w:t>1、绩效评价的目的</w:t>
      </w:r>
      <w:bookmarkEnd w:id="142"/>
      <w:bookmarkEnd w:id="143"/>
      <w:bookmarkEnd w:id="144"/>
      <w:bookmarkEnd w:id="145"/>
    </w:p>
    <w:p>
      <w:pPr>
        <w:spacing w:line="560" w:lineRule="exact"/>
        <w:ind w:firstLine="560" w:firstLineChars="200"/>
      </w:pPr>
      <w:r>
        <w:rPr>
          <w:rFonts w:hint="eastAsia"/>
        </w:rPr>
        <w:t>部门整体财政支出绩效评价旨在改善预算部门的财政支出管理，优化资源配置，提高公共服务水平。本次绩效评价是根据设定的绩效目标，运用科学、合理的绩效评价指标、评价标准和评价方法，对部门整体财政资金使用情况、财务管理状况进行检查；同时检查项目单位为加强管理所制定的相关制度、采取的措施是否得到有效执行等；评价绩效目标预定产出和效益的实现程度，总结部门工作开展过程的经验和主要做法，查找部门业务开展过程中存在的问题，对以后年度部门预算资金安排和监管提出建议。</w:t>
      </w:r>
    </w:p>
    <w:p>
      <w:pPr>
        <w:spacing w:line="560" w:lineRule="exact"/>
        <w:ind w:firstLine="560" w:firstLineChars="200"/>
      </w:pPr>
      <w:bookmarkStart w:id="146" w:name="_Toc18363"/>
      <w:bookmarkStart w:id="147" w:name="_Toc16989"/>
      <w:bookmarkStart w:id="148" w:name="_Toc1931"/>
      <w:bookmarkStart w:id="149" w:name="_Toc25305"/>
      <w:r>
        <w:rPr>
          <w:rFonts w:hint="eastAsia"/>
        </w:rPr>
        <w:t>2、绩效评价依据</w:t>
      </w:r>
      <w:bookmarkEnd w:id="146"/>
      <w:bookmarkEnd w:id="147"/>
      <w:bookmarkEnd w:id="148"/>
      <w:bookmarkEnd w:id="149"/>
    </w:p>
    <w:p>
      <w:pPr>
        <w:spacing w:line="560" w:lineRule="exact"/>
        <w:ind w:firstLine="560" w:firstLineChars="200"/>
      </w:pPr>
      <w:bookmarkStart w:id="150" w:name="_Toc19807"/>
      <w:bookmarkStart w:id="151" w:name="_Toc4125_WPSOffice_Level2"/>
      <w:bookmarkStart w:id="152" w:name="_Toc4672_WPSOffice_Level2"/>
      <w:bookmarkStart w:id="153" w:name="_Toc21066_WPSOffice_Level2"/>
      <w:bookmarkStart w:id="154" w:name="_Toc4101"/>
      <w:bookmarkStart w:id="155" w:name="_Toc61_WPSOffice_Level2"/>
      <w:bookmarkStart w:id="156" w:name="_Toc7737"/>
      <w:bookmarkStart w:id="157" w:name="_Toc30515"/>
      <w:bookmarkStart w:id="158" w:name="_Toc18487"/>
      <w:bookmarkStart w:id="159" w:name="_Toc2248_WPSOffice_Level2"/>
      <w:bookmarkStart w:id="160" w:name="_Toc19084_WPSOffice_Level2"/>
      <w:bookmarkStart w:id="161" w:name="_Toc11172_WPSOffice_Level2"/>
      <w:bookmarkStart w:id="162" w:name="_Toc341_WPSOffice_Level2"/>
      <w:bookmarkStart w:id="163" w:name="_Toc25990_WPSOffice_Level2"/>
      <w:bookmarkStart w:id="164" w:name="_Toc21223_WPSOffice_Level2"/>
      <w:bookmarkStart w:id="165" w:name="_Toc27934_WPSOffice_Level2"/>
      <w:bookmarkStart w:id="166" w:name="_Toc26397_WPSOffice_Level1"/>
      <w:bookmarkStart w:id="167" w:name="_Toc15003_WPSOffice_Level1"/>
      <w:r>
        <w:rPr>
          <w:rFonts w:hint="eastAsia"/>
        </w:rPr>
        <w:t>（1）《中华人民共和国预算法》2018年第二次修正</w:t>
      </w:r>
    </w:p>
    <w:p>
      <w:pPr>
        <w:spacing w:line="560" w:lineRule="exact"/>
        <w:ind w:firstLine="560" w:firstLineChars="200"/>
      </w:pPr>
      <w:r>
        <w:rPr>
          <w:rFonts w:hint="eastAsia"/>
        </w:rPr>
        <w:t>（2）《中共中央国务院关于全面实施预算绩效管理的意见》（中发〔2018〕34号）</w:t>
      </w:r>
    </w:p>
    <w:p>
      <w:pPr>
        <w:spacing w:line="560" w:lineRule="exact"/>
        <w:ind w:firstLine="560" w:firstLineChars="200"/>
      </w:pPr>
      <w:bookmarkStart w:id="168" w:name="_Hlk113868431"/>
      <w:r>
        <w:rPr>
          <w:rFonts w:hint="eastAsia"/>
        </w:rPr>
        <w:t>（3）财政部《项目支出绩效评价管理办法》（财预〔2020〕10号）</w:t>
      </w:r>
    </w:p>
    <w:p>
      <w:pPr>
        <w:spacing w:line="560" w:lineRule="exact"/>
        <w:ind w:firstLine="560" w:firstLineChars="200"/>
      </w:pPr>
      <w:r>
        <w:rPr>
          <w:rFonts w:hint="eastAsia"/>
        </w:rPr>
        <w:t>（4）《中共山西省委 山西省人民政府关于全面实施预算绩效管理的实施意见》（晋发〔2018〕39号）</w:t>
      </w:r>
    </w:p>
    <w:p>
      <w:pPr>
        <w:spacing w:line="560" w:lineRule="exact"/>
        <w:ind w:firstLine="560" w:firstLineChars="200"/>
      </w:pPr>
      <w:r>
        <w:rPr>
          <w:rFonts w:hint="eastAsia"/>
        </w:rPr>
        <w:t>（5）财政部关于印发《第三方机构预算绩效评价业务监督管理暂行办法》的通知（ 财监〔2021〕4号）</w:t>
      </w:r>
    </w:p>
    <w:p>
      <w:pPr>
        <w:spacing w:line="560" w:lineRule="exact"/>
        <w:ind w:firstLine="560" w:firstLineChars="200"/>
      </w:pPr>
      <w:r>
        <w:rPr>
          <w:rFonts w:hint="eastAsia"/>
        </w:rPr>
        <w:t>（6）《运城市财政局2022年预算绩效评价实施方案》（运财监〔2022〕6号）</w:t>
      </w:r>
    </w:p>
    <w:p>
      <w:pPr>
        <w:spacing w:line="560" w:lineRule="exact"/>
        <w:ind w:firstLine="560" w:firstLineChars="200"/>
      </w:pPr>
      <w:r>
        <w:rPr>
          <w:rFonts w:hint="eastAsia"/>
        </w:rPr>
        <w:t>（7）被评价单位财务及管理制度、预决算报表、财务及业务资料、单位工作承诺及总结等</w:t>
      </w:r>
    </w:p>
    <w:bookmarkEnd w:id="168"/>
    <w:p>
      <w:pPr>
        <w:spacing w:line="560" w:lineRule="exact"/>
        <w:ind w:firstLine="560" w:firstLineChars="200"/>
      </w:pPr>
      <w:bookmarkStart w:id="169" w:name="_Toc6835"/>
      <w:r>
        <w:rPr>
          <w:rFonts w:hint="eastAsia"/>
        </w:rPr>
        <w:t>（8）其他有关的法律、法规、规章及政策文件</w:t>
      </w:r>
      <w:bookmarkEnd w:id="169"/>
    </w:p>
    <w:p>
      <w:pPr>
        <w:pStyle w:val="4"/>
        <w:spacing w:before="0" w:after="0" w:line="560" w:lineRule="exact"/>
        <w:ind w:firstLine="562" w:firstLineChars="200"/>
        <w:rPr>
          <w:rFonts w:ascii="仿宋" w:hAnsi="仿宋" w:eastAsia="仿宋"/>
          <w:sz w:val="28"/>
        </w:rPr>
      </w:pPr>
      <w:bookmarkStart w:id="170" w:name="_Toc16866"/>
      <w:r>
        <w:rPr>
          <w:rFonts w:hint="eastAsia" w:ascii="仿宋" w:hAnsi="仿宋" w:eastAsia="仿宋"/>
          <w:sz w:val="28"/>
        </w:rPr>
        <w:t>（二）绩效评价的对象和范围</w:t>
      </w:r>
      <w:bookmarkEnd w:id="150"/>
      <w:bookmarkEnd w:id="151"/>
      <w:bookmarkEnd w:id="152"/>
      <w:bookmarkEnd w:id="153"/>
      <w:bookmarkEnd w:id="154"/>
      <w:bookmarkEnd w:id="155"/>
      <w:bookmarkEnd w:id="156"/>
      <w:bookmarkEnd w:id="157"/>
      <w:bookmarkEnd w:id="158"/>
      <w:bookmarkEnd w:id="159"/>
      <w:bookmarkEnd w:id="170"/>
    </w:p>
    <w:p>
      <w:pPr>
        <w:widowControl w:val="0"/>
        <w:spacing w:line="560" w:lineRule="exact"/>
        <w:ind w:firstLine="560" w:firstLineChars="200"/>
        <w:outlineLvl w:val="2"/>
      </w:pPr>
      <w:bookmarkStart w:id="171" w:name="_Toc8280"/>
      <w:bookmarkStart w:id="172" w:name="_Toc21197"/>
      <w:bookmarkStart w:id="173" w:name="_Toc9688"/>
      <w:bookmarkStart w:id="174" w:name="_Toc30136"/>
      <w:r>
        <w:rPr>
          <w:rFonts w:hint="eastAsia"/>
        </w:rPr>
        <w:t>1、绩效评价对象</w:t>
      </w:r>
      <w:bookmarkEnd w:id="171"/>
      <w:bookmarkEnd w:id="172"/>
      <w:bookmarkEnd w:id="173"/>
      <w:bookmarkEnd w:id="174"/>
    </w:p>
    <w:p>
      <w:pPr>
        <w:widowControl w:val="0"/>
        <w:spacing w:line="560" w:lineRule="exact"/>
        <w:ind w:firstLine="560" w:firstLineChars="200"/>
      </w:pPr>
      <w:r>
        <w:rPr>
          <w:rFonts w:hint="eastAsia"/>
        </w:rPr>
        <w:t>本次绩效评价对象为运城市人力资源和社会保障局2021年度部门整体支出，金额5,409.65万元，其中：基本支出1,457.89万元、项目支出3,951.76万元。</w:t>
      </w:r>
    </w:p>
    <w:p>
      <w:pPr>
        <w:widowControl w:val="0"/>
        <w:spacing w:line="560" w:lineRule="exact"/>
        <w:ind w:firstLine="560" w:firstLineChars="200"/>
        <w:outlineLvl w:val="2"/>
      </w:pPr>
      <w:bookmarkStart w:id="175" w:name="_Toc4636"/>
      <w:bookmarkStart w:id="176" w:name="_Toc23038"/>
      <w:bookmarkStart w:id="177" w:name="_Toc15423"/>
      <w:bookmarkStart w:id="178" w:name="_Toc24699"/>
      <w:r>
        <w:rPr>
          <w:rFonts w:hint="eastAsia"/>
        </w:rPr>
        <w:t>2、绩效评价范围</w:t>
      </w:r>
      <w:bookmarkEnd w:id="175"/>
      <w:bookmarkEnd w:id="176"/>
      <w:bookmarkEnd w:id="177"/>
      <w:bookmarkEnd w:id="178"/>
    </w:p>
    <w:p>
      <w:pPr>
        <w:widowControl w:val="0"/>
        <w:spacing w:line="560" w:lineRule="exact"/>
        <w:ind w:firstLine="560" w:firstLineChars="200"/>
      </w:pPr>
      <w:r>
        <w:rPr>
          <w:rFonts w:hint="eastAsia"/>
        </w:rPr>
        <w:t>在获取运城市人力资源和社会保障局整体支出目标设定、预算配置、预算执行及管理、资产管理、基本职责履行情况及效益、相关项目实施情况及后期运行情况等基本资料的基础上，通过对所收集相关资料的分析，结合相关政策文件，利用指标体系对运城市人力资源和社会保障局2021年度整体支出进行绩效评价。</w:t>
      </w:r>
    </w:p>
    <w:p>
      <w:pPr>
        <w:pStyle w:val="4"/>
        <w:spacing w:before="0" w:after="0" w:line="560" w:lineRule="exact"/>
        <w:ind w:firstLine="562" w:firstLineChars="200"/>
        <w:rPr>
          <w:rFonts w:ascii="仿宋" w:hAnsi="仿宋" w:eastAsia="仿宋"/>
          <w:sz w:val="28"/>
        </w:rPr>
      </w:pPr>
      <w:bookmarkStart w:id="179" w:name="_Toc5442_WPSOffice_Level2"/>
      <w:bookmarkStart w:id="180" w:name="_Toc769_WPSOffice_Level2"/>
      <w:bookmarkStart w:id="181" w:name="_Toc22145_WPSOffice_Level2"/>
      <w:bookmarkStart w:id="182" w:name="_Toc24701"/>
      <w:bookmarkStart w:id="183" w:name="_Toc14012_WPSOffice_Level2"/>
      <w:bookmarkStart w:id="184" w:name="_Toc24219_WPSOffice_Level2"/>
      <w:bookmarkStart w:id="185" w:name="_Toc3041_WPSOffice_Level2"/>
      <w:bookmarkStart w:id="186" w:name="_Toc25078_WPSOffice_Level2"/>
      <w:bookmarkStart w:id="187" w:name="_Toc13943"/>
      <w:bookmarkStart w:id="188" w:name="_Toc24469"/>
      <w:bookmarkStart w:id="189" w:name="_Toc205_WPSOffice_Level2"/>
      <w:bookmarkStart w:id="190" w:name="_Toc10472"/>
      <w:bookmarkStart w:id="191" w:name="_Toc29817_WPSOffice_Level2"/>
      <w:bookmarkStart w:id="192" w:name="_Toc29239"/>
      <w:bookmarkStart w:id="193" w:name="_Toc22597"/>
      <w:r>
        <w:rPr>
          <w:rFonts w:hint="eastAsia" w:ascii="仿宋" w:hAnsi="仿宋" w:eastAsia="仿宋"/>
          <w:sz w:val="28"/>
        </w:rPr>
        <w:t>（三）</w:t>
      </w:r>
      <w:bookmarkEnd w:id="160"/>
      <w:bookmarkEnd w:id="161"/>
      <w:bookmarkEnd w:id="162"/>
      <w:bookmarkEnd w:id="163"/>
      <w:bookmarkEnd w:id="164"/>
      <w:bookmarkEnd w:id="16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Start w:id="194" w:name="_Toc19943"/>
      <w:bookmarkStart w:id="195" w:name="_Toc2490"/>
      <w:bookmarkStart w:id="196" w:name="_Toc3613_WPSOffice_Level1"/>
      <w:bookmarkStart w:id="197" w:name="_Toc23547"/>
      <w:bookmarkStart w:id="198" w:name="_Toc28597"/>
      <w:bookmarkStart w:id="199" w:name="_Toc28060"/>
      <w:bookmarkStart w:id="200" w:name="_Toc664_WPSOffice_Level1"/>
      <w:bookmarkStart w:id="201" w:name="_Toc9883_WPSOffice_Level1"/>
      <w:bookmarkStart w:id="202" w:name="_Toc21165"/>
      <w:bookmarkStart w:id="203" w:name="_Toc27726"/>
      <w:r>
        <w:rPr>
          <w:rFonts w:hint="eastAsia" w:ascii="仿宋" w:hAnsi="仿宋" w:eastAsia="仿宋"/>
          <w:sz w:val="28"/>
        </w:rPr>
        <w:t>绩效评价原则</w:t>
      </w:r>
      <w:bookmarkEnd w:id="193"/>
      <w:bookmarkEnd w:id="194"/>
      <w:bookmarkEnd w:id="195"/>
    </w:p>
    <w:p>
      <w:pPr>
        <w:widowControl w:val="0"/>
        <w:spacing w:line="560" w:lineRule="exact"/>
        <w:ind w:firstLine="560" w:firstLineChars="200"/>
        <w:outlineLvl w:val="2"/>
      </w:pPr>
      <w:bookmarkStart w:id="204" w:name="_Toc22409"/>
      <w:bookmarkStart w:id="205" w:name="_Toc4043_WPSOffice_Level2"/>
      <w:bookmarkStart w:id="206" w:name="_Toc10410_WPSOffice_Level2"/>
      <w:bookmarkStart w:id="207" w:name="_Toc26534"/>
      <w:bookmarkStart w:id="208" w:name="_Toc30027_WPSOffice_Level2"/>
      <w:bookmarkStart w:id="209" w:name="_Toc23274"/>
      <w:r>
        <w:rPr>
          <w:rFonts w:hint="eastAsia"/>
        </w:rPr>
        <w:t>1、独立原则。在委托方和被评价对象提供工作便利条件和相关资料情况下独立完成委托事项。</w:t>
      </w:r>
    </w:p>
    <w:p>
      <w:pPr>
        <w:widowControl w:val="0"/>
        <w:spacing w:line="560" w:lineRule="exact"/>
        <w:ind w:firstLine="560" w:firstLineChars="200"/>
        <w:outlineLvl w:val="2"/>
      </w:pPr>
      <w:r>
        <w:rPr>
          <w:rFonts w:hint="eastAsia"/>
        </w:rPr>
        <w:t>2、客观原则。按照协议（合同）约定事项客观公正、实事求是地开展预算绩效评价，不出具不实预算绩效评价报告。</w:t>
      </w:r>
    </w:p>
    <w:p>
      <w:pPr>
        <w:widowControl w:val="0"/>
        <w:spacing w:line="560" w:lineRule="exact"/>
        <w:ind w:firstLine="560" w:firstLineChars="200"/>
        <w:outlineLvl w:val="2"/>
      </w:pPr>
      <w:r>
        <w:rPr>
          <w:rFonts w:hint="eastAsia"/>
        </w:rPr>
        <w:t xml:space="preserve">3、规范原则。履行必要评价程序，合理选取具有代表性的样本，对原始资料进行必要的核查验证，形成结论并出具预算绩效评价报告。  </w:t>
      </w:r>
    </w:p>
    <w:p>
      <w:pPr>
        <w:pStyle w:val="4"/>
        <w:spacing w:before="0" w:after="0" w:line="560" w:lineRule="exact"/>
        <w:ind w:firstLine="562" w:firstLineChars="200"/>
        <w:rPr>
          <w:rFonts w:ascii="仿宋" w:hAnsi="仿宋" w:eastAsia="仿宋"/>
          <w:sz w:val="28"/>
        </w:rPr>
      </w:pPr>
      <w:bookmarkStart w:id="210" w:name="_Toc23624"/>
      <w:r>
        <w:rPr>
          <w:rFonts w:hint="eastAsia" w:ascii="仿宋" w:hAnsi="仿宋" w:eastAsia="仿宋"/>
          <w:sz w:val="28"/>
        </w:rPr>
        <w:t>（四）绩效评价方法</w:t>
      </w:r>
      <w:bookmarkEnd w:id="204"/>
      <w:bookmarkEnd w:id="205"/>
      <w:bookmarkEnd w:id="206"/>
      <w:bookmarkEnd w:id="207"/>
      <w:bookmarkEnd w:id="208"/>
      <w:bookmarkEnd w:id="209"/>
      <w:bookmarkEnd w:id="210"/>
    </w:p>
    <w:p>
      <w:pPr>
        <w:widowControl w:val="0"/>
        <w:spacing w:line="560" w:lineRule="exact"/>
        <w:ind w:firstLine="560" w:firstLineChars="200"/>
        <w:rPr>
          <w:kern w:val="0"/>
        </w:rPr>
      </w:pPr>
      <w:r>
        <w:rPr>
          <w:rFonts w:hint="eastAsia"/>
        </w:rPr>
        <w:t>1、</w:t>
      </w:r>
      <w:r>
        <w:rPr>
          <w:rFonts w:hint="eastAsia"/>
          <w:kern w:val="0"/>
        </w:rPr>
        <w:t>比较分析法。通过对绩效目标和实施效果、历史和当期情况、不同地区同类支出的比较，综合分析绩效目标的实现程度和效果。本次评价工作通过对资金实际绩效与目标绩效之间比较，以及项目实际状况与设定评价标准的比较等，对项目绩效进行综合评价。</w:t>
      </w:r>
    </w:p>
    <w:p>
      <w:pPr>
        <w:widowControl w:val="0"/>
        <w:spacing w:line="560" w:lineRule="exact"/>
        <w:ind w:firstLine="560" w:firstLineChars="200"/>
        <w:rPr>
          <w:kern w:val="0"/>
        </w:rPr>
      </w:pPr>
      <w:r>
        <w:rPr>
          <w:rFonts w:hint="eastAsia"/>
        </w:rPr>
        <w:t>2、</w:t>
      </w:r>
      <w:r>
        <w:rPr>
          <w:rFonts w:hint="eastAsia"/>
          <w:kern w:val="0"/>
        </w:rPr>
        <w:t>因素分析法。通过综合分析影响绩效目标实现、实施效果的内外因素，评价绩效目标实现程度。</w:t>
      </w:r>
    </w:p>
    <w:p>
      <w:pPr>
        <w:widowControl w:val="0"/>
        <w:spacing w:line="560" w:lineRule="exact"/>
        <w:ind w:firstLine="560" w:firstLineChars="200"/>
        <w:rPr>
          <w:kern w:val="0"/>
        </w:rPr>
      </w:pPr>
      <w:r>
        <w:rPr>
          <w:rFonts w:hint="eastAsia"/>
        </w:rPr>
        <w:t>3、</w:t>
      </w:r>
      <w:r>
        <w:rPr>
          <w:rFonts w:hint="eastAsia"/>
          <w:kern w:val="0"/>
        </w:rPr>
        <w:t>综合指数评价法。把各项绩效指标的实际水平，对照评价标准值，分别计算各项指标评价得分，再按照设定的各项指标权数计算出综合评价得分，分析评价绩效目标实现情况的评价方法。</w:t>
      </w:r>
    </w:p>
    <w:p>
      <w:pPr>
        <w:widowControl w:val="0"/>
        <w:spacing w:line="560" w:lineRule="exact"/>
        <w:ind w:firstLine="560" w:firstLineChars="200"/>
        <w:rPr>
          <w:kern w:val="0"/>
        </w:rPr>
      </w:pPr>
      <w:r>
        <w:rPr>
          <w:rFonts w:hint="eastAsia"/>
          <w:kern w:val="0"/>
        </w:rPr>
        <w:t>4、公众评判法。是指通过公众问卷及抽样调查等对财政支出效果进行评判，评价绩效目标实现程度。</w:t>
      </w:r>
    </w:p>
    <w:bookmarkEnd w:id="166"/>
    <w:bookmarkEnd w:id="167"/>
    <w:bookmarkEnd w:id="196"/>
    <w:bookmarkEnd w:id="197"/>
    <w:bookmarkEnd w:id="198"/>
    <w:bookmarkEnd w:id="199"/>
    <w:bookmarkEnd w:id="200"/>
    <w:bookmarkEnd w:id="201"/>
    <w:bookmarkEnd w:id="202"/>
    <w:bookmarkEnd w:id="203"/>
    <w:p>
      <w:pPr>
        <w:pStyle w:val="4"/>
        <w:spacing w:before="0" w:after="0" w:line="560" w:lineRule="exact"/>
        <w:ind w:firstLine="562" w:firstLineChars="200"/>
        <w:rPr>
          <w:rFonts w:ascii="仿宋" w:hAnsi="仿宋" w:eastAsia="仿宋"/>
          <w:sz w:val="28"/>
        </w:rPr>
      </w:pPr>
      <w:bookmarkStart w:id="211" w:name="_Toc9637"/>
      <w:bookmarkStart w:id="212" w:name="_Toc28553"/>
      <w:bookmarkStart w:id="213" w:name="_Toc18821"/>
      <w:bookmarkStart w:id="214" w:name="_Toc25675_WPSOffice_Level2"/>
      <w:bookmarkStart w:id="215" w:name="_Toc19342_WPSOffice_Level2"/>
      <w:bookmarkStart w:id="216" w:name="_Toc3954"/>
      <w:bookmarkStart w:id="217" w:name="_Toc29707_WPSOffice_Level2"/>
      <w:bookmarkStart w:id="218" w:name="_Toc29424_WPSOffice_Level2"/>
      <w:bookmarkStart w:id="219" w:name="_Toc3864"/>
      <w:bookmarkStart w:id="220" w:name="_Toc7482_WPSOffice_Level2"/>
      <w:bookmarkStart w:id="221" w:name="_Toc15428_WPSOffice_Level2"/>
      <w:bookmarkStart w:id="222" w:name="_Toc23754_WPSOffice_Level2"/>
      <w:bookmarkStart w:id="223" w:name="_Toc17239_WPSOffice_Level2"/>
      <w:bookmarkStart w:id="224" w:name="_Toc25773"/>
      <w:bookmarkStart w:id="225" w:name="_Toc19793"/>
      <w:bookmarkStart w:id="226" w:name="_Toc21590_WPSOffice_Level2"/>
      <w:bookmarkStart w:id="227" w:name="_Toc22551_WPSOffice_Level2"/>
      <w:bookmarkStart w:id="228" w:name="_Toc15902"/>
      <w:bookmarkStart w:id="229" w:name="_Toc4789"/>
      <w:r>
        <w:rPr>
          <w:rFonts w:hint="eastAsia" w:ascii="仿宋" w:hAnsi="仿宋" w:eastAsia="仿宋"/>
          <w:sz w:val="28"/>
        </w:rPr>
        <w:t>（五）绩效评价的指标体系</w:t>
      </w:r>
      <w:bookmarkEnd w:id="211"/>
      <w:bookmarkStart w:id="230" w:name="_Toc514670444"/>
      <w:bookmarkStart w:id="231" w:name="_Toc28008"/>
    </w:p>
    <w:bookmarkEnd w:id="212"/>
    <w:bookmarkEnd w:id="213"/>
    <w:bookmarkEnd w:id="214"/>
    <w:bookmarkEnd w:id="215"/>
    <w:bookmarkEnd w:id="216"/>
    <w:bookmarkEnd w:id="217"/>
    <w:bookmarkEnd w:id="230"/>
    <w:bookmarkEnd w:id="231"/>
    <w:p>
      <w:pPr>
        <w:spacing w:line="560" w:lineRule="exact"/>
        <w:ind w:firstLine="560" w:firstLineChars="200"/>
      </w:pPr>
      <w:r>
        <w:rPr>
          <w:rFonts w:hint="eastAsia"/>
          <w:kern w:val="0"/>
        </w:rPr>
        <w:t>根据</w:t>
      </w:r>
      <w:r>
        <w:rPr>
          <w:rFonts w:hint="eastAsia"/>
        </w:rPr>
        <w:t>山西省财政厅发布的部门整体绩效评价指标体系，遵循相关性、重要性、可比性、系统性、经济性原则，形成了运城市人力资源和社会保障局整体工作的绩效评价指标体系。评价指标体系分为四个一级指标即履职效能、管理效率、社会效应、可持续性，对部门整体工作开展情况进行科学评价。结合部门实际情况，又细分成目标任务设定、目标任务实现情况、核心业务、基础管理、预算管理、财务管理、资产管理、其他管理、经济社会影响、社会满意、体制机制改革、干部队伍建设共12个二级指标以及目标任务设定情况、金保工程信息化建设任务完成情况、就业创业促进工作完成情况、制度执行有效性、预算执行管理、财务管理规范性、固定资产利用率、提高群众就业水平、提高社会保障水平和推进部门管理体制改革等30个三级指标，具体指标体系见下表：</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65"/>
        <w:gridCol w:w="4320"/>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809" w:type="dxa"/>
            <w:shd w:val="clear" w:color="auto" w:fill="auto"/>
            <w:vAlign w:val="center"/>
          </w:tcPr>
          <w:p>
            <w:pPr>
              <w:jc w:val="center"/>
              <w:rPr>
                <w:rFonts w:cs="宋体"/>
                <w:b/>
                <w:bCs/>
                <w:kern w:val="0"/>
                <w:sz w:val="24"/>
                <w:szCs w:val="24"/>
              </w:rPr>
            </w:pPr>
            <w:r>
              <w:rPr>
                <w:rFonts w:hint="eastAsia" w:cs="宋体"/>
                <w:b/>
                <w:bCs/>
                <w:kern w:val="0"/>
                <w:sz w:val="24"/>
                <w:szCs w:val="24"/>
              </w:rPr>
              <w:t>一级指标</w:t>
            </w:r>
          </w:p>
        </w:tc>
        <w:tc>
          <w:tcPr>
            <w:tcW w:w="1365" w:type="dxa"/>
            <w:shd w:val="clear" w:color="auto" w:fill="auto"/>
            <w:vAlign w:val="center"/>
          </w:tcPr>
          <w:p>
            <w:pPr>
              <w:jc w:val="center"/>
              <w:rPr>
                <w:rFonts w:cs="宋体"/>
                <w:b/>
                <w:bCs/>
                <w:kern w:val="0"/>
                <w:sz w:val="24"/>
                <w:szCs w:val="24"/>
              </w:rPr>
            </w:pPr>
            <w:r>
              <w:rPr>
                <w:rFonts w:hint="eastAsia" w:cs="宋体"/>
                <w:b/>
                <w:bCs/>
                <w:kern w:val="0"/>
                <w:sz w:val="24"/>
                <w:szCs w:val="24"/>
              </w:rPr>
              <w:t>二级指标</w:t>
            </w:r>
          </w:p>
        </w:tc>
        <w:tc>
          <w:tcPr>
            <w:tcW w:w="4320" w:type="dxa"/>
            <w:shd w:val="clear" w:color="auto" w:fill="auto"/>
            <w:vAlign w:val="center"/>
          </w:tcPr>
          <w:p>
            <w:pPr>
              <w:jc w:val="center"/>
              <w:rPr>
                <w:rFonts w:cs="宋体"/>
                <w:b/>
                <w:bCs/>
                <w:kern w:val="0"/>
                <w:sz w:val="24"/>
                <w:szCs w:val="24"/>
              </w:rPr>
            </w:pPr>
            <w:r>
              <w:rPr>
                <w:rFonts w:hint="eastAsia" w:cs="宋体"/>
                <w:b/>
                <w:bCs/>
                <w:kern w:val="0"/>
                <w:sz w:val="24"/>
                <w:szCs w:val="24"/>
              </w:rPr>
              <w:t>三级指标</w:t>
            </w:r>
          </w:p>
        </w:tc>
        <w:tc>
          <w:tcPr>
            <w:tcW w:w="1028" w:type="dxa"/>
            <w:shd w:val="clear" w:color="auto" w:fill="auto"/>
            <w:vAlign w:val="center"/>
          </w:tcPr>
          <w:p>
            <w:pPr>
              <w:jc w:val="center"/>
              <w:rPr>
                <w:rFonts w:cs="宋体"/>
                <w:b/>
                <w:bCs/>
                <w:kern w:val="0"/>
                <w:sz w:val="24"/>
                <w:szCs w:val="24"/>
              </w:rPr>
            </w:pPr>
            <w:r>
              <w:rPr>
                <w:rFonts w:hint="eastAsia" w:cs="宋体"/>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restart"/>
            <w:shd w:val="clear" w:color="auto" w:fill="auto"/>
            <w:vAlign w:val="center"/>
          </w:tcPr>
          <w:p>
            <w:pPr>
              <w:jc w:val="center"/>
              <w:rPr>
                <w:rFonts w:cs="宋体"/>
                <w:kern w:val="0"/>
                <w:sz w:val="24"/>
                <w:szCs w:val="24"/>
              </w:rPr>
            </w:pPr>
            <w:r>
              <w:rPr>
                <w:rFonts w:hint="eastAsia" w:cs="宋体"/>
                <w:kern w:val="0"/>
                <w:sz w:val="24"/>
                <w:szCs w:val="24"/>
              </w:rPr>
              <w:t>履职效能A（40）</w:t>
            </w:r>
          </w:p>
        </w:tc>
        <w:tc>
          <w:tcPr>
            <w:tcW w:w="1365" w:type="dxa"/>
            <w:shd w:val="clear" w:color="auto" w:fill="auto"/>
            <w:vAlign w:val="center"/>
          </w:tcPr>
          <w:p>
            <w:pPr>
              <w:jc w:val="center"/>
              <w:rPr>
                <w:rFonts w:cs="宋体"/>
                <w:kern w:val="0"/>
                <w:sz w:val="24"/>
                <w:szCs w:val="24"/>
              </w:rPr>
            </w:pPr>
            <w:r>
              <w:rPr>
                <w:rFonts w:hint="eastAsia"/>
                <w:kern w:val="0"/>
                <w:sz w:val="24"/>
                <w:szCs w:val="24"/>
              </w:rPr>
              <w:t>目标任务设定A1(3)</w:t>
            </w:r>
          </w:p>
        </w:tc>
        <w:tc>
          <w:tcPr>
            <w:tcW w:w="4320" w:type="dxa"/>
            <w:shd w:val="clear" w:color="auto" w:fill="auto"/>
            <w:vAlign w:val="center"/>
          </w:tcPr>
          <w:p>
            <w:pPr>
              <w:jc w:val="left"/>
              <w:rPr>
                <w:rFonts w:cs="宋体"/>
                <w:kern w:val="0"/>
                <w:sz w:val="24"/>
                <w:szCs w:val="24"/>
              </w:rPr>
            </w:pPr>
            <w:r>
              <w:rPr>
                <w:rFonts w:hint="eastAsia"/>
                <w:kern w:val="0"/>
                <w:sz w:val="24"/>
                <w:szCs w:val="24"/>
              </w:rPr>
              <w:t>目标任务设定情况A1-1</w:t>
            </w:r>
          </w:p>
        </w:tc>
        <w:tc>
          <w:tcPr>
            <w:tcW w:w="1028" w:type="dxa"/>
            <w:shd w:val="clear" w:color="auto" w:fill="auto"/>
            <w:vAlign w:val="center"/>
          </w:tcPr>
          <w:p>
            <w:pPr>
              <w:jc w:val="center"/>
              <w:rPr>
                <w:rFonts w:cs="宋体"/>
                <w:kern w:val="0"/>
                <w:sz w:val="24"/>
                <w:szCs w:val="24"/>
              </w:rPr>
            </w:pPr>
            <w:r>
              <w:rPr>
                <w:rFonts w:hint="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restart"/>
            <w:shd w:val="clear" w:color="auto" w:fill="auto"/>
            <w:vAlign w:val="center"/>
          </w:tcPr>
          <w:p>
            <w:pPr>
              <w:jc w:val="center"/>
              <w:rPr>
                <w:rFonts w:cs="宋体"/>
                <w:kern w:val="0"/>
                <w:sz w:val="24"/>
                <w:szCs w:val="24"/>
                <w:highlight w:val="none"/>
              </w:rPr>
            </w:pPr>
            <w:r>
              <w:rPr>
                <w:rFonts w:hint="eastAsia"/>
                <w:kern w:val="0"/>
                <w:sz w:val="24"/>
                <w:szCs w:val="24"/>
                <w:highlight w:val="none"/>
              </w:rPr>
              <w:t>目标任务实现情况A2(</w:t>
            </w:r>
            <w:r>
              <w:rPr>
                <w:rFonts w:hint="eastAsia"/>
                <w:kern w:val="0"/>
                <w:sz w:val="24"/>
                <w:szCs w:val="24"/>
                <w:highlight w:val="none"/>
                <w:lang w:val="en-US" w:eastAsia="zh-CN"/>
              </w:rPr>
              <w:t>21</w:t>
            </w:r>
            <w:r>
              <w:rPr>
                <w:rFonts w:hint="eastAsia"/>
                <w:kern w:val="0"/>
                <w:sz w:val="24"/>
                <w:szCs w:val="24"/>
                <w:highlight w:val="none"/>
              </w:rPr>
              <w:t>)</w:t>
            </w:r>
          </w:p>
        </w:tc>
        <w:tc>
          <w:tcPr>
            <w:tcW w:w="4320" w:type="dxa"/>
            <w:shd w:val="clear" w:color="auto" w:fill="auto"/>
            <w:vAlign w:val="center"/>
          </w:tcPr>
          <w:p>
            <w:pPr>
              <w:jc w:val="left"/>
              <w:rPr>
                <w:rFonts w:cs="宋体"/>
                <w:kern w:val="0"/>
                <w:sz w:val="24"/>
                <w:szCs w:val="24"/>
                <w:highlight w:val="none"/>
              </w:rPr>
            </w:pPr>
            <w:r>
              <w:rPr>
                <w:rFonts w:hint="eastAsia"/>
                <w:kern w:val="0"/>
                <w:sz w:val="24"/>
                <w:szCs w:val="24"/>
                <w:highlight w:val="none"/>
              </w:rPr>
              <w:t>金保工程信息化建设任务完成情况A2-1</w:t>
            </w:r>
          </w:p>
        </w:tc>
        <w:tc>
          <w:tcPr>
            <w:tcW w:w="1028" w:type="dxa"/>
            <w:shd w:val="clear" w:color="auto" w:fill="auto"/>
            <w:vAlign w:val="center"/>
          </w:tcPr>
          <w:p>
            <w:pPr>
              <w:jc w:val="center"/>
              <w:rPr>
                <w:rFonts w:cs="宋体"/>
                <w:kern w:val="0"/>
                <w:sz w:val="24"/>
                <w:szCs w:val="24"/>
                <w:highlight w:val="none"/>
              </w:rPr>
            </w:pPr>
            <w:r>
              <w:rPr>
                <w:rFonts w:hint="eastAsia"/>
                <w:kern w:val="0"/>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rPr>
            </w:pPr>
          </w:p>
        </w:tc>
        <w:tc>
          <w:tcPr>
            <w:tcW w:w="4320" w:type="dxa"/>
            <w:shd w:val="clear" w:color="auto" w:fill="auto"/>
            <w:vAlign w:val="center"/>
          </w:tcPr>
          <w:p>
            <w:pPr>
              <w:rPr>
                <w:kern w:val="0"/>
                <w:sz w:val="24"/>
                <w:szCs w:val="24"/>
              </w:rPr>
            </w:pPr>
            <w:r>
              <w:rPr>
                <w:rFonts w:hint="eastAsia"/>
                <w:kern w:val="0"/>
                <w:sz w:val="24"/>
                <w:szCs w:val="24"/>
              </w:rPr>
              <w:t>仲裁庭实体化建设任务完成情况A2-2</w:t>
            </w:r>
          </w:p>
        </w:tc>
        <w:tc>
          <w:tcPr>
            <w:tcW w:w="1028" w:type="dxa"/>
            <w:shd w:val="clear" w:color="auto" w:fill="auto"/>
            <w:vAlign w:val="center"/>
          </w:tcPr>
          <w:p>
            <w:pPr>
              <w:jc w:val="center"/>
              <w:rPr>
                <w:kern w:val="0"/>
                <w:sz w:val="24"/>
                <w:szCs w:val="24"/>
              </w:rPr>
            </w:pPr>
            <w:r>
              <w:rPr>
                <w:rFonts w:hint="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rPr>
            </w:pPr>
          </w:p>
        </w:tc>
        <w:tc>
          <w:tcPr>
            <w:tcW w:w="4320" w:type="dxa"/>
            <w:shd w:val="clear" w:color="auto" w:fill="auto"/>
            <w:vAlign w:val="center"/>
          </w:tcPr>
          <w:p>
            <w:pPr>
              <w:rPr>
                <w:rFonts w:cs="宋体"/>
                <w:kern w:val="0"/>
                <w:sz w:val="24"/>
                <w:szCs w:val="24"/>
              </w:rPr>
            </w:pPr>
            <w:r>
              <w:rPr>
                <w:rFonts w:hint="eastAsia"/>
                <w:kern w:val="0"/>
                <w:sz w:val="24"/>
                <w:szCs w:val="24"/>
              </w:rPr>
              <w:t>中等职业教育免学费与助学金补助工作完成情况A2-3</w:t>
            </w:r>
          </w:p>
        </w:tc>
        <w:tc>
          <w:tcPr>
            <w:tcW w:w="1028" w:type="dxa"/>
            <w:shd w:val="clear" w:color="auto" w:fill="auto"/>
            <w:vAlign w:val="center"/>
          </w:tcPr>
          <w:p>
            <w:pPr>
              <w:jc w:val="center"/>
              <w:rPr>
                <w:rFonts w:cs="宋体"/>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rPr>
            </w:pPr>
          </w:p>
        </w:tc>
        <w:tc>
          <w:tcPr>
            <w:tcW w:w="4320" w:type="dxa"/>
            <w:shd w:val="clear" w:color="auto" w:fill="auto"/>
            <w:vAlign w:val="center"/>
          </w:tcPr>
          <w:p>
            <w:pPr>
              <w:jc w:val="left"/>
              <w:rPr>
                <w:kern w:val="0"/>
                <w:sz w:val="24"/>
                <w:szCs w:val="24"/>
              </w:rPr>
            </w:pPr>
            <w:r>
              <w:rPr>
                <w:rFonts w:hint="eastAsia"/>
                <w:kern w:val="0"/>
                <w:sz w:val="24"/>
                <w:szCs w:val="24"/>
              </w:rPr>
              <w:t>职业技能培训工作完成情况A2-4</w:t>
            </w:r>
          </w:p>
        </w:tc>
        <w:tc>
          <w:tcPr>
            <w:tcW w:w="1028" w:type="dxa"/>
            <w:shd w:val="clear" w:color="auto" w:fill="auto"/>
            <w:vAlign w:val="center"/>
          </w:tcPr>
          <w:p>
            <w:pPr>
              <w:jc w:val="center"/>
              <w:rPr>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rPr>
            </w:pPr>
          </w:p>
        </w:tc>
        <w:tc>
          <w:tcPr>
            <w:tcW w:w="4320" w:type="dxa"/>
            <w:shd w:val="clear" w:color="auto" w:fill="auto"/>
            <w:vAlign w:val="center"/>
          </w:tcPr>
          <w:p>
            <w:pPr>
              <w:jc w:val="left"/>
              <w:rPr>
                <w:kern w:val="0"/>
                <w:sz w:val="24"/>
                <w:szCs w:val="24"/>
              </w:rPr>
            </w:pPr>
            <w:r>
              <w:rPr>
                <w:rFonts w:hint="eastAsia"/>
                <w:kern w:val="0"/>
                <w:sz w:val="24"/>
                <w:szCs w:val="24"/>
              </w:rPr>
              <w:t>人事人才建设工作完成情况A2-5</w:t>
            </w:r>
          </w:p>
        </w:tc>
        <w:tc>
          <w:tcPr>
            <w:tcW w:w="1028" w:type="dxa"/>
            <w:shd w:val="clear" w:color="auto" w:fill="auto"/>
            <w:vAlign w:val="center"/>
          </w:tcPr>
          <w:p>
            <w:pPr>
              <w:jc w:val="center"/>
              <w:rPr>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rPr>
            </w:pPr>
          </w:p>
        </w:tc>
        <w:tc>
          <w:tcPr>
            <w:tcW w:w="4320" w:type="dxa"/>
            <w:shd w:val="clear" w:color="auto" w:fill="auto"/>
            <w:vAlign w:val="center"/>
          </w:tcPr>
          <w:p>
            <w:pPr>
              <w:jc w:val="left"/>
              <w:rPr>
                <w:kern w:val="0"/>
                <w:sz w:val="24"/>
                <w:szCs w:val="24"/>
              </w:rPr>
            </w:pPr>
            <w:r>
              <w:rPr>
                <w:rFonts w:hint="eastAsia"/>
                <w:kern w:val="0"/>
                <w:sz w:val="24"/>
                <w:szCs w:val="24"/>
              </w:rPr>
              <w:t>劳动维权工作完成情况A2-6</w:t>
            </w:r>
          </w:p>
        </w:tc>
        <w:tc>
          <w:tcPr>
            <w:tcW w:w="1028" w:type="dxa"/>
            <w:shd w:val="clear" w:color="auto" w:fill="auto"/>
            <w:vAlign w:val="center"/>
          </w:tcPr>
          <w:p>
            <w:pPr>
              <w:jc w:val="center"/>
              <w:rPr>
                <w:kern w:val="0"/>
                <w:sz w:val="24"/>
                <w:szCs w:val="24"/>
              </w:rPr>
            </w:pPr>
            <w:r>
              <w:rPr>
                <w:rFonts w:hint="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restart"/>
            <w:shd w:val="clear" w:color="auto" w:fill="auto"/>
            <w:vAlign w:val="center"/>
          </w:tcPr>
          <w:p>
            <w:pPr>
              <w:jc w:val="center"/>
              <w:rPr>
                <w:rFonts w:cs="宋体"/>
                <w:kern w:val="0"/>
                <w:sz w:val="24"/>
                <w:szCs w:val="24"/>
                <w:highlight w:val="none"/>
              </w:rPr>
            </w:pPr>
            <w:r>
              <w:rPr>
                <w:rFonts w:hint="eastAsia"/>
                <w:kern w:val="0"/>
                <w:sz w:val="24"/>
                <w:szCs w:val="24"/>
                <w:highlight w:val="none"/>
              </w:rPr>
              <w:t>核心业务A3(</w:t>
            </w:r>
            <w:r>
              <w:rPr>
                <w:rFonts w:hint="eastAsia"/>
                <w:kern w:val="0"/>
                <w:sz w:val="24"/>
                <w:szCs w:val="24"/>
                <w:highlight w:val="none"/>
                <w:lang w:val="en-US" w:eastAsia="zh-CN"/>
              </w:rPr>
              <w:t>8</w:t>
            </w:r>
            <w:r>
              <w:rPr>
                <w:rFonts w:hint="eastAsia"/>
                <w:kern w:val="0"/>
                <w:sz w:val="24"/>
                <w:szCs w:val="24"/>
                <w:highlight w:val="none"/>
              </w:rPr>
              <w:t>)</w:t>
            </w:r>
          </w:p>
        </w:tc>
        <w:tc>
          <w:tcPr>
            <w:tcW w:w="4320" w:type="dxa"/>
            <w:shd w:val="clear" w:color="auto" w:fill="auto"/>
            <w:vAlign w:val="center"/>
          </w:tcPr>
          <w:p>
            <w:pPr>
              <w:jc w:val="left"/>
              <w:rPr>
                <w:rFonts w:cs="宋体"/>
                <w:kern w:val="0"/>
                <w:sz w:val="24"/>
                <w:szCs w:val="24"/>
                <w:highlight w:val="none"/>
              </w:rPr>
            </w:pPr>
            <w:r>
              <w:rPr>
                <w:rFonts w:hint="eastAsia"/>
                <w:kern w:val="0"/>
                <w:sz w:val="24"/>
                <w:szCs w:val="24"/>
                <w:highlight w:val="none"/>
              </w:rPr>
              <w:t>就业创业促进工作完成情况A3-1</w:t>
            </w:r>
          </w:p>
        </w:tc>
        <w:tc>
          <w:tcPr>
            <w:tcW w:w="1028" w:type="dxa"/>
            <w:shd w:val="clear" w:color="auto" w:fill="auto"/>
            <w:vAlign w:val="center"/>
          </w:tcPr>
          <w:p>
            <w:pPr>
              <w:jc w:val="center"/>
              <w:rPr>
                <w:rFonts w:cs="宋体"/>
                <w:kern w:val="0"/>
                <w:sz w:val="24"/>
                <w:szCs w:val="24"/>
                <w:highlight w:val="none"/>
              </w:rPr>
            </w:pPr>
            <w:r>
              <w:rPr>
                <w:rFonts w:hint="eastAsia"/>
                <w:kern w:val="0"/>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rPr>
            </w:pPr>
          </w:p>
        </w:tc>
        <w:tc>
          <w:tcPr>
            <w:tcW w:w="4320" w:type="dxa"/>
            <w:shd w:val="clear" w:color="auto" w:fill="auto"/>
            <w:vAlign w:val="center"/>
          </w:tcPr>
          <w:p>
            <w:pPr>
              <w:jc w:val="left"/>
              <w:rPr>
                <w:rFonts w:cs="宋体"/>
                <w:kern w:val="0"/>
                <w:sz w:val="24"/>
                <w:szCs w:val="24"/>
              </w:rPr>
            </w:pPr>
            <w:r>
              <w:rPr>
                <w:rFonts w:hint="eastAsia"/>
                <w:kern w:val="0"/>
                <w:sz w:val="24"/>
                <w:szCs w:val="24"/>
              </w:rPr>
              <w:t>社会保险推进工作完成情况A3-2</w:t>
            </w:r>
          </w:p>
        </w:tc>
        <w:tc>
          <w:tcPr>
            <w:tcW w:w="1028" w:type="dxa"/>
            <w:shd w:val="clear" w:color="auto" w:fill="auto"/>
            <w:vAlign w:val="center"/>
          </w:tcPr>
          <w:p>
            <w:pPr>
              <w:jc w:val="center"/>
              <w:rPr>
                <w:rFonts w:cs="宋体"/>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shd w:val="clear" w:color="auto" w:fill="auto"/>
            <w:vAlign w:val="center"/>
          </w:tcPr>
          <w:p>
            <w:pPr>
              <w:jc w:val="center"/>
              <w:rPr>
                <w:rFonts w:cs="宋体"/>
                <w:kern w:val="0"/>
                <w:sz w:val="24"/>
                <w:szCs w:val="24"/>
              </w:rPr>
            </w:pPr>
          </w:p>
        </w:tc>
        <w:tc>
          <w:tcPr>
            <w:tcW w:w="1365" w:type="dxa"/>
            <w:vMerge w:val="restart"/>
            <w:shd w:val="clear" w:color="auto" w:fill="auto"/>
            <w:vAlign w:val="center"/>
          </w:tcPr>
          <w:p>
            <w:pPr>
              <w:jc w:val="center"/>
              <w:rPr>
                <w:rFonts w:cs="宋体"/>
                <w:kern w:val="0"/>
                <w:sz w:val="24"/>
                <w:szCs w:val="24"/>
                <w:highlight w:val="none"/>
              </w:rPr>
            </w:pPr>
            <w:r>
              <w:rPr>
                <w:rFonts w:hint="eastAsia"/>
                <w:kern w:val="0"/>
                <w:sz w:val="24"/>
                <w:szCs w:val="24"/>
                <w:highlight w:val="none"/>
              </w:rPr>
              <w:t>基础管理A4(</w:t>
            </w:r>
            <w:r>
              <w:rPr>
                <w:rFonts w:hint="eastAsia"/>
                <w:kern w:val="0"/>
                <w:sz w:val="24"/>
                <w:szCs w:val="24"/>
                <w:highlight w:val="none"/>
                <w:lang w:val="en-US" w:eastAsia="zh-CN"/>
              </w:rPr>
              <w:t>8</w:t>
            </w:r>
            <w:r>
              <w:rPr>
                <w:rFonts w:hint="eastAsia"/>
                <w:kern w:val="0"/>
                <w:sz w:val="24"/>
                <w:szCs w:val="24"/>
                <w:highlight w:val="none"/>
              </w:rPr>
              <w:t>)</w:t>
            </w:r>
          </w:p>
        </w:tc>
        <w:tc>
          <w:tcPr>
            <w:tcW w:w="4320" w:type="dxa"/>
            <w:shd w:val="clear" w:color="auto" w:fill="auto"/>
            <w:vAlign w:val="center"/>
          </w:tcPr>
          <w:p>
            <w:pPr>
              <w:jc w:val="left"/>
              <w:rPr>
                <w:rFonts w:cs="宋体"/>
                <w:kern w:val="0"/>
                <w:sz w:val="24"/>
                <w:szCs w:val="24"/>
                <w:highlight w:val="none"/>
              </w:rPr>
            </w:pPr>
            <w:r>
              <w:rPr>
                <w:rFonts w:hint="eastAsia"/>
                <w:kern w:val="0"/>
                <w:sz w:val="24"/>
                <w:szCs w:val="24"/>
                <w:highlight w:val="none"/>
              </w:rPr>
              <w:t>依法行政A4-1</w:t>
            </w:r>
          </w:p>
        </w:tc>
        <w:tc>
          <w:tcPr>
            <w:tcW w:w="1028" w:type="dxa"/>
            <w:shd w:val="clear" w:color="auto" w:fill="auto"/>
            <w:vAlign w:val="center"/>
          </w:tcPr>
          <w:p>
            <w:pPr>
              <w:jc w:val="center"/>
              <w:rPr>
                <w:rFonts w:cs="宋体"/>
                <w:kern w:val="0"/>
                <w:sz w:val="24"/>
                <w:szCs w:val="24"/>
                <w:highlight w:val="none"/>
              </w:rPr>
            </w:pPr>
            <w:r>
              <w:rPr>
                <w:rFonts w:hint="eastAsia"/>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shd w:val="clear" w:color="auto" w:fill="auto"/>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rPr>
            </w:pPr>
          </w:p>
        </w:tc>
        <w:tc>
          <w:tcPr>
            <w:tcW w:w="4320" w:type="dxa"/>
            <w:shd w:val="clear" w:color="auto" w:fill="auto"/>
            <w:vAlign w:val="center"/>
          </w:tcPr>
          <w:p>
            <w:pPr>
              <w:jc w:val="left"/>
              <w:rPr>
                <w:rFonts w:cs="宋体"/>
                <w:kern w:val="0"/>
                <w:sz w:val="24"/>
                <w:szCs w:val="24"/>
              </w:rPr>
            </w:pPr>
            <w:r>
              <w:rPr>
                <w:rFonts w:hint="eastAsia"/>
                <w:kern w:val="0"/>
                <w:sz w:val="24"/>
                <w:szCs w:val="24"/>
              </w:rPr>
              <w:t>管理制度健全性A4-2</w:t>
            </w:r>
          </w:p>
        </w:tc>
        <w:tc>
          <w:tcPr>
            <w:tcW w:w="1028" w:type="dxa"/>
            <w:shd w:val="clear" w:color="auto" w:fill="auto"/>
            <w:vAlign w:val="center"/>
          </w:tcPr>
          <w:p>
            <w:pPr>
              <w:jc w:val="center"/>
              <w:rPr>
                <w:rFonts w:cs="宋体"/>
                <w:kern w:val="0"/>
                <w:sz w:val="24"/>
                <w:szCs w:val="24"/>
              </w:rPr>
            </w:pPr>
            <w:r>
              <w:rPr>
                <w:rFonts w:hint="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shd w:val="clear" w:color="auto" w:fill="auto"/>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rPr>
            </w:pPr>
          </w:p>
        </w:tc>
        <w:tc>
          <w:tcPr>
            <w:tcW w:w="4320" w:type="dxa"/>
            <w:shd w:val="clear" w:color="auto" w:fill="auto"/>
            <w:vAlign w:val="center"/>
          </w:tcPr>
          <w:p>
            <w:pPr>
              <w:jc w:val="left"/>
              <w:rPr>
                <w:rFonts w:cs="宋体"/>
                <w:kern w:val="0"/>
                <w:sz w:val="24"/>
                <w:szCs w:val="24"/>
              </w:rPr>
            </w:pPr>
            <w:r>
              <w:rPr>
                <w:rFonts w:hint="eastAsia"/>
                <w:kern w:val="0"/>
                <w:sz w:val="24"/>
                <w:szCs w:val="24"/>
              </w:rPr>
              <w:t>制度执行有效性A4-3</w:t>
            </w:r>
          </w:p>
        </w:tc>
        <w:tc>
          <w:tcPr>
            <w:tcW w:w="1028" w:type="dxa"/>
            <w:shd w:val="clear" w:color="auto" w:fill="auto"/>
            <w:vAlign w:val="center"/>
          </w:tcPr>
          <w:p>
            <w:pPr>
              <w:jc w:val="center"/>
              <w:rPr>
                <w:rFonts w:cs="宋体"/>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restart"/>
            <w:shd w:val="clear" w:color="auto" w:fill="auto"/>
            <w:vAlign w:val="center"/>
          </w:tcPr>
          <w:p>
            <w:pPr>
              <w:jc w:val="center"/>
              <w:rPr>
                <w:rFonts w:cs="宋体"/>
                <w:kern w:val="0"/>
                <w:sz w:val="24"/>
                <w:szCs w:val="24"/>
              </w:rPr>
            </w:pPr>
            <w:r>
              <w:rPr>
                <w:rFonts w:hint="eastAsia" w:cs="宋体"/>
                <w:kern w:val="0"/>
                <w:sz w:val="24"/>
                <w:szCs w:val="24"/>
              </w:rPr>
              <w:t>管理效率B（30）</w:t>
            </w:r>
          </w:p>
        </w:tc>
        <w:tc>
          <w:tcPr>
            <w:tcW w:w="1365" w:type="dxa"/>
            <w:vMerge w:val="restart"/>
            <w:shd w:val="clear" w:color="auto" w:fill="auto"/>
            <w:vAlign w:val="center"/>
          </w:tcPr>
          <w:p>
            <w:pPr>
              <w:jc w:val="center"/>
              <w:rPr>
                <w:rFonts w:cs="宋体"/>
                <w:kern w:val="0"/>
                <w:sz w:val="24"/>
                <w:szCs w:val="24"/>
                <w:highlight w:val="none"/>
              </w:rPr>
            </w:pPr>
            <w:r>
              <w:rPr>
                <w:rFonts w:hint="eastAsia"/>
                <w:kern w:val="0"/>
                <w:sz w:val="24"/>
                <w:szCs w:val="24"/>
                <w:highlight w:val="none"/>
              </w:rPr>
              <w:t>预算管理B1(</w:t>
            </w:r>
            <w:r>
              <w:rPr>
                <w:rFonts w:hint="eastAsia"/>
                <w:kern w:val="0"/>
                <w:sz w:val="24"/>
                <w:szCs w:val="24"/>
                <w:highlight w:val="none"/>
                <w:lang w:val="en-US" w:eastAsia="zh-CN"/>
              </w:rPr>
              <w:t>18</w:t>
            </w:r>
            <w:r>
              <w:rPr>
                <w:rFonts w:hint="eastAsia"/>
                <w:kern w:val="0"/>
                <w:sz w:val="24"/>
                <w:szCs w:val="24"/>
                <w:highlight w:val="none"/>
              </w:rPr>
              <w:t>)</w:t>
            </w:r>
          </w:p>
        </w:tc>
        <w:tc>
          <w:tcPr>
            <w:tcW w:w="4320" w:type="dxa"/>
            <w:shd w:val="clear" w:color="auto" w:fill="auto"/>
            <w:vAlign w:val="center"/>
          </w:tcPr>
          <w:p>
            <w:pPr>
              <w:jc w:val="left"/>
              <w:rPr>
                <w:rFonts w:cs="宋体"/>
                <w:kern w:val="0"/>
                <w:sz w:val="24"/>
                <w:szCs w:val="24"/>
                <w:highlight w:val="none"/>
              </w:rPr>
            </w:pPr>
            <w:r>
              <w:rPr>
                <w:rFonts w:hint="eastAsia"/>
                <w:kern w:val="0"/>
                <w:sz w:val="24"/>
                <w:szCs w:val="24"/>
                <w:highlight w:val="none"/>
              </w:rPr>
              <w:t>预算编制管理B1-1</w:t>
            </w:r>
          </w:p>
        </w:tc>
        <w:tc>
          <w:tcPr>
            <w:tcW w:w="1028" w:type="dxa"/>
            <w:shd w:val="clear" w:color="auto" w:fill="auto"/>
            <w:vAlign w:val="center"/>
          </w:tcPr>
          <w:p>
            <w:pPr>
              <w:jc w:val="center"/>
              <w:rPr>
                <w:rFonts w:cs="宋体"/>
                <w:kern w:val="0"/>
                <w:sz w:val="24"/>
                <w:szCs w:val="24"/>
                <w:highlight w:val="none"/>
              </w:rPr>
            </w:pPr>
            <w:r>
              <w:rPr>
                <w:rFonts w:hint="eastAsia"/>
                <w:kern w:val="0"/>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vAlign w:val="center"/>
          </w:tcPr>
          <w:p>
            <w:pPr>
              <w:jc w:val="center"/>
              <w:rPr>
                <w:rFonts w:cs="宋体"/>
                <w:kern w:val="0"/>
                <w:sz w:val="24"/>
                <w:szCs w:val="24"/>
                <w:highlight w:val="none"/>
              </w:rPr>
            </w:pPr>
          </w:p>
        </w:tc>
        <w:tc>
          <w:tcPr>
            <w:tcW w:w="4320" w:type="dxa"/>
            <w:shd w:val="clear" w:color="auto" w:fill="auto"/>
            <w:vAlign w:val="center"/>
          </w:tcPr>
          <w:p>
            <w:pPr>
              <w:jc w:val="left"/>
              <w:rPr>
                <w:rFonts w:cs="宋体"/>
                <w:kern w:val="0"/>
                <w:sz w:val="24"/>
                <w:szCs w:val="24"/>
                <w:highlight w:val="none"/>
              </w:rPr>
            </w:pPr>
            <w:r>
              <w:rPr>
                <w:rFonts w:hint="eastAsia"/>
                <w:kern w:val="0"/>
                <w:sz w:val="24"/>
                <w:szCs w:val="24"/>
                <w:highlight w:val="none"/>
              </w:rPr>
              <w:t>预算执行管理B1-2</w:t>
            </w:r>
          </w:p>
        </w:tc>
        <w:tc>
          <w:tcPr>
            <w:tcW w:w="1028" w:type="dxa"/>
            <w:shd w:val="clear" w:color="auto" w:fill="auto"/>
            <w:vAlign w:val="center"/>
          </w:tcPr>
          <w:p>
            <w:pPr>
              <w:jc w:val="center"/>
              <w:rPr>
                <w:rFonts w:hint="eastAsia" w:eastAsia="仿宋" w:cs="宋体"/>
                <w:kern w:val="0"/>
                <w:sz w:val="24"/>
                <w:szCs w:val="24"/>
                <w:highlight w:val="none"/>
                <w:lang w:eastAsia="zh-CN"/>
              </w:rPr>
            </w:pPr>
            <w:r>
              <w:rPr>
                <w:rFonts w:hint="eastAsia"/>
                <w:kern w:val="0"/>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vAlign w:val="center"/>
          </w:tcPr>
          <w:p>
            <w:pPr>
              <w:jc w:val="center"/>
              <w:rPr>
                <w:rFonts w:cs="宋体"/>
                <w:kern w:val="0"/>
                <w:sz w:val="24"/>
                <w:szCs w:val="24"/>
                <w:highlight w:val="none"/>
              </w:rPr>
            </w:pPr>
          </w:p>
        </w:tc>
        <w:tc>
          <w:tcPr>
            <w:tcW w:w="4320" w:type="dxa"/>
            <w:shd w:val="clear" w:color="auto" w:fill="auto"/>
            <w:vAlign w:val="center"/>
          </w:tcPr>
          <w:p>
            <w:pPr>
              <w:jc w:val="left"/>
              <w:rPr>
                <w:rFonts w:cs="宋体"/>
                <w:kern w:val="0"/>
                <w:sz w:val="24"/>
                <w:szCs w:val="24"/>
                <w:highlight w:val="none"/>
              </w:rPr>
            </w:pPr>
            <w:r>
              <w:rPr>
                <w:rFonts w:hint="eastAsia"/>
                <w:kern w:val="0"/>
                <w:sz w:val="24"/>
                <w:szCs w:val="24"/>
                <w:highlight w:val="none"/>
              </w:rPr>
              <w:t>预算监督管理B1-3</w:t>
            </w:r>
          </w:p>
        </w:tc>
        <w:tc>
          <w:tcPr>
            <w:tcW w:w="1028" w:type="dxa"/>
            <w:shd w:val="clear" w:color="auto" w:fill="auto"/>
            <w:vAlign w:val="center"/>
          </w:tcPr>
          <w:p>
            <w:pPr>
              <w:jc w:val="center"/>
              <w:rPr>
                <w:rFonts w:cs="宋体"/>
                <w:kern w:val="0"/>
                <w:sz w:val="24"/>
                <w:szCs w:val="24"/>
                <w:highlight w:val="none"/>
              </w:rPr>
            </w:pPr>
            <w:r>
              <w:rPr>
                <w:rFonts w:hint="eastAsia"/>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vAlign w:val="center"/>
          </w:tcPr>
          <w:p>
            <w:pPr>
              <w:jc w:val="center"/>
              <w:rPr>
                <w:rFonts w:cs="宋体"/>
                <w:kern w:val="0"/>
                <w:sz w:val="24"/>
                <w:szCs w:val="24"/>
                <w:highlight w:val="none"/>
              </w:rPr>
            </w:pPr>
          </w:p>
        </w:tc>
        <w:tc>
          <w:tcPr>
            <w:tcW w:w="4320" w:type="dxa"/>
            <w:shd w:val="clear" w:color="auto" w:fill="auto"/>
            <w:vAlign w:val="center"/>
          </w:tcPr>
          <w:p>
            <w:pPr>
              <w:jc w:val="left"/>
              <w:rPr>
                <w:rFonts w:cs="宋体"/>
                <w:kern w:val="0"/>
                <w:sz w:val="24"/>
                <w:szCs w:val="24"/>
                <w:highlight w:val="none"/>
              </w:rPr>
            </w:pPr>
            <w:r>
              <w:rPr>
                <w:rFonts w:hint="eastAsia"/>
                <w:kern w:val="0"/>
                <w:sz w:val="24"/>
                <w:szCs w:val="24"/>
                <w:highlight w:val="none"/>
              </w:rPr>
              <w:t>预算绩效管理B1-4</w:t>
            </w:r>
          </w:p>
        </w:tc>
        <w:tc>
          <w:tcPr>
            <w:tcW w:w="1028" w:type="dxa"/>
            <w:shd w:val="clear" w:color="auto" w:fill="auto"/>
            <w:vAlign w:val="center"/>
          </w:tcPr>
          <w:p>
            <w:pPr>
              <w:jc w:val="center"/>
              <w:rPr>
                <w:rFonts w:hint="eastAsia" w:eastAsia="仿宋" w:cs="宋体"/>
                <w:kern w:val="0"/>
                <w:sz w:val="24"/>
                <w:szCs w:val="24"/>
                <w:highlight w:val="none"/>
                <w:lang w:eastAsia="zh-CN"/>
              </w:rPr>
            </w:pPr>
            <w:r>
              <w:rPr>
                <w:rFonts w:hint="eastAsia"/>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restart"/>
            <w:shd w:val="clear" w:color="auto" w:fill="auto"/>
            <w:vAlign w:val="center"/>
          </w:tcPr>
          <w:p>
            <w:pPr>
              <w:jc w:val="center"/>
              <w:rPr>
                <w:rFonts w:cs="宋体"/>
                <w:kern w:val="0"/>
                <w:sz w:val="24"/>
                <w:szCs w:val="24"/>
                <w:highlight w:val="none"/>
              </w:rPr>
            </w:pPr>
            <w:r>
              <w:rPr>
                <w:rFonts w:hint="eastAsia"/>
                <w:kern w:val="0"/>
                <w:sz w:val="24"/>
                <w:szCs w:val="24"/>
                <w:highlight w:val="none"/>
              </w:rPr>
              <w:t>财务管理B2(</w:t>
            </w:r>
            <w:r>
              <w:rPr>
                <w:rFonts w:hint="eastAsia"/>
                <w:kern w:val="0"/>
                <w:sz w:val="24"/>
                <w:szCs w:val="24"/>
                <w:highlight w:val="none"/>
                <w:lang w:val="en-US" w:eastAsia="zh-CN"/>
              </w:rPr>
              <w:t>5</w:t>
            </w:r>
            <w:r>
              <w:rPr>
                <w:rFonts w:hint="eastAsia"/>
                <w:kern w:val="0"/>
                <w:sz w:val="24"/>
                <w:szCs w:val="24"/>
                <w:highlight w:val="none"/>
              </w:rPr>
              <w:t>)</w:t>
            </w:r>
          </w:p>
        </w:tc>
        <w:tc>
          <w:tcPr>
            <w:tcW w:w="4320" w:type="dxa"/>
            <w:shd w:val="clear" w:color="auto" w:fill="auto"/>
            <w:vAlign w:val="center"/>
          </w:tcPr>
          <w:p>
            <w:pPr>
              <w:jc w:val="left"/>
              <w:rPr>
                <w:rFonts w:cs="宋体"/>
                <w:kern w:val="0"/>
                <w:sz w:val="24"/>
                <w:szCs w:val="24"/>
                <w:highlight w:val="none"/>
              </w:rPr>
            </w:pPr>
            <w:r>
              <w:rPr>
                <w:rFonts w:hint="eastAsia"/>
                <w:kern w:val="0"/>
                <w:sz w:val="24"/>
                <w:szCs w:val="24"/>
                <w:highlight w:val="none"/>
              </w:rPr>
              <w:t>财务管理规范性B2-1</w:t>
            </w:r>
          </w:p>
        </w:tc>
        <w:tc>
          <w:tcPr>
            <w:tcW w:w="1028" w:type="dxa"/>
            <w:shd w:val="clear" w:color="auto" w:fill="auto"/>
            <w:vAlign w:val="center"/>
          </w:tcPr>
          <w:p>
            <w:pPr>
              <w:jc w:val="center"/>
              <w:rPr>
                <w:rFonts w:cs="宋体"/>
                <w:kern w:val="0"/>
                <w:sz w:val="24"/>
                <w:szCs w:val="24"/>
                <w:highlight w:val="none"/>
              </w:rPr>
            </w:pPr>
            <w:r>
              <w:rPr>
                <w:rFonts w:hint="eastAsia"/>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highlight w:val="none"/>
              </w:rPr>
            </w:pPr>
          </w:p>
        </w:tc>
        <w:tc>
          <w:tcPr>
            <w:tcW w:w="4320" w:type="dxa"/>
            <w:shd w:val="clear" w:color="auto" w:fill="auto"/>
            <w:vAlign w:val="center"/>
          </w:tcPr>
          <w:p>
            <w:pPr>
              <w:jc w:val="left"/>
              <w:rPr>
                <w:rFonts w:cs="宋体"/>
                <w:kern w:val="0"/>
                <w:sz w:val="24"/>
                <w:szCs w:val="24"/>
                <w:highlight w:val="none"/>
              </w:rPr>
            </w:pPr>
            <w:r>
              <w:rPr>
                <w:rFonts w:hint="eastAsia"/>
                <w:kern w:val="0"/>
                <w:sz w:val="24"/>
                <w:szCs w:val="24"/>
                <w:highlight w:val="none"/>
              </w:rPr>
              <w:t>财务管理有效性B2-2</w:t>
            </w:r>
          </w:p>
        </w:tc>
        <w:tc>
          <w:tcPr>
            <w:tcW w:w="1028" w:type="dxa"/>
            <w:shd w:val="clear" w:color="auto" w:fill="auto"/>
            <w:vAlign w:val="center"/>
          </w:tcPr>
          <w:p>
            <w:pPr>
              <w:jc w:val="center"/>
              <w:rPr>
                <w:rFonts w:hint="eastAsia" w:eastAsia="仿宋" w:cs="宋体"/>
                <w:kern w:val="0"/>
                <w:sz w:val="24"/>
                <w:szCs w:val="24"/>
                <w:highlight w:val="none"/>
                <w:lang w:eastAsia="zh-CN"/>
              </w:rPr>
            </w:pPr>
            <w:r>
              <w:rPr>
                <w:rFonts w:hint="eastAsia"/>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restart"/>
            <w:shd w:val="clear" w:color="auto" w:fill="auto"/>
            <w:vAlign w:val="center"/>
          </w:tcPr>
          <w:p>
            <w:pPr>
              <w:jc w:val="center"/>
              <w:rPr>
                <w:rFonts w:cs="宋体"/>
                <w:kern w:val="0"/>
                <w:sz w:val="24"/>
                <w:szCs w:val="24"/>
              </w:rPr>
            </w:pPr>
            <w:r>
              <w:rPr>
                <w:rFonts w:hint="eastAsia"/>
                <w:kern w:val="0"/>
                <w:sz w:val="24"/>
                <w:szCs w:val="24"/>
              </w:rPr>
              <w:t>资产管理B3(</w:t>
            </w:r>
            <w:r>
              <w:rPr>
                <w:rFonts w:hint="eastAsia"/>
                <w:kern w:val="0"/>
                <w:sz w:val="24"/>
                <w:szCs w:val="24"/>
                <w:lang w:val="en-US" w:eastAsia="zh-CN"/>
              </w:rPr>
              <w:t>5</w:t>
            </w:r>
            <w:r>
              <w:rPr>
                <w:rFonts w:hint="eastAsia"/>
                <w:kern w:val="0"/>
                <w:sz w:val="24"/>
                <w:szCs w:val="24"/>
              </w:rPr>
              <w:t>)</w:t>
            </w:r>
          </w:p>
        </w:tc>
        <w:tc>
          <w:tcPr>
            <w:tcW w:w="4320" w:type="dxa"/>
            <w:shd w:val="clear" w:color="auto" w:fill="auto"/>
            <w:vAlign w:val="center"/>
          </w:tcPr>
          <w:p>
            <w:pPr>
              <w:jc w:val="left"/>
              <w:rPr>
                <w:rFonts w:cs="宋体"/>
                <w:kern w:val="0"/>
                <w:sz w:val="24"/>
                <w:szCs w:val="24"/>
              </w:rPr>
            </w:pPr>
            <w:r>
              <w:rPr>
                <w:rFonts w:hint="eastAsia"/>
                <w:kern w:val="0"/>
                <w:sz w:val="24"/>
                <w:szCs w:val="24"/>
              </w:rPr>
              <w:t>资产管理规范性B3-1</w:t>
            </w:r>
          </w:p>
        </w:tc>
        <w:tc>
          <w:tcPr>
            <w:tcW w:w="1028" w:type="dxa"/>
            <w:shd w:val="clear" w:color="auto" w:fill="auto"/>
            <w:vAlign w:val="center"/>
          </w:tcPr>
          <w:p>
            <w:pPr>
              <w:jc w:val="center"/>
              <w:rPr>
                <w:rFonts w:cs="宋体"/>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shd w:val="clear" w:color="auto" w:fill="auto"/>
            <w:vAlign w:val="center"/>
          </w:tcPr>
          <w:p>
            <w:pPr>
              <w:jc w:val="center"/>
              <w:rPr>
                <w:rFonts w:cs="宋体"/>
                <w:kern w:val="0"/>
                <w:sz w:val="24"/>
                <w:szCs w:val="24"/>
              </w:rPr>
            </w:pPr>
          </w:p>
        </w:tc>
        <w:tc>
          <w:tcPr>
            <w:tcW w:w="4320" w:type="dxa"/>
            <w:shd w:val="clear" w:color="auto" w:fill="auto"/>
            <w:vAlign w:val="center"/>
          </w:tcPr>
          <w:p>
            <w:pPr>
              <w:jc w:val="left"/>
              <w:rPr>
                <w:rFonts w:cs="宋体"/>
                <w:kern w:val="0"/>
                <w:sz w:val="24"/>
                <w:szCs w:val="24"/>
              </w:rPr>
            </w:pPr>
            <w:r>
              <w:rPr>
                <w:rFonts w:hint="eastAsia"/>
                <w:kern w:val="0"/>
                <w:sz w:val="24"/>
                <w:szCs w:val="24"/>
              </w:rPr>
              <w:t>固定资产利用率B3-2</w:t>
            </w:r>
          </w:p>
        </w:tc>
        <w:tc>
          <w:tcPr>
            <w:tcW w:w="1028" w:type="dxa"/>
            <w:shd w:val="clear" w:color="auto" w:fill="auto"/>
            <w:vAlign w:val="center"/>
          </w:tcPr>
          <w:p>
            <w:pPr>
              <w:jc w:val="center"/>
              <w:rPr>
                <w:rFonts w:hint="eastAsia" w:eastAsia="仿宋" w:cs="宋体"/>
                <w:kern w:val="0"/>
                <w:sz w:val="24"/>
                <w:szCs w:val="24"/>
                <w:lang w:eastAsia="zh-CN"/>
              </w:rPr>
            </w:pPr>
            <w:r>
              <w:rPr>
                <w:rFonts w:hint="eastAsia"/>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restart"/>
            <w:shd w:val="clear" w:color="auto" w:fill="auto"/>
            <w:vAlign w:val="center"/>
          </w:tcPr>
          <w:p>
            <w:pPr>
              <w:jc w:val="center"/>
              <w:rPr>
                <w:rFonts w:cs="宋体"/>
                <w:kern w:val="0"/>
                <w:sz w:val="24"/>
                <w:szCs w:val="24"/>
              </w:rPr>
            </w:pPr>
            <w:r>
              <w:rPr>
                <w:rFonts w:hint="eastAsia"/>
                <w:kern w:val="0"/>
                <w:sz w:val="24"/>
                <w:szCs w:val="24"/>
              </w:rPr>
              <w:t>资产管理B4(</w:t>
            </w:r>
            <w:r>
              <w:rPr>
                <w:rFonts w:hint="eastAsia"/>
                <w:kern w:val="0"/>
                <w:sz w:val="24"/>
                <w:szCs w:val="24"/>
                <w:lang w:val="en-US" w:eastAsia="zh-CN"/>
              </w:rPr>
              <w:t>2</w:t>
            </w:r>
            <w:r>
              <w:rPr>
                <w:rFonts w:hint="eastAsia"/>
                <w:kern w:val="0"/>
                <w:sz w:val="24"/>
                <w:szCs w:val="24"/>
              </w:rPr>
              <w:t>)</w:t>
            </w:r>
          </w:p>
        </w:tc>
        <w:tc>
          <w:tcPr>
            <w:tcW w:w="4320" w:type="dxa"/>
            <w:shd w:val="clear" w:color="auto" w:fill="auto"/>
            <w:vAlign w:val="center"/>
          </w:tcPr>
          <w:p>
            <w:pPr>
              <w:jc w:val="left"/>
              <w:rPr>
                <w:rFonts w:cs="宋体"/>
                <w:kern w:val="0"/>
                <w:sz w:val="24"/>
                <w:szCs w:val="24"/>
              </w:rPr>
            </w:pPr>
            <w:r>
              <w:rPr>
                <w:rFonts w:hint="eastAsia"/>
                <w:kern w:val="0"/>
                <w:sz w:val="24"/>
                <w:szCs w:val="24"/>
              </w:rPr>
              <w:t>政府采购管理B4-1</w:t>
            </w:r>
          </w:p>
        </w:tc>
        <w:tc>
          <w:tcPr>
            <w:tcW w:w="1028" w:type="dxa"/>
            <w:shd w:val="clear" w:color="auto" w:fill="auto"/>
            <w:vAlign w:val="center"/>
          </w:tcPr>
          <w:p>
            <w:pPr>
              <w:jc w:val="center"/>
              <w:rPr>
                <w:rFonts w:cs="宋体"/>
                <w:kern w:val="0"/>
                <w:sz w:val="24"/>
                <w:szCs w:val="24"/>
              </w:rPr>
            </w:pPr>
            <w:r>
              <w:rPr>
                <w:rFonts w:hint="eastAsia"/>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vAlign w:val="center"/>
          </w:tcPr>
          <w:p>
            <w:pPr>
              <w:jc w:val="center"/>
              <w:rPr>
                <w:rFonts w:cs="宋体"/>
                <w:kern w:val="0"/>
                <w:sz w:val="24"/>
                <w:szCs w:val="24"/>
              </w:rPr>
            </w:pPr>
          </w:p>
        </w:tc>
        <w:tc>
          <w:tcPr>
            <w:tcW w:w="4320" w:type="dxa"/>
            <w:shd w:val="clear" w:color="auto" w:fill="auto"/>
            <w:vAlign w:val="center"/>
          </w:tcPr>
          <w:p>
            <w:pPr>
              <w:jc w:val="left"/>
              <w:rPr>
                <w:rFonts w:cs="宋体"/>
                <w:kern w:val="0"/>
                <w:sz w:val="24"/>
                <w:szCs w:val="24"/>
              </w:rPr>
            </w:pPr>
            <w:r>
              <w:rPr>
                <w:rFonts w:hint="eastAsia"/>
                <w:kern w:val="0"/>
                <w:sz w:val="24"/>
                <w:szCs w:val="24"/>
              </w:rPr>
              <w:t>预算信息公开B4-2</w:t>
            </w:r>
          </w:p>
        </w:tc>
        <w:tc>
          <w:tcPr>
            <w:tcW w:w="1028" w:type="dxa"/>
            <w:shd w:val="clear" w:color="auto" w:fill="auto"/>
            <w:vAlign w:val="center"/>
          </w:tcPr>
          <w:p>
            <w:pPr>
              <w:jc w:val="center"/>
              <w:rPr>
                <w:rFonts w:cs="宋体"/>
                <w:kern w:val="0"/>
                <w:sz w:val="24"/>
                <w:szCs w:val="24"/>
              </w:rPr>
            </w:pPr>
            <w:r>
              <w:rPr>
                <w:rFonts w:hint="eastAsia"/>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restart"/>
            <w:shd w:val="clear" w:color="auto" w:fill="auto"/>
            <w:vAlign w:val="center"/>
          </w:tcPr>
          <w:p>
            <w:pPr>
              <w:jc w:val="center"/>
              <w:rPr>
                <w:rFonts w:cs="宋体"/>
                <w:kern w:val="0"/>
                <w:sz w:val="24"/>
                <w:szCs w:val="24"/>
              </w:rPr>
            </w:pPr>
            <w:r>
              <w:rPr>
                <w:rFonts w:hint="eastAsia" w:cs="宋体"/>
                <w:kern w:val="0"/>
                <w:sz w:val="24"/>
                <w:szCs w:val="24"/>
              </w:rPr>
              <w:t>社会效应C(20)</w:t>
            </w:r>
          </w:p>
        </w:tc>
        <w:tc>
          <w:tcPr>
            <w:tcW w:w="1365" w:type="dxa"/>
            <w:vMerge w:val="restart"/>
            <w:shd w:val="clear" w:color="auto" w:fill="auto"/>
            <w:vAlign w:val="center"/>
          </w:tcPr>
          <w:p>
            <w:pPr>
              <w:jc w:val="center"/>
              <w:rPr>
                <w:rFonts w:cs="宋体"/>
                <w:kern w:val="0"/>
                <w:sz w:val="24"/>
                <w:szCs w:val="24"/>
              </w:rPr>
            </w:pPr>
            <w:r>
              <w:rPr>
                <w:rFonts w:hint="eastAsia"/>
                <w:kern w:val="0"/>
                <w:sz w:val="24"/>
                <w:szCs w:val="24"/>
              </w:rPr>
              <w:t>经济社会影响C1(12)</w:t>
            </w:r>
          </w:p>
        </w:tc>
        <w:tc>
          <w:tcPr>
            <w:tcW w:w="4320" w:type="dxa"/>
            <w:shd w:val="clear" w:color="auto" w:fill="auto"/>
            <w:vAlign w:val="center"/>
          </w:tcPr>
          <w:p>
            <w:pPr>
              <w:jc w:val="left"/>
              <w:rPr>
                <w:rFonts w:cs="宋体"/>
                <w:kern w:val="0"/>
                <w:sz w:val="24"/>
                <w:szCs w:val="24"/>
              </w:rPr>
            </w:pPr>
            <w:r>
              <w:rPr>
                <w:rFonts w:hint="eastAsia"/>
                <w:kern w:val="0"/>
                <w:sz w:val="24"/>
                <w:szCs w:val="24"/>
              </w:rPr>
              <w:t>提高群众就业水平C1-1</w:t>
            </w:r>
          </w:p>
        </w:tc>
        <w:tc>
          <w:tcPr>
            <w:tcW w:w="1028" w:type="dxa"/>
            <w:shd w:val="clear" w:color="auto" w:fill="auto"/>
            <w:vAlign w:val="center"/>
          </w:tcPr>
          <w:p>
            <w:pPr>
              <w:jc w:val="center"/>
              <w:rPr>
                <w:rFonts w:cs="宋体"/>
                <w:kern w:val="0"/>
                <w:sz w:val="24"/>
                <w:szCs w:val="24"/>
              </w:rPr>
            </w:pPr>
            <w:r>
              <w:rPr>
                <w:rFonts w:hint="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vAlign w:val="center"/>
          </w:tcPr>
          <w:p>
            <w:pPr>
              <w:jc w:val="center"/>
              <w:rPr>
                <w:rFonts w:cs="宋体"/>
                <w:kern w:val="0"/>
                <w:sz w:val="24"/>
                <w:szCs w:val="24"/>
              </w:rPr>
            </w:pPr>
          </w:p>
        </w:tc>
        <w:tc>
          <w:tcPr>
            <w:tcW w:w="4320" w:type="dxa"/>
            <w:shd w:val="clear" w:color="auto" w:fill="auto"/>
            <w:vAlign w:val="center"/>
          </w:tcPr>
          <w:p>
            <w:pPr>
              <w:jc w:val="left"/>
              <w:rPr>
                <w:rFonts w:cs="宋体"/>
                <w:kern w:val="0"/>
                <w:sz w:val="24"/>
                <w:szCs w:val="24"/>
              </w:rPr>
            </w:pPr>
            <w:r>
              <w:rPr>
                <w:rFonts w:hint="eastAsia"/>
                <w:kern w:val="0"/>
                <w:sz w:val="24"/>
                <w:szCs w:val="24"/>
              </w:rPr>
              <w:t>推进人事人才建设C1-2</w:t>
            </w:r>
          </w:p>
        </w:tc>
        <w:tc>
          <w:tcPr>
            <w:tcW w:w="1028" w:type="dxa"/>
            <w:shd w:val="clear" w:color="auto" w:fill="auto"/>
            <w:vAlign w:val="center"/>
          </w:tcPr>
          <w:p>
            <w:pPr>
              <w:jc w:val="center"/>
              <w:rPr>
                <w:rFonts w:cs="宋体"/>
                <w:kern w:val="0"/>
                <w:sz w:val="24"/>
                <w:szCs w:val="24"/>
              </w:rPr>
            </w:pPr>
            <w:r>
              <w:rPr>
                <w:rFonts w:hint="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vAlign w:val="center"/>
          </w:tcPr>
          <w:p>
            <w:pPr>
              <w:jc w:val="center"/>
              <w:rPr>
                <w:rFonts w:cs="宋体"/>
                <w:kern w:val="0"/>
                <w:sz w:val="24"/>
                <w:szCs w:val="24"/>
              </w:rPr>
            </w:pPr>
          </w:p>
        </w:tc>
        <w:tc>
          <w:tcPr>
            <w:tcW w:w="4320" w:type="dxa"/>
            <w:shd w:val="clear" w:color="auto" w:fill="auto"/>
            <w:vAlign w:val="center"/>
          </w:tcPr>
          <w:p>
            <w:pPr>
              <w:jc w:val="left"/>
              <w:rPr>
                <w:rFonts w:cs="宋体"/>
                <w:kern w:val="0"/>
                <w:sz w:val="24"/>
                <w:szCs w:val="24"/>
              </w:rPr>
            </w:pPr>
            <w:r>
              <w:rPr>
                <w:rFonts w:hint="eastAsia"/>
                <w:kern w:val="0"/>
                <w:sz w:val="24"/>
                <w:szCs w:val="24"/>
              </w:rPr>
              <w:t>提高社会保障水平C1-3</w:t>
            </w:r>
          </w:p>
        </w:tc>
        <w:tc>
          <w:tcPr>
            <w:tcW w:w="1028" w:type="dxa"/>
            <w:shd w:val="clear" w:color="auto" w:fill="auto"/>
            <w:vAlign w:val="center"/>
          </w:tcPr>
          <w:p>
            <w:pPr>
              <w:jc w:val="center"/>
              <w:rPr>
                <w:rFonts w:cs="宋体"/>
                <w:kern w:val="0"/>
                <w:sz w:val="24"/>
                <w:szCs w:val="24"/>
              </w:rPr>
            </w:pPr>
            <w:r>
              <w:rPr>
                <w:rFonts w:hint="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Merge w:val="continue"/>
            <w:vAlign w:val="center"/>
          </w:tcPr>
          <w:p>
            <w:pPr>
              <w:jc w:val="center"/>
              <w:rPr>
                <w:rFonts w:cs="宋体"/>
                <w:kern w:val="0"/>
                <w:sz w:val="24"/>
                <w:szCs w:val="24"/>
              </w:rPr>
            </w:pPr>
          </w:p>
        </w:tc>
        <w:tc>
          <w:tcPr>
            <w:tcW w:w="4320" w:type="dxa"/>
            <w:shd w:val="clear" w:color="auto" w:fill="auto"/>
            <w:vAlign w:val="center"/>
          </w:tcPr>
          <w:p>
            <w:pPr>
              <w:jc w:val="left"/>
              <w:rPr>
                <w:rFonts w:cs="宋体"/>
                <w:kern w:val="0"/>
                <w:sz w:val="24"/>
                <w:szCs w:val="24"/>
              </w:rPr>
            </w:pPr>
            <w:r>
              <w:rPr>
                <w:rFonts w:hint="eastAsia"/>
                <w:kern w:val="0"/>
                <w:sz w:val="24"/>
                <w:szCs w:val="24"/>
              </w:rPr>
              <w:t>促进劳动关系和谐稳定C1-4</w:t>
            </w:r>
          </w:p>
        </w:tc>
        <w:tc>
          <w:tcPr>
            <w:tcW w:w="1028" w:type="dxa"/>
            <w:shd w:val="clear" w:color="auto" w:fill="auto"/>
            <w:vAlign w:val="center"/>
          </w:tcPr>
          <w:p>
            <w:pPr>
              <w:jc w:val="center"/>
              <w:rPr>
                <w:rFonts w:cs="宋体"/>
                <w:kern w:val="0"/>
                <w:sz w:val="24"/>
                <w:szCs w:val="24"/>
              </w:rPr>
            </w:pPr>
            <w:r>
              <w:rPr>
                <w:rFonts w:hint="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809" w:type="dxa"/>
            <w:vMerge w:val="continue"/>
            <w:shd w:val="clear" w:color="auto" w:fill="auto"/>
            <w:vAlign w:val="center"/>
          </w:tcPr>
          <w:p>
            <w:pPr>
              <w:jc w:val="center"/>
              <w:rPr>
                <w:rFonts w:cs="宋体"/>
                <w:kern w:val="0"/>
                <w:sz w:val="24"/>
                <w:szCs w:val="24"/>
              </w:rPr>
            </w:pPr>
          </w:p>
        </w:tc>
        <w:tc>
          <w:tcPr>
            <w:tcW w:w="1365" w:type="dxa"/>
            <w:vMerge w:val="restart"/>
            <w:shd w:val="clear" w:color="auto" w:fill="auto"/>
            <w:vAlign w:val="center"/>
          </w:tcPr>
          <w:p>
            <w:pPr>
              <w:jc w:val="center"/>
              <w:rPr>
                <w:rFonts w:cs="宋体"/>
                <w:kern w:val="0"/>
                <w:sz w:val="24"/>
                <w:szCs w:val="24"/>
              </w:rPr>
            </w:pPr>
            <w:r>
              <w:rPr>
                <w:rFonts w:hint="eastAsia"/>
                <w:kern w:val="0"/>
                <w:sz w:val="24"/>
                <w:szCs w:val="24"/>
              </w:rPr>
              <w:t>社会满意C2(8)</w:t>
            </w:r>
          </w:p>
        </w:tc>
        <w:tc>
          <w:tcPr>
            <w:tcW w:w="4320" w:type="dxa"/>
            <w:shd w:val="clear" w:color="auto" w:fill="auto"/>
            <w:vAlign w:val="center"/>
          </w:tcPr>
          <w:p>
            <w:pPr>
              <w:jc w:val="left"/>
              <w:rPr>
                <w:rFonts w:cs="宋体"/>
                <w:kern w:val="0"/>
                <w:sz w:val="24"/>
                <w:szCs w:val="24"/>
              </w:rPr>
            </w:pPr>
            <w:r>
              <w:rPr>
                <w:rFonts w:hint="eastAsia"/>
                <w:kern w:val="0"/>
                <w:sz w:val="24"/>
                <w:szCs w:val="24"/>
              </w:rPr>
              <w:t>服务对象满意度C2-1</w:t>
            </w:r>
          </w:p>
        </w:tc>
        <w:tc>
          <w:tcPr>
            <w:tcW w:w="1028" w:type="dxa"/>
            <w:shd w:val="clear" w:color="auto" w:fill="auto"/>
            <w:vAlign w:val="center"/>
          </w:tcPr>
          <w:p>
            <w:pPr>
              <w:jc w:val="center"/>
              <w:rPr>
                <w:rFonts w:cs="宋体"/>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809" w:type="dxa"/>
            <w:vMerge w:val="continue"/>
            <w:shd w:val="clear" w:color="auto" w:fill="auto"/>
            <w:vAlign w:val="center"/>
          </w:tcPr>
          <w:p>
            <w:pPr>
              <w:jc w:val="center"/>
            </w:pPr>
          </w:p>
        </w:tc>
        <w:tc>
          <w:tcPr>
            <w:tcW w:w="1365" w:type="dxa"/>
            <w:vMerge w:val="continue"/>
            <w:shd w:val="clear" w:color="auto" w:fill="auto"/>
            <w:vAlign w:val="center"/>
          </w:tcPr>
          <w:p>
            <w:pPr>
              <w:jc w:val="center"/>
            </w:pPr>
          </w:p>
        </w:tc>
        <w:tc>
          <w:tcPr>
            <w:tcW w:w="4320" w:type="dxa"/>
            <w:shd w:val="clear" w:color="auto" w:fill="auto"/>
            <w:vAlign w:val="center"/>
          </w:tcPr>
          <w:p>
            <w:pPr>
              <w:jc w:val="left"/>
              <w:rPr>
                <w:kern w:val="0"/>
                <w:sz w:val="24"/>
                <w:szCs w:val="24"/>
              </w:rPr>
            </w:pPr>
            <w:r>
              <w:rPr>
                <w:rFonts w:hint="eastAsia"/>
                <w:kern w:val="0"/>
                <w:sz w:val="24"/>
                <w:szCs w:val="24"/>
              </w:rPr>
              <w:t>管理对象满意度C2-2</w:t>
            </w:r>
          </w:p>
        </w:tc>
        <w:tc>
          <w:tcPr>
            <w:tcW w:w="1028" w:type="dxa"/>
            <w:shd w:val="clear" w:color="auto" w:fill="auto"/>
            <w:vAlign w:val="center"/>
          </w:tcPr>
          <w:p>
            <w:pPr>
              <w:jc w:val="center"/>
              <w:rPr>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restart"/>
            <w:shd w:val="clear" w:color="auto" w:fill="auto"/>
            <w:vAlign w:val="center"/>
          </w:tcPr>
          <w:p>
            <w:pPr>
              <w:jc w:val="center"/>
              <w:rPr>
                <w:rFonts w:cs="宋体"/>
                <w:kern w:val="0"/>
                <w:sz w:val="24"/>
                <w:szCs w:val="24"/>
              </w:rPr>
            </w:pPr>
            <w:r>
              <w:rPr>
                <w:rFonts w:hint="eastAsia" w:cs="宋体"/>
                <w:kern w:val="0"/>
                <w:sz w:val="24"/>
                <w:szCs w:val="24"/>
              </w:rPr>
              <w:t>可持续性D(10)</w:t>
            </w:r>
          </w:p>
        </w:tc>
        <w:tc>
          <w:tcPr>
            <w:tcW w:w="1365" w:type="dxa"/>
            <w:shd w:val="clear" w:color="auto" w:fill="auto"/>
            <w:vAlign w:val="center"/>
          </w:tcPr>
          <w:p>
            <w:pPr>
              <w:jc w:val="center"/>
              <w:rPr>
                <w:rFonts w:cs="宋体"/>
                <w:kern w:val="0"/>
                <w:sz w:val="24"/>
                <w:szCs w:val="24"/>
              </w:rPr>
            </w:pPr>
            <w:r>
              <w:rPr>
                <w:rFonts w:hint="eastAsia"/>
                <w:kern w:val="0"/>
                <w:sz w:val="24"/>
                <w:szCs w:val="24"/>
              </w:rPr>
              <w:t>体制机制改革D1(5)</w:t>
            </w:r>
          </w:p>
        </w:tc>
        <w:tc>
          <w:tcPr>
            <w:tcW w:w="4320" w:type="dxa"/>
            <w:shd w:val="clear" w:color="auto" w:fill="auto"/>
            <w:vAlign w:val="center"/>
          </w:tcPr>
          <w:p>
            <w:pPr>
              <w:jc w:val="left"/>
              <w:rPr>
                <w:rFonts w:cs="宋体"/>
                <w:kern w:val="0"/>
                <w:sz w:val="24"/>
                <w:szCs w:val="24"/>
              </w:rPr>
            </w:pPr>
            <w:r>
              <w:rPr>
                <w:rFonts w:hint="eastAsia"/>
                <w:kern w:val="0"/>
                <w:sz w:val="24"/>
                <w:szCs w:val="24"/>
              </w:rPr>
              <w:t>推进部门管理体制改革D1-1</w:t>
            </w:r>
          </w:p>
        </w:tc>
        <w:tc>
          <w:tcPr>
            <w:tcW w:w="1028" w:type="dxa"/>
            <w:shd w:val="clear" w:color="auto" w:fill="auto"/>
            <w:vAlign w:val="center"/>
          </w:tcPr>
          <w:p>
            <w:pPr>
              <w:jc w:val="center"/>
              <w:rPr>
                <w:rFonts w:cs="宋体"/>
                <w:kern w:val="0"/>
                <w:sz w:val="24"/>
                <w:szCs w:val="24"/>
              </w:rPr>
            </w:pPr>
            <w:r>
              <w:rPr>
                <w:rFonts w:hint="eastAsia"/>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rFonts w:cs="宋体"/>
                <w:kern w:val="0"/>
                <w:sz w:val="24"/>
                <w:szCs w:val="24"/>
              </w:rPr>
            </w:pPr>
          </w:p>
        </w:tc>
        <w:tc>
          <w:tcPr>
            <w:tcW w:w="1365" w:type="dxa"/>
            <w:vAlign w:val="center"/>
          </w:tcPr>
          <w:p>
            <w:pPr>
              <w:jc w:val="center"/>
              <w:rPr>
                <w:rFonts w:cs="宋体"/>
                <w:kern w:val="0"/>
                <w:sz w:val="24"/>
                <w:szCs w:val="24"/>
              </w:rPr>
            </w:pPr>
            <w:r>
              <w:rPr>
                <w:rFonts w:hint="eastAsia"/>
                <w:kern w:val="0"/>
                <w:sz w:val="24"/>
                <w:szCs w:val="24"/>
              </w:rPr>
              <w:t>干部队伍建设D2(5)</w:t>
            </w:r>
          </w:p>
        </w:tc>
        <w:tc>
          <w:tcPr>
            <w:tcW w:w="4320" w:type="dxa"/>
            <w:shd w:val="clear" w:color="auto" w:fill="auto"/>
            <w:vAlign w:val="center"/>
          </w:tcPr>
          <w:p>
            <w:pPr>
              <w:jc w:val="left"/>
              <w:rPr>
                <w:rFonts w:cs="宋体"/>
                <w:kern w:val="0"/>
                <w:sz w:val="24"/>
                <w:szCs w:val="24"/>
              </w:rPr>
            </w:pPr>
            <w:r>
              <w:rPr>
                <w:rFonts w:hint="eastAsia"/>
                <w:kern w:val="0"/>
                <w:sz w:val="24"/>
                <w:szCs w:val="24"/>
              </w:rPr>
              <w:t>人力资源建设保障程度D2-1</w:t>
            </w:r>
          </w:p>
        </w:tc>
        <w:tc>
          <w:tcPr>
            <w:tcW w:w="1028" w:type="dxa"/>
            <w:shd w:val="clear" w:color="auto" w:fill="auto"/>
            <w:vAlign w:val="center"/>
          </w:tcPr>
          <w:p>
            <w:pPr>
              <w:jc w:val="center"/>
              <w:rPr>
                <w:color w:val="000000"/>
                <w:kern w:val="0"/>
                <w:sz w:val="24"/>
                <w:szCs w:val="24"/>
              </w:rPr>
            </w:pPr>
            <w:r>
              <w:rPr>
                <w:rFonts w:hint="eastAsia"/>
                <w:kern w:val="0"/>
                <w:sz w:val="24"/>
                <w:szCs w:val="24"/>
              </w:rPr>
              <w:t>5</w:t>
            </w:r>
          </w:p>
        </w:tc>
      </w:tr>
    </w:tbl>
    <w:p>
      <w:pPr>
        <w:pStyle w:val="4"/>
        <w:spacing w:before="0" w:after="0" w:line="560" w:lineRule="exact"/>
        <w:ind w:firstLine="562" w:firstLineChars="200"/>
        <w:rPr>
          <w:rFonts w:ascii="仿宋" w:hAnsi="仿宋" w:eastAsia="仿宋"/>
          <w:sz w:val="28"/>
        </w:rPr>
      </w:pPr>
      <w:bookmarkStart w:id="232" w:name="_Toc2189"/>
      <w:r>
        <w:rPr>
          <w:rFonts w:hint="eastAsia" w:ascii="仿宋" w:hAnsi="仿宋" w:eastAsia="仿宋"/>
          <w:sz w:val="28"/>
        </w:rPr>
        <w:t>（六）绩效评价工作组及人员分工</w:t>
      </w:r>
      <w:bookmarkEnd w:id="232"/>
    </w:p>
    <w:p>
      <w:pPr>
        <w:widowControl w:val="0"/>
        <w:spacing w:line="560" w:lineRule="exact"/>
        <w:ind w:firstLine="560" w:firstLineChars="200"/>
        <w:rPr>
          <w:color w:val="000000"/>
        </w:rPr>
      </w:pPr>
      <w:r>
        <w:rPr>
          <w:rFonts w:hint="eastAsia"/>
          <w:color w:val="000000"/>
        </w:rPr>
        <w:t>项目组分为领导组和工作组。领导组主要负责评价方案的制定，评价人员的组织培训、实施过程的组织协调和督导、报告的复核等。具体人员及分工见下表：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031"/>
        <w:gridCol w:w="1543"/>
        <w:gridCol w:w="1631"/>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47" w:type="pct"/>
            <w:vAlign w:val="center"/>
          </w:tcPr>
          <w:p>
            <w:pPr>
              <w:jc w:val="left"/>
              <w:rPr>
                <w:rFonts w:cs="宋体"/>
                <w:kern w:val="0"/>
                <w:sz w:val="24"/>
                <w:szCs w:val="24"/>
              </w:rPr>
            </w:pPr>
            <w:r>
              <w:rPr>
                <w:rFonts w:hint="eastAsia" w:cs="宋体"/>
                <w:kern w:val="0"/>
                <w:sz w:val="24"/>
                <w:szCs w:val="24"/>
              </w:rPr>
              <w:t>　项目</w:t>
            </w:r>
          </w:p>
        </w:tc>
        <w:tc>
          <w:tcPr>
            <w:tcW w:w="591" w:type="pct"/>
            <w:vAlign w:val="center"/>
          </w:tcPr>
          <w:p>
            <w:pPr>
              <w:jc w:val="center"/>
              <w:rPr>
                <w:rFonts w:cs="宋体"/>
                <w:kern w:val="0"/>
                <w:sz w:val="24"/>
                <w:szCs w:val="24"/>
              </w:rPr>
            </w:pPr>
            <w:r>
              <w:rPr>
                <w:rFonts w:hint="eastAsia" w:cs="宋体"/>
                <w:kern w:val="0"/>
                <w:sz w:val="24"/>
                <w:szCs w:val="24"/>
              </w:rPr>
              <w:t>姓名</w:t>
            </w:r>
          </w:p>
        </w:tc>
        <w:tc>
          <w:tcPr>
            <w:tcW w:w="885" w:type="pct"/>
            <w:vAlign w:val="center"/>
          </w:tcPr>
          <w:p>
            <w:pPr>
              <w:jc w:val="center"/>
              <w:rPr>
                <w:rFonts w:cs="宋体"/>
                <w:kern w:val="0"/>
                <w:sz w:val="24"/>
                <w:szCs w:val="24"/>
              </w:rPr>
            </w:pPr>
            <w:r>
              <w:rPr>
                <w:rFonts w:hint="eastAsia" w:cs="宋体"/>
                <w:kern w:val="0"/>
                <w:sz w:val="24"/>
                <w:szCs w:val="24"/>
              </w:rPr>
              <w:t>职务</w:t>
            </w:r>
          </w:p>
        </w:tc>
        <w:tc>
          <w:tcPr>
            <w:tcW w:w="935" w:type="pct"/>
            <w:vAlign w:val="center"/>
          </w:tcPr>
          <w:p>
            <w:pPr>
              <w:jc w:val="center"/>
              <w:rPr>
                <w:rFonts w:cs="宋体"/>
                <w:kern w:val="0"/>
                <w:sz w:val="24"/>
                <w:szCs w:val="24"/>
              </w:rPr>
            </w:pPr>
            <w:r>
              <w:rPr>
                <w:rFonts w:hint="eastAsia" w:cs="宋体"/>
                <w:kern w:val="0"/>
                <w:sz w:val="24"/>
                <w:szCs w:val="24"/>
              </w:rPr>
              <w:t>职称</w:t>
            </w:r>
          </w:p>
        </w:tc>
        <w:tc>
          <w:tcPr>
            <w:tcW w:w="1943" w:type="pct"/>
            <w:vAlign w:val="center"/>
          </w:tcPr>
          <w:p>
            <w:pPr>
              <w:jc w:val="center"/>
              <w:rPr>
                <w:rFonts w:cs="宋体"/>
                <w:kern w:val="0"/>
                <w:sz w:val="24"/>
                <w:szCs w:val="24"/>
              </w:rPr>
            </w:pPr>
            <w:r>
              <w:rPr>
                <w:rFonts w:hint="eastAsia" w:cs="宋体"/>
                <w:kern w:val="0"/>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3" w:type="dxa"/>
            <w:vAlign w:val="center"/>
          </w:tcPr>
          <w:p>
            <w:pPr>
              <w:jc w:val="center"/>
              <w:rPr>
                <w:rFonts w:cs="宋体"/>
                <w:kern w:val="0"/>
                <w:sz w:val="24"/>
                <w:szCs w:val="24"/>
              </w:rPr>
            </w:pPr>
            <w:r>
              <w:rPr>
                <w:rFonts w:hint="eastAsia" w:cs="宋体"/>
                <w:kern w:val="0"/>
                <w:sz w:val="24"/>
                <w:szCs w:val="24"/>
              </w:rPr>
              <w:t>组长/主评人</w:t>
            </w:r>
          </w:p>
        </w:tc>
        <w:tc>
          <w:tcPr>
            <w:tcW w:w="591" w:type="pct"/>
            <w:vAlign w:val="center"/>
          </w:tcPr>
          <w:p>
            <w:pPr>
              <w:jc w:val="left"/>
              <w:rPr>
                <w:rFonts w:cs="宋体"/>
                <w:kern w:val="0"/>
                <w:sz w:val="24"/>
                <w:szCs w:val="24"/>
              </w:rPr>
            </w:pPr>
            <w:r>
              <w:rPr>
                <w:rFonts w:hint="eastAsia" w:cs="宋体"/>
                <w:kern w:val="0"/>
                <w:sz w:val="24"/>
                <w:szCs w:val="24"/>
              </w:rPr>
              <w:t>李建岭</w:t>
            </w:r>
          </w:p>
        </w:tc>
        <w:tc>
          <w:tcPr>
            <w:tcW w:w="885" w:type="pct"/>
            <w:vAlign w:val="center"/>
          </w:tcPr>
          <w:p>
            <w:pPr>
              <w:jc w:val="left"/>
              <w:rPr>
                <w:rFonts w:cs="宋体"/>
                <w:kern w:val="0"/>
                <w:sz w:val="24"/>
                <w:szCs w:val="24"/>
              </w:rPr>
            </w:pPr>
            <w:r>
              <w:rPr>
                <w:rFonts w:hint="eastAsia" w:cs="宋体"/>
                <w:kern w:val="0"/>
                <w:sz w:val="24"/>
                <w:szCs w:val="24"/>
              </w:rPr>
              <w:t>事务所所长</w:t>
            </w:r>
          </w:p>
        </w:tc>
        <w:tc>
          <w:tcPr>
            <w:tcW w:w="935" w:type="pct"/>
            <w:vAlign w:val="center"/>
          </w:tcPr>
          <w:p>
            <w:pPr>
              <w:jc w:val="center"/>
              <w:rPr>
                <w:rFonts w:cs="宋体"/>
                <w:kern w:val="0"/>
                <w:sz w:val="24"/>
                <w:szCs w:val="24"/>
              </w:rPr>
            </w:pPr>
            <w:r>
              <w:rPr>
                <w:rFonts w:hint="eastAsia" w:cs="宋体"/>
                <w:kern w:val="0"/>
                <w:sz w:val="24"/>
                <w:szCs w:val="24"/>
              </w:rPr>
              <w:t>注册会计师</w:t>
            </w:r>
          </w:p>
        </w:tc>
        <w:tc>
          <w:tcPr>
            <w:tcW w:w="1943" w:type="pct"/>
            <w:vAlign w:val="center"/>
          </w:tcPr>
          <w:p>
            <w:pPr>
              <w:jc w:val="left"/>
              <w:rPr>
                <w:rFonts w:cs="宋体"/>
                <w:kern w:val="0"/>
                <w:sz w:val="24"/>
                <w:szCs w:val="24"/>
              </w:rPr>
            </w:pPr>
            <w:r>
              <w:rPr>
                <w:rFonts w:hint="eastAsia" w:cs="宋体"/>
                <w:kern w:val="0"/>
                <w:sz w:val="24"/>
                <w:szCs w:val="24"/>
              </w:rPr>
              <w:t>负责统筹协调，对主要绩效评价指标及评价情况进行复核。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3" w:type="dxa"/>
            <w:vAlign w:val="center"/>
          </w:tcPr>
          <w:p>
            <w:pPr>
              <w:jc w:val="center"/>
              <w:rPr>
                <w:rFonts w:cs="宋体"/>
                <w:kern w:val="0"/>
                <w:sz w:val="24"/>
                <w:szCs w:val="24"/>
              </w:rPr>
            </w:pPr>
            <w:r>
              <w:rPr>
                <w:rFonts w:hint="eastAsia" w:cs="宋体"/>
                <w:kern w:val="0"/>
                <w:sz w:val="24"/>
                <w:szCs w:val="24"/>
              </w:rPr>
              <w:t>副组长</w:t>
            </w:r>
          </w:p>
        </w:tc>
        <w:tc>
          <w:tcPr>
            <w:tcW w:w="591" w:type="pct"/>
            <w:vAlign w:val="center"/>
          </w:tcPr>
          <w:p>
            <w:pPr>
              <w:jc w:val="left"/>
              <w:rPr>
                <w:rFonts w:cs="宋体"/>
                <w:kern w:val="0"/>
                <w:sz w:val="24"/>
                <w:szCs w:val="24"/>
              </w:rPr>
            </w:pPr>
            <w:r>
              <w:rPr>
                <w:rFonts w:hint="eastAsia" w:cs="宋体"/>
                <w:kern w:val="0"/>
                <w:sz w:val="24"/>
                <w:szCs w:val="24"/>
              </w:rPr>
              <w:t>杨霞</w:t>
            </w:r>
          </w:p>
        </w:tc>
        <w:tc>
          <w:tcPr>
            <w:tcW w:w="885" w:type="pct"/>
            <w:vAlign w:val="center"/>
          </w:tcPr>
          <w:p>
            <w:pPr>
              <w:jc w:val="left"/>
              <w:rPr>
                <w:rFonts w:cs="宋体"/>
                <w:kern w:val="0"/>
                <w:sz w:val="24"/>
                <w:szCs w:val="24"/>
              </w:rPr>
            </w:pPr>
            <w:r>
              <w:rPr>
                <w:rFonts w:hint="eastAsia" w:cs="宋体"/>
                <w:kern w:val="0"/>
                <w:sz w:val="24"/>
                <w:szCs w:val="24"/>
              </w:rPr>
              <w:t>事务所副所长</w:t>
            </w:r>
          </w:p>
        </w:tc>
        <w:tc>
          <w:tcPr>
            <w:tcW w:w="935" w:type="pct"/>
            <w:vAlign w:val="center"/>
          </w:tcPr>
          <w:p>
            <w:pPr>
              <w:jc w:val="left"/>
              <w:rPr>
                <w:rFonts w:cs="宋体"/>
                <w:kern w:val="0"/>
                <w:sz w:val="24"/>
                <w:szCs w:val="24"/>
              </w:rPr>
            </w:pPr>
            <w:r>
              <w:rPr>
                <w:rFonts w:hint="eastAsia" w:cs="宋体"/>
                <w:kern w:val="0"/>
                <w:sz w:val="24"/>
                <w:szCs w:val="24"/>
              </w:rPr>
              <w:t>注册会计师、注册评估师</w:t>
            </w:r>
          </w:p>
        </w:tc>
        <w:tc>
          <w:tcPr>
            <w:tcW w:w="1943" w:type="pct"/>
            <w:vAlign w:val="center"/>
          </w:tcPr>
          <w:p>
            <w:pPr>
              <w:jc w:val="left"/>
              <w:rPr>
                <w:rFonts w:cs="宋体"/>
                <w:kern w:val="0"/>
                <w:sz w:val="24"/>
                <w:szCs w:val="24"/>
              </w:rPr>
            </w:pPr>
            <w:r>
              <w:rPr>
                <w:rFonts w:hint="eastAsia" w:cs="宋体"/>
                <w:kern w:val="0"/>
                <w:sz w:val="24"/>
                <w:szCs w:val="24"/>
              </w:rPr>
              <w:t>负责绩效评价项目的组织实施、报告复核，对绩效评价工作质量负责</w:t>
            </w:r>
          </w:p>
        </w:tc>
      </w:tr>
    </w:tbl>
    <w:p>
      <w:pPr>
        <w:widowControl w:val="0"/>
        <w:spacing w:line="560" w:lineRule="exact"/>
        <w:ind w:firstLine="560" w:firstLineChars="200"/>
        <w:rPr>
          <w:color w:val="000000"/>
        </w:rPr>
      </w:pPr>
      <w:r>
        <w:rPr>
          <w:rFonts w:hint="eastAsia"/>
          <w:color w:val="000000"/>
        </w:rPr>
        <w:t>工作组主要负责现场检查及报告编写，包括收集部门的制度文件、业务开展资料、检查财务资料，开展问卷调查等工作。具体人员及分工见下表：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1177"/>
        <w:gridCol w:w="1306"/>
        <w:gridCol w:w="1697"/>
        <w:gridCol w:w="3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57" w:type="pct"/>
            <w:vAlign w:val="center"/>
          </w:tcPr>
          <w:p>
            <w:pPr>
              <w:jc w:val="left"/>
              <w:rPr>
                <w:rFonts w:cs="宋体"/>
                <w:kern w:val="0"/>
                <w:sz w:val="24"/>
                <w:szCs w:val="24"/>
              </w:rPr>
            </w:pPr>
            <w:r>
              <w:rPr>
                <w:rFonts w:hint="eastAsia" w:cs="宋体"/>
                <w:kern w:val="0"/>
                <w:sz w:val="24"/>
                <w:szCs w:val="24"/>
              </w:rPr>
              <w:t>　项目</w:t>
            </w:r>
          </w:p>
        </w:tc>
        <w:tc>
          <w:tcPr>
            <w:tcW w:w="675" w:type="pct"/>
            <w:vAlign w:val="center"/>
          </w:tcPr>
          <w:p>
            <w:pPr>
              <w:jc w:val="center"/>
              <w:rPr>
                <w:rFonts w:cs="宋体"/>
                <w:kern w:val="0"/>
                <w:sz w:val="24"/>
                <w:szCs w:val="24"/>
              </w:rPr>
            </w:pPr>
            <w:r>
              <w:rPr>
                <w:rFonts w:hint="eastAsia" w:cs="宋体"/>
                <w:kern w:val="0"/>
                <w:sz w:val="24"/>
                <w:szCs w:val="24"/>
              </w:rPr>
              <w:t>姓名</w:t>
            </w:r>
          </w:p>
        </w:tc>
        <w:tc>
          <w:tcPr>
            <w:tcW w:w="749" w:type="pct"/>
            <w:vAlign w:val="center"/>
          </w:tcPr>
          <w:p>
            <w:pPr>
              <w:jc w:val="center"/>
              <w:rPr>
                <w:rFonts w:cs="宋体"/>
                <w:kern w:val="0"/>
                <w:sz w:val="24"/>
                <w:szCs w:val="24"/>
              </w:rPr>
            </w:pPr>
            <w:r>
              <w:rPr>
                <w:rFonts w:hint="eastAsia" w:cs="宋体"/>
                <w:kern w:val="0"/>
                <w:sz w:val="24"/>
                <w:szCs w:val="24"/>
              </w:rPr>
              <w:t>资格</w:t>
            </w:r>
          </w:p>
        </w:tc>
        <w:tc>
          <w:tcPr>
            <w:tcW w:w="973" w:type="pct"/>
            <w:vAlign w:val="center"/>
          </w:tcPr>
          <w:p>
            <w:pPr>
              <w:jc w:val="center"/>
              <w:rPr>
                <w:rFonts w:cs="宋体"/>
                <w:kern w:val="0"/>
                <w:sz w:val="24"/>
                <w:szCs w:val="24"/>
              </w:rPr>
            </w:pPr>
            <w:r>
              <w:rPr>
                <w:rFonts w:hint="eastAsia" w:cs="宋体"/>
                <w:kern w:val="0"/>
                <w:sz w:val="24"/>
                <w:szCs w:val="24"/>
              </w:rPr>
              <w:t>职称</w:t>
            </w:r>
          </w:p>
        </w:tc>
        <w:tc>
          <w:tcPr>
            <w:tcW w:w="1946" w:type="pct"/>
            <w:vAlign w:val="center"/>
          </w:tcPr>
          <w:p>
            <w:pPr>
              <w:jc w:val="center"/>
              <w:rPr>
                <w:rFonts w:cs="宋体"/>
                <w:kern w:val="0"/>
                <w:sz w:val="24"/>
                <w:szCs w:val="24"/>
              </w:rPr>
            </w:pPr>
            <w:r>
              <w:rPr>
                <w:rFonts w:hint="eastAsia" w:cs="宋体"/>
                <w:kern w:val="0"/>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7" w:type="pct"/>
            <w:vAlign w:val="center"/>
          </w:tcPr>
          <w:p>
            <w:pPr>
              <w:jc w:val="center"/>
              <w:rPr>
                <w:rFonts w:cs="宋体"/>
                <w:kern w:val="0"/>
                <w:sz w:val="24"/>
                <w:szCs w:val="24"/>
              </w:rPr>
            </w:pPr>
            <w:r>
              <w:rPr>
                <w:rFonts w:hint="eastAsia" w:cs="宋体"/>
                <w:kern w:val="0"/>
                <w:sz w:val="24"/>
                <w:szCs w:val="24"/>
              </w:rPr>
              <w:t>主评人助理</w:t>
            </w:r>
          </w:p>
        </w:tc>
        <w:tc>
          <w:tcPr>
            <w:tcW w:w="675" w:type="pct"/>
            <w:vAlign w:val="center"/>
          </w:tcPr>
          <w:p>
            <w:pPr>
              <w:jc w:val="left"/>
              <w:rPr>
                <w:rFonts w:cs="宋体"/>
                <w:kern w:val="0"/>
                <w:sz w:val="24"/>
                <w:szCs w:val="24"/>
              </w:rPr>
            </w:pPr>
            <w:r>
              <w:rPr>
                <w:rFonts w:hint="eastAsia" w:cs="宋体"/>
                <w:kern w:val="0"/>
                <w:sz w:val="24"/>
                <w:szCs w:val="24"/>
              </w:rPr>
              <w:t>程海潮</w:t>
            </w:r>
          </w:p>
        </w:tc>
        <w:tc>
          <w:tcPr>
            <w:tcW w:w="749" w:type="pct"/>
            <w:vAlign w:val="center"/>
          </w:tcPr>
          <w:p>
            <w:pPr>
              <w:rPr>
                <w:rFonts w:cs="宋体"/>
                <w:kern w:val="0"/>
                <w:sz w:val="24"/>
                <w:szCs w:val="24"/>
              </w:rPr>
            </w:pPr>
            <w:r>
              <w:rPr>
                <w:rFonts w:hint="eastAsia" w:cs="宋体"/>
                <w:kern w:val="0"/>
                <w:sz w:val="24"/>
                <w:szCs w:val="24"/>
              </w:rPr>
              <w:t>项目经理</w:t>
            </w:r>
          </w:p>
        </w:tc>
        <w:tc>
          <w:tcPr>
            <w:tcW w:w="973" w:type="pct"/>
            <w:vAlign w:val="center"/>
          </w:tcPr>
          <w:p>
            <w:pPr>
              <w:jc w:val="left"/>
              <w:rPr>
                <w:rFonts w:cs="宋体"/>
                <w:kern w:val="0"/>
                <w:sz w:val="24"/>
                <w:szCs w:val="24"/>
              </w:rPr>
            </w:pPr>
            <w:r>
              <w:rPr>
                <w:rFonts w:hint="eastAsia" w:cs="宋体"/>
                <w:kern w:val="0"/>
                <w:sz w:val="24"/>
                <w:szCs w:val="24"/>
              </w:rPr>
              <w:t>注册会计师</w:t>
            </w:r>
          </w:p>
        </w:tc>
        <w:tc>
          <w:tcPr>
            <w:tcW w:w="1946" w:type="pct"/>
            <w:vAlign w:val="center"/>
          </w:tcPr>
          <w:p>
            <w:pPr>
              <w:jc w:val="left"/>
              <w:rPr>
                <w:rFonts w:cs="宋体"/>
                <w:kern w:val="0"/>
                <w:sz w:val="24"/>
                <w:szCs w:val="24"/>
              </w:rPr>
            </w:pPr>
            <w:r>
              <w:rPr>
                <w:rFonts w:hint="eastAsia" w:cs="宋体"/>
                <w:kern w:val="0"/>
                <w:sz w:val="24"/>
                <w:szCs w:val="24"/>
              </w:rPr>
              <w:t>负责绩效评价报告初步编写、指导助理人员完成绩效工作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7" w:type="pct"/>
            <w:vAlign w:val="center"/>
          </w:tcPr>
          <w:p>
            <w:pPr>
              <w:jc w:val="center"/>
              <w:rPr>
                <w:rFonts w:cs="宋体"/>
                <w:kern w:val="0"/>
                <w:sz w:val="24"/>
                <w:szCs w:val="24"/>
              </w:rPr>
            </w:pPr>
            <w:r>
              <w:rPr>
                <w:rFonts w:hint="eastAsia" w:cs="宋体"/>
                <w:kern w:val="0"/>
                <w:sz w:val="24"/>
                <w:szCs w:val="24"/>
              </w:rPr>
              <w:t>成员</w:t>
            </w:r>
          </w:p>
        </w:tc>
        <w:tc>
          <w:tcPr>
            <w:tcW w:w="675" w:type="pct"/>
            <w:vAlign w:val="center"/>
          </w:tcPr>
          <w:p>
            <w:pPr>
              <w:jc w:val="left"/>
              <w:rPr>
                <w:rFonts w:cs="宋体"/>
                <w:kern w:val="0"/>
                <w:sz w:val="24"/>
                <w:szCs w:val="24"/>
              </w:rPr>
            </w:pPr>
            <w:r>
              <w:rPr>
                <w:rFonts w:hint="eastAsia" w:cs="宋体"/>
                <w:kern w:val="0"/>
                <w:sz w:val="24"/>
                <w:szCs w:val="24"/>
              </w:rPr>
              <w:t>王建卫</w:t>
            </w:r>
          </w:p>
        </w:tc>
        <w:tc>
          <w:tcPr>
            <w:tcW w:w="749" w:type="pct"/>
            <w:vAlign w:val="center"/>
          </w:tcPr>
          <w:p>
            <w:pPr>
              <w:rPr>
                <w:rFonts w:cs="宋体"/>
                <w:kern w:val="0"/>
                <w:sz w:val="24"/>
                <w:szCs w:val="24"/>
              </w:rPr>
            </w:pPr>
            <w:r>
              <w:rPr>
                <w:rFonts w:hint="eastAsia" w:cs="宋体"/>
                <w:kern w:val="0"/>
                <w:sz w:val="24"/>
                <w:szCs w:val="24"/>
              </w:rPr>
              <w:t>助理人员</w:t>
            </w:r>
          </w:p>
        </w:tc>
        <w:tc>
          <w:tcPr>
            <w:tcW w:w="973" w:type="pct"/>
            <w:vAlign w:val="center"/>
          </w:tcPr>
          <w:p>
            <w:pPr>
              <w:jc w:val="left"/>
              <w:rPr>
                <w:rFonts w:cs="宋体"/>
                <w:kern w:val="0"/>
                <w:sz w:val="24"/>
                <w:szCs w:val="24"/>
              </w:rPr>
            </w:pPr>
            <w:r>
              <w:rPr>
                <w:rFonts w:hint="eastAsia" w:cs="宋体"/>
                <w:kern w:val="0"/>
                <w:sz w:val="24"/>
                <w:szCs w:val="24"/>
              </w:rPr>
              <w:t>注册会计师、中级会计师</w:t>
            </w:r>
          </w:p>
        </w:tc>
        <w:tc>
          <w:tcPr>
            <w:tcW w:w="1946" w:type="pct"/>
            <w:vAlign w:val="center"/>
          </w:tcPr>
          <w:p>
            <w:pPr>
              <w:jc w:val="left"/>
              <w:rPr>
                <w:rFonts w:cs="宋体"/>
                <w:kern w:val="0"/>
                <w:sz w:val="24"/>
                <w:szCs w:val="24"/>
              </w:rPr>
            </w:pPr>
            <w:r>
              <w:rPr>
                <w:rFonts w:hint="eastAsia" w:cs="宋体"/>
                <w:kern w:val="0"/>
                <w:sz w:val="24"/>
                <w:szCs w:val="24"/>
              </w:rPr>
              <w:t>协助现场负责人开展工作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7" w:type="pct"/>
            <w:vAlign w:val="center"/>
          </w:tcPr>
          <w:p>
            <w:pPr>
              <w:jc w:val="center"/>
              <w:rPr>
                <w:rFonts w:cs="宋体"/>
                <w:kern w:val="0"/>
                <w:sz w:val="24"/>
                <w:szCs w:val="24"/>
              </w:rPr>
            </w:pPr>
            <w:r>
              <w:rPr>
                <w:rFonts w:hint="eastAsia" w:cs="宋体"/>
                <w:kern w:val="0"/>
                <w:sz w:val="24"/>
                <w:szCs w:val="24"/>
              </w:rPr>
              <w:t>成员</w:t>
            </w:r>
          </w:p>
        </w:tc>
        <w:tc>
          <w:tcPr>
            <w:tcW w:w="675" w:type="pct"/>
            <w:vAlign w:val="center"/>
          </w:tcPr>
          <w:p>
            <w:pPr>
              <w:jc w:val="left"/>
              <w:rPr>
                <w:rFonts w:cs="宋体"/>
                <w:kern w:val="0"/>
                <w:sz w:val="24"/>
                <w:szCs w:val="24"/>
              </w:rPr>
            </w:pPr>
            <w:r>
              <w:rPr>
                <w:rFonts w:hint="eastAsia" w:cs="宋体"/>
                <w:kern w:val="0"/>
                <w:sz w:val="24"/>
                <w:szCs w:val="24"/>
              </w:rPr>
              <w:t>郭蓉</w:t>
            </w:r>
          </w:p>
        </w:tc>
        <w:tc>
          <w:tcPr>
            <w:tcW w:w="749" w:type="pct"/>
            <w:vAlign w:val="center"/>
          </w:tcPr>
          <w:p>
            <w:pPr>
              <w:rPr>
                <w:rFonts w:cs="宋体"/>
                <w:kern w:val="0"/>
                <w:sz w:val="24"/>
                <w:szCs w:val="24"/>
              </w:rPr>
            </w:pPr>
            <w:r>
              <w:rPr>
                <w:rFonts w:hint="eastAsia" w:cs="宋体"/>
                <w:kern w:val="0"/>
                <w:sz w:val="24"/>
                <w:szCs w:val="24"/>
              </w:rPr>
              <w:t>助理人员</w:t>
            </w:r>
          </w:p>
        </w:tc>
        <w:tc>
          <w:tcPr>
            <w:tcW w:w="973" w:type="pct"/>
            <w:vAlign w:val="center"/>
          </w:tcPr>
          <w:p>
            <w:pPr>
              <w:jc w:val="left"/>
              <w:rPr>
                <w:rFonts w:cs="宋体"/>
                <w:kern w:val="0"/>
                <w:sz w:val="24"/>
                <w:szCs w:val="24"/>
              </w:rPr>
            </w:pPr>
            <w:r>
              <w:rPr>
                <w:rFonts w:hint="eastAsia" w:cs="宋体"/>
                <w:kern w:val="0"/>
                <w:sz w:val="24"/>
                <w:szCs w:val="24"/>
              </w:rPr>
              <w:t>中级会计师</w:t>
            </w:r>
          </w:p>
        </w:tc>
        <w:tc>
          <w:tcPr>
            <w:tcW w:w="1946" w:type="pct"/>
            <w:vAlign w:val="center"/>
          </w:tcPr>
          <w:p>
            <w:pPr>
              <w:jc w:val="left"/>
              <w:rPr>
                <w:rFonts w:cs="宋体"/>
                <w:kern w:val="0"/>
                <w:sz w:val="24"/>
                <w:szCs w:val="24"/>
              </w:rPr>
            </w:pPr>
            <w:r>
              <w:rPr>
                <w:rFonts w:hint="eastAsia" w:cs="宋体"/>
                <w:kern w:val="0"/>
                <w:sz w:val="24"/>
                <w:szCs w:val="24"/>
              </w:rPr>
              <w:t>绩效评价资料收集整理、分析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7" w:type="pct"/>
            <w:vAlign w:val="center"/>
          </w:tcPr>
          <w:p>
            <w:pPr>
              <w:jc w:val="center"/>
              <w:rPr>
                <w:rFonts w:cs="宋体"/>
                <w:kern w:val="0"/>
                <w:sz w:val="24"/>
                <w:szCs w:val="24"/>
              </w:rPr>
            </w:pPr>
            <w:r>
              <w:rPr>
                <w:rFonts w:hint="eastAsia" w:cs="宋体"/>
                <w:kern w:val="0"/>
                <w:sz w:val="24"/>
                <w:szCs w:val="24"/>
              </w:rPr>
              <w:t>成员</w:t>
            </w:r>
          </w:p>
        </w:tc>
        <w:tc>
          <w:tcPr>
            <w:tcW w:w="675" w:type="pct"/>
            <w:vAlign w:val="center"/>
          </w:tcPr>
          <w:p>
            <w:pPr>
              <w:jc w:val="left"/>
              <w:rPr>
                <w:rFonts w:cs="宋体"/>
                <w:kern w:val="0"/>
                <w:sz w:val="24"/>
                <w:szCs w:val="24"/>
              </w:rPr>
            </w:pPr>
            <w:r>
              <w:rPr>
                <w:rFonts w:hint="eastAsia" w:cs="宋体"/>
                <w:kern w:val="0"/>
                <w:sz w:val="24"/>
                <w:szCs w:val="24"/>
              </w:rPr>
              <w:t>曹晓青</w:t>
            </w:r>
          </w:p>
        </w:tc>
        <w:tc>
          <w:tcPr>
            <w:tcW w:w="749" w:type="pct"/>
            <w:vAlign w:val="center"/>
          </w:tcPr>
          <w:p>
            <w:pPr>
              <w:rPr>
                <w:rFonts w:cs="宋体"/>
                <w:kern w:val="0"/>
                <w:sz w:val="24"/>
                <w:szCs w:val="24"/>
              </w:rPr>
            </w:pPr>
            <w:r>
              <w:rPr>
                <w:rFonts w:hint="eastAsia" w:cs="宋体"/>
                <w:kern w:val="0"/>
                <w:sz w:val="24"/>
                <w:szCs w:val="24"/>
              </w:rPr>
              <w:t>助理人员</w:t>
            </w:r>
          </w:p>
        </w:tc>
        <w:tc>
          <w:tcPr>
            <w:tcW w:w="973" w:type="pct"/>
            <w:vAlign w:val="center"/>
          </w:tcPr>
          <w:p>
            <w:pPr>
              <w:jc w:val="left"/>
              <w:rPr>
                <w:rFonts w:cs="宋体"/>
                <w:kern w:val="0"/>
                <w:sz w:val="24"/>
                <w:szCs w:val="24"/>
              </w:rPr>
            </w:pPr>
            <w:r>
              <w:rPr>
                <w:rFonts w:hint="eastAsia" w:cs="宋体"/>
                <w:kern w:val="0"/>
                <w:sz w:val="24"/>
                <w:szCs w:val="24"/>
              </w:rPr>
              <w:t>初级会计师</w:t>
            </w:r>
          </w:p>
        </w:tc>
        <w:tc>
          <w:tcPr>
            <w:tcW w:w="1946" w:type="pct"/>
            <w:vAlign w:val="center"/>
          </w:tcPr>
          <w:p>
            <w:pPr>
              <w:jc w:val="left"/>
              <w:rPr>
                <w:rFonts w:cs="宋体"/>
                <w:kern w:val="0"/>
                <w:sz w:val="24"/>
                <w:szCs w:val="24"/>
              </w:rPr>
            </w:pPr>
            <w:r>
              <w:rPr>
                <w:rFonts w:hint="eastAsia" w:cs="宋体"/>
                <w:kern w:val="0"/>
                <w:sz w:val="24"/>
                <w:szCs w:val="24"/>
              </w:rPr>
              <w:t>绩效评价资料收集整理、分析</w:t>
            </w:r>
          </w:p>
        </w:tc>
      </w:tr>
    </w:tbl>
    <w:p>
      <w:pPr>
        <w:pStyle w:val="4"/>
        <w:keepNext w:val="0"/>
        <w:keepLines w:val="0"/>
        <w:widowControl w:val="0"/>
        <w:spacing w:before="0" w:after="0" w:line="560" w:lineRule="exact"/>
        <w:ind w:firstLine="562" w:firstLineChars="200"/>
        <w:rPr>
          <w:rFonts w:ascii="仿宋" w:hAnsi="仿宋" w:eastAsia="仿宋"/>
          <w:sz w:val="28"/>
        </w:rPr>
      </w:pPr>
      <w:bookmarkStart w:id="233" w:name="_Toc9547"/>
      <w:r>
        <w:rPr>
          <w:rFonts w:hint="eastAsia" w:ascii="仿宋" w:hAnsi="仿宋" w:eastAsia="仿宋"/>
          <w:sz w:val="28"/>
        </w:rPr>
        <w:t>（七）绩效评价工作过程</w:t>
      </w:r>
      <w:bookmarkEnd w:id="233"/>
    </w:p>
    <w:p>
      <w:pPr>
        <w:widowControl w:val="0"/>
        <w:spacing w:line="560" w:lineRule="exact"/>
        <w:ind w:firstLine="560" w:firstLineChars="200"/>
        <w:rPr>
          <w:color w:val="000000"/>
        </w:rPr>
      </w:pPr>
      <w:r>
        <w:rPr>
          <w:rFonts w:hint="eastAsia"/>
          <w:color w:val="000000"/>
        </w:rPr>
        <w:t>本次绩效评价实施过程分为绩效评价前期准备、现场实施、绩效评价报告撰写和提交三个阶段。绩效评价工作于2022年8月8日开始，前期通过审阅有关项目资料、进行访谈等方式搜集整理资料，编制绩效评价工作方案。在此基础上，通过实施下列工作流程，完成评价工作：</w:t>
      </w:r>
    </w:p>
    <w:p>
      <w:pPr>
        <w:widowControl w:val="0"/>
        <w:spacing w:line="560" w:lineRule="exact"/>
        <w:ind w:firstLine="560" w:firstLineChars="200"/>
        <w:rPr>
          <w:color w:val="000000"/>
        </w:rPr>
      </w:pPr>
      <w:r>
        <w:rPr>
          <w:rFonts w:hint="eastAsia"/>
          <w:color w:val="000000"/>
        </w:rPr>
        <w:t>1、前期准备阶段（2022年8月8日-8月15日）</w:t>
      </w:r>
    </w:p>
    <w:p>
      <w:pPr>
        <w:widowControl w:val="0"/>
        <w:spacing w:line="560" w:lineRule="exact"/>
        <w:ind w:firstLine="560" w:firstLineChars="200"/>
        <w:rPr>
          <w:color w:val="000000"/>
        </w:rPr>
      </w:pPr>
      <w:r>
        <w:rPr>
          <w:rFonts w:hint="eastAsia"/>
          <w:color w:val="000000"/>
        </w:rPr>
        <w:t>本所接受运城市财政局的委托，签订绩效评价业务约定书，成立了由主任会计师李建岭担任项目负责人的绩效评价工作组。工作组对参与此次绩效评价的工作人员进行了相关知识的学习和业务培训，召开了绩效评价工作会议，明确了此次绩效评价的基本事项，包括：部门基本情况、部门绩效目标；绩效评价的对象和内容；绩效评价的目的；委托方及绩效评价报告使用者和其他重要事项等。最后工作组通过审阅有关项目资料、进行访谈等方式搜集整理资料，编制了针对本项目的绩效评价工作方案，确定了评价指标体系与实施流程。</w:t>
      </w:r>
    </w:p>
    <w:p>
      <w:pPr>
        <w:widowControl w:val="0"/>
        <w:spacing w:line="560" w:lineRule="exact"/>
        <w:ind w:firstLine="560" w:firstLineChars="200"/>
        <w:rPr>
          <w:color w:val="000000"/>
        </w:rPr>
      </w:pPr>
      <w:r>
        <w:rPr>
          <w:rFonts w:hint="eastAsia"/>
          <w:color w:val="000000"/>
        </w:rPr>
        <w:t>2、绩效评价现场实施阶段（2022年8月16日-8月31日）</w:t>
      </w:r>
    </w:p>
    <w:p>
      <w:pPr>
        <w:widowControl w:val="0"/>
        <w:spacing w:line="560" w:lineRule="exact"/>
        <w:ind w:firstLine="560" w:firstLineChars="200"/>
        <w:rPr>
          <w:color w:val="000000"/>
        </w:rPr>
      </w:pPr>
      <w:r>
        <w:rPr>
          <w:rFonts w:hint="eastAsia"/>
          <w:color w:val="000000"/>
        </w:rPr>
        <w:t>根据项目特点，按照绩效评价方案，通过案卷审阅、访谈、实地复核等方法收集相关评价数据，对相关文件、资料、财务数据进行甄别、汇总、分析，结合绩效评价指标、权重、标准和方法进行定量定性分析和综合评价，形成评价结论。运用定量与定性结合的方法确定分值。具体工作包括：</w:t>
      </w:r>
    </w:p>
    <w:p>
      <w:pPr>
        <w:widowControl w:val="0"/>
        <w:spacing w:line="560" w:lineRule="exact"/>
        <w:ind w:firstLine="560" w:firstLineChars="200"/>
        <w:rPr>
          <w:color w:val="000000"/>
        </w:rPr>
      </w:pPr>
      <w:r>
        <w:rPr>
          <w:rFonts w:hint="eastAsia"/>
          <w:color w:val="000000"/>
        </w:rPr>
        <w:t>（1）数据采集</w:t>
      </w:r>
    </w:p>
    <w:p>
      <w:pPr>
        <w:widowControl w:val="0"/>
        <w:spacing w:line="560" w:lineRule="exact"/>
        <w:ind w:firstLine="560" w:firstLineChars="200"/>
        <w:rPr>
          <w:color w:val="000000"/>
        </w:rPr>
      </w:pPr>
      <w:r>
        <w:rPr>
          <w:rFonts w:hint="eastAsia"/>
          <w:color w:val="000000"/>
        </w:rPr>
        <w:t>工作组按照计划搜集运城市人力资源和社会保障局人员编制、职能、部门绩效目标、部门绩效自评报告、预决算报表、重点任务履行情况等相关的基础数据资料，并对其进行分类整理汇总、审查和分析。</w:t>
      </w:r>
    </w:p>
    <w:p>
      <w:pPr>
        <w:widowControl w:val="0"/>
        <w:spacing w:line="560" w:lineRule="exact"/>
        <w:ind w:firstLine="560" w:firstLineChars="200"/>
        <w:rPr>
          <w:color w:val="000000"/>
        </w:rPr>
      </w:pPr>
      <w:r>
        <w:rPr>
          <w:rFonts w:hint="eastAsia"/>
          <w:color w:val="000000"/>
        </w:rPr>
        <w:t>（2）现场工作</w:t>
      </w:r>
    </w:p>
    <w:p>
      <w:pPr>
        <w:pStyle w:val="69"/>
        <w:widowControl w:val="0"/>
        <w:spacing w:line="560" w:lineRule="exact"/>
        <w:ind w:firstLine="560"/>
        <w:rPr>
          <w:color w:val="000000"/>
        </w:rPr>
      </w:pPr>
      <w:r>
        <w:rPr>
          <w:rFonts w:hint="eastAsia"/>
          <w:color w:val="000000"/>
        </w:rPr>
        <w:t>针对所获取的案卷资料，对其部门职责履行情况进行核实，关注其在职人员数量，判断其单位对人员成本的控制程度；检查财务及预决算资料，对其预算资金使用情况进行评价（如：三公经费控制情况、资金使用合规性等），资金支付是否符合规定、是否合理等；关注就业创业促进工作、职业技能提升、社会保险推进、人事人才建设、产劳动维权工作核心业务开展情况，从而对运城市人力资源和社会保障局核心业务完成情况进行评价。</w:t>
      </w:r>
    </w:p>
    <w:p>
      <w:pPr>
        <w:widowControl w:val="0"/>
        <w:spacing w:line="560" w:lineRule="exact"/>
        <w:ind w:firstLine="560" w:firstLineChars="200"/>
        <w:rPr>
          <w:color w:val="000000"/>
        </w:rPr>
      </w:pPr>
      <w:r>
        <w:rPr>
          <w:rFonts w:hint="eastAsia"/>
          <w:color w:val="000000"/>
        </w:rPr>
        <w:t>（3）数据统计分析</w:t>
      </w:r>
    </w:p>
    <w:p>
      <w:pPr>
        <w:widowControl w:val="0"/>
        <w:spacing w:line="560" w:lineRule="exact"/>
        <w:ind w:firstLine="560" w:firstLineChars="200"/>
        <w:rPr>
          <w:color w:val="000000"/>
        </w:rPr>
      </w:pPr>
      <w:r>
        <w:rPr>
          <w:rFonts w:hint="eastAsia"/>
          <w:color w:val="000000"/>
        </w:rPr>
        <w:t>工作组根据绩效评价的原理和规定，结合项目的具体情况，根据被评价单位提供的数据和社会调查结果，对数据进行分析处理。比照绩效评价指标体系计分的标准，得出相应的分值，分析得失分的原因。</w:t>
      </w:r>
    </w:p>
    <w:p>
      <w:pPr>
        <w:widowControl w:val="0"/>
        <w:spacing w:line="560" w:lineRule="exact"/>
        <w:ind w:firstLine="560" w:firstLineChars="200"/>
        <w:rPr>
          <w:color w:val="000000"/>
        </w:rPr>
      </w:pPr>
      <w:r>
        <w:rPr>
          <w:rFonts w:hint="eastAsia"/>
          <w:color w:val="000000"/>
        </w:rPr>
        <w:t>3、绩效评价报告撰写和提交阶段（2022年9月1日-9月30日）</w:t>
      </w:r>
    </w:p>
    <w:p>
      <w:pPr>
        <w:widowControl w:val="0"/>
        <w:spacing w:line="560" w:lineRule="exact"/>
        <w:ind w:firstLine="560" w:firstLineChars="200"/>
        <w:rPr>
          <w:color w:val="000000"/>
        </w:rPr>
      </w:pPr>
      <w:r>
        <w:rPr>
          <w:rFonts w:hint="eastAsia"/>
          <w:color w:val="000000"/>
        </w:rPr>
        <w:t>（1）根据各指标的评价结果及整体评价结论，按绩效评价相关规定和绩效管理部门的要求撰写绩效评价报告；</w:t>
      </w:r>
    </w:p>
    <w:p>
      <w:pPr>
        <w:widowControl w:val="0"/>
        <w:spacing w:line="560" w:lineRule="exact"/>
        <w:ind w:firstLine="560" w:firstLineChars="200"/>
        <w:rPr>
          <w:color w:val="000000"/>
        </w:rPr>
      </w:pPr>
      <w:r>
        <w:rPr>
          <w:rFonts w:hint="eastAsia"/>
          <w:color w:val="000000"/>
        </w:rPr>
        <w:t>（2）与被评价方就绩效评价报告进行充分沟通并交换意见；</w:t>
      </w:r>
    </w:p>
    <w:p>
      <w:pPr>
        <w:widowControl w:val="0"/>
        <w:spacing w:line="560" w:lineRule="exact"/>
        <w:ind w:firstLine="560" w:firstLineChars="200"/>
        <w:rPr>
          <w:color w:val="000000"/>
        </w:rPr>
      </w:pPr>
      <w:r>
        <w:rPr>
          <w:rFonts w:hint="eastAsia"/>
          <w:color w:val="000000"/>
        </w:rPr>
        <w:t>（3）履行会计事务所内部三级复核程序；</w:t>
      </w:r>
    </w:p>
    <w:p>
      <w:pPr>
        <w:widowControl w:val="0"/>
        <w:spacing w:line="560" w:lineRule="exact"/>
        <w:ind w:firstLine="560" w:firstLineChars="200"/>
        <w:rPr>
          <w:color w:val="000000"/>
        </w:rPr>
      </w:pPr>
      <w:r>
        <w:rPr>
          <w:rFonts w:hint="eastAsia"/>
          <w:color w:val="000000"/>
        </w:rPr>
        <w:t>（4）提交部门整体支出绩效评价正式报告。</w:t>
      </w:r>
    </w:p>
    <w:bookmarkEnd w:id="218"/>
    <w:bookmarkEnd w:id="219"/>
    <w:bookmarkEnd w:id="220"/>
    <w:bookmarkEnd w:id="221"/>
    <w:bookmarkEnd w:id="222"/>
    <w:bookmarkEnd w:id="223"/>
    <w:bookmarkEnd w:id="224"/>
    <w:bookmarkEnd w:id="225"/>
    <w:bookmarkEnd w:id="226"/>
    <w:bookmarkEnd w:id="227"/>
    <w:bookmarkEnd w:id="228"/>
    <w:bookmarkEnd w:id="229"/>
    <w:p>
      <w:pPr>
        <w:pStyle w:val="3"/>
        <w:keepNext w:val="0"/>
        <w:keepLines w:val="0"/>
        <w:widowControl w:val="0"/>
        <w:spacing w:before="0" w:after="0" w:line="560" w:lineRule="exact"/>
        <w:ind w:firstLine="562" w:firstLineChars="200"/>
        <w:rPr>
          <w:sz w:val="28"/>
        </w:rPr>
      </w:pPr>
      <w:bookmarkStart w:id="234" w:name="_Toc17341_WPSOffice_Level1"/>
      <w:bookmarkStart w:id="235" w:name="_Toc13350_WPSOffice_Level1"/>
      <w:bookmarkStart w:id="236" w:name="_Toc28462"/>
      <w:bookmarkStart w:id="237" w:name="_Toc2352"/>
      <w:bookmarkStart w:id="238" w:name="_Toc12001"/>
      <w:bookmarkStart w:id="239" w:name="_Toc14174"/>
      <w:bookmarkStart w:id="240" w:name="_Toc12743"/>
      <w:bookmarkStart w:id="241" w:name="_Toc206"/>
      <w:bookmarkStart w:id="242" w:name="_Toc3832"/>
      <w:bookmarkStart w:id="243" w:name="_Toc255918133"/>
      <w:bookmarkStart w:id="244" w:name="_Toc256631237"/>
      <w:bookmarkStart w:id="245" w:name="_Toc206492829"/>
      <w:r>
        <w:rPr>
          <w:rFonts w:hint="eastAsia"/>
          <w:sz w:val="28"/>
        </w:rPr>
        <w:t>三、</w:t>
      </w:r>
      <w:bookmarkEnd w:id="234"/>
      <w:bookmarkEnd w:id="235"/>
      <w:bookmarkEnd w:id="236"/>
      <w:bookmarkEnd w:id="237"/>
      <w:r>
        <w:rPr>
          <w:rFonts w:hint="eastAsia"/>
          <w:sz w:val="28"/>
        </w:rPr>
        <w:t>绩效评价结论</w:t>
      </w:r>
      <w:bookmarkEnd w:id="238"/>
      <w:bookmarkEnd w:id="239"/>
      <w:bookmarkEnd w:id="240"/>
      <w:bookmarkEnd w:id="241"/>
      <w:bookmarkEnd w:id="242"/>
    </w:p>
    <w:p>
      <w:pPr>
        <w:pStyle w:val="4"/>
        <w:keepNext w:val="0"/>
        <w:keepLines w:val="0"/>
        <w:widowControl w:val="0"/>
        <w:spacing w:before="0" w:after="0" w:line="560" w:lineRule="exact"/>
        <w:ind w:firstLine="562" w:firstLineChars="200"/>
        <w:rPr>
          <w:rFonts w:ascii="仿宋" w:hAnsi="仿宋" w:eastAsia="仿宋"/>
          <w:sz w:val="28"/>
        </w:rPr>
      </w:pPr>
      <w:bookmarkStart w:id="246" w:name="_Toc2707"/>
      <w:bookmarkStart w:id="247" w:name="_Toc24110"/>
      <w:bookmarkStart w:id="248" w:name="_Toc27998"/>
      <w:bookmarkStart w:id="249" w:name="_Toc12898"/>
      <w:bookmarkStart w:id="250" w:name="_Toc1959"/>
      <w:bookmarkStart w:id="251" w:name="_Toc510"/>
      <w:r>
        <w:rPr>
          <w:rFonts w:hint="eastAsia" w:ascii="仿宋" w:hAnsi="仿宋" w:eastAsia="仿宋"/>
          <w:sz w:val="28"/>
        </w:rPr>
        <w:t>（一）评价结论</w:t>
      </w:r>
      <w:bookmarkEnd w:id="246"/>
      <w:bookmarkEnd w:id="247"/>
    </w:p>
    <w:p>
      <w:pPr>
        <w:pStyle w:val="70"/>
        <w:widowControl w:val="0"/>
        <w:snapToGrid w:val="0"/>
        <w:spacing w:before="0" w:after="0" w:line="560" w:lineRule="exact"/>
        <w:ind w:firstLine="560"/>
        <w:rPr>
          <w:rFonts w:ascii="仿宋" w:hAnsi="仿宋" w:eastAsia="仿宋" w:cs="宋体"/>
          <w:sz w:val="24"/>
          <w:szCs w:val="24"/>
        </w:rPr>
      </w:pPr>
      <w:r>
        <w:rPr>
          <w:rFonts w:hint="eastAsia" w:ascii="仿宋" w:hAnsi="仿宋" w:eastAsia="仿宋"/>
          <w:b w:val="0"/>
        </w:rPr>
        <w:t>绩效评价结果采用综合评分定级的方法，总分值为100分。绩效评级分“优”、“良”、“中”、“差”。最终绩效评价结果按照综合评分分级：综合评分90（含）-100分的为“优”，80（含）-90分的为“良”，60（含）-80分的为“中”，60分以下的为“差”。</w:t>
      </w:r>
    </w:p>
    <w:p>
      <w:pPr>
        <w:pStyle w:val="70"/>
        <w:widowControl w:val="0"/>
        <w:snapToGrid w:val="0"/>
        <w:spacing w:before="0" w:after="0" w:line="560" w:lineRule="exact"/>
        <w:ind w:firstLine="560"/>
        <w:rPr>
          <w:rFonts w:ascii="仿宋" w:hAnsi="仿宋" w:eastAsia="仿宋"/>
          <w:b w:val="0"/>
        </w:rPr>
      </w:pPr>
      <w:r>
        <w:rPr>
          <w:rFonts w:hint="eastAsia" w:ascii="仿宋" w:hAnsi="仿宋" w:eastAsia="仿宋"/>
          <w:b w:val="0"/>
        </w:rPr>
        <w:t>项目组按照本项目绩效评价工作方案确定的绩效评价指标、评价标准和评价方法，在对评价对象的绩效情况进行定量和定性分析的基础上，经综合评价，本项目得分为</w:t>
      </w:r>
      <w:r>
        <w:rPr>
          <w:rFonts w:hint="eastAsia" w:ascii="仿宋" w:hAnsi="仿宋" w:eastAsia="仿宋"/>
          <w:b w:val="0"/>
          <w:lang w:eastAsia="zh-CN"/>
        </w:rPr>
        <w:t>88.93</w:t>
      </w:r>
      <w:r>
        <w:rPr>
          <w:rFonts w:hint="eastAsia" w:ascii="仿宋" w:hAnsi="仿宋" w:eastAsia="仿宋"/>
          <w:b w:val="0"/>
        </w:rPr>
        <w:t>分，绩效评价等级为</w:t>
      </w:r>
      <w:r>
        <w:rPr>
          <w:rFonts w:hint="eastAsia" w:ascii="仿宋" w:hAnsi="仿宋" w:eastAsia="仿宋"/>
          <w:b w:val="0"/>
          <w:lang w:val="en-US" w:eastAsia="zh-CN"/>
        </w:rPr>
        <w:t>良</w:t>
      </w:r>
      <w:r>
        <w:rPr>
          <w:rFonts w:hint="eastAsia" w:ascii="仿宋" w:hAnsi="仿宋" w:eastAsia="仿宋"/>
          <w:b w:val="0"/>
        </w:rPr>
        <w:t>。其中：履职效能类指标权重为40分，得分39分，得分率为97.50%；管理效率类指标权重为30分，得分为2</w:t>
      </w:r>
      <w:r>
        <w:rPr>
          <w:rFonts w:hint="eastAsia" w:ascii="仿宋" w:hAnsi="仿宋" w:eastAsia="仿宋"/>
          <w:b w:val="0"/>
          <w:lang w:val="en-US" w:eastAsia="zh-CN"/>
        </w:rPr>
        <w:t>0.07</w:t>
      </w:r>
      <w:r>
        <w:rPr>
          <w:rFonts w:hint="eastAsia" w:ascii="仿宋" w:hAnsi="仿宋" w:eastAsia="仿宋"/>
          <w:b w:val="0"/>
        </w:rPr>
        <w:t>分，得分率为</w:t>
      </w:r>
      <w:r>
        <w:rPr>
          <w:rFonts w:hint="eastAsia" w:ascii="仿宋" w:hAnsi="仿宋" w:eastAsia="仿宋"/>
          <w:b w:val="0"/>
          <w:lang w:val="en-US" w:eastAsia="zh-CN"/>
        </w:rPr>
        <w:t>66.90</w:t>
      </w:r>
      <w:r>
        <w:rPr>
          <w:rFonts w:hint="eastAsia" w:ascii="仿宋" w:hAnsi="仿宋" w:eastAsia="仿宋"/>
          <w:b w:val="0"/>
        </w:rPr>
        <w:t>%；社会效应类指标权重为20分，得分为19.86分，得分率为99.30%；可持续性类指标权重为10分，得分为10分，得分率为100%。</w:t>
      </w:r>
    </w:p>
    <w:p>
      <w:pPr>
        <w:pStyle w:val="71"/>
        <w:spacing w:line="360" w:lineRule="auto"/>
        <w:rPr>
          <w:rFonts w:ascii="仿宋" w:hAnsi="仿宋" w:eastAsia="仿宋"/>
          <w:szCs w:val="24"/>
        </w:rPr>
      </w:pPr>
      <w:r>
        <w:rPr>
          <w:rFonts w:hint="eastAsia" w:ascii="仿宋" w:hAnsi="仿宋" w:eastAsia="仿宋"/>
          <w:szCs w:val="24"/>
        </w:rPr>
        <w:t>表3-1 部门整体支出绩效评价得分表</w:t>
      </w:r>
    </w:p>
    <w:tbl>
      <w:tblPr>
        <w:tblStyle w:val="1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575"/>
        <w:gridCol w:w="1455"/>
        <w:gridCol w:w="1395"/>
        <w:gridCol w:w="1533"/>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jc w:val="center"/>
        </w:trPr>
        <w:tc>
          <w:tcPr>
            <w:tcW w:w="1185" w:type="dxa"/>
            <w:tcBorders>
              <w:bottom w:val="single" w:color="auto" w:sz="4" w:space="0"/>
            </w:tcBorders>
            <w:shd w:val="clear" w:color="auto" w:fill="FFFFFF"/>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指标</w:t>
            </w:r>
          </w:p>
        </w:tc>
        <w:tc>
          <w:tcPr>
            <w:tcW w:w="1575" w:type="dxa"/>
            <w:tcBorders>
              <w:bottom w:val="single" w:color="auto" w:sz="4" w:space="0"/>
            </w:tcBorders>
            <w:shd w:val="clear" w:color="auto" w:fill="FFFFFF"/>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A履职效能</w:t>
            </w:r>
          </w:p>
        </w:tc>
        <w:tc>
          <w:tcPr>
            <w:tcW w:w="1455" w:type="dxa"/>
            <w:tcBorders>
              <w:bottom w:val="single" w:color="auto" w:sz="4" w:space="0"/>
            </w:tcBorders>
            <w:shd w:val="clear" w:color="auto" w:fill="FFFFFF"/>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B管理效率</w:t>
            </w:r>
          </w:p>
        </w:tc>
        <w:tc>
          <w:tcPr>
            <w:tcW w:w="1395" w:type="dxa"/>
            <w:tcBorders>
              <w:bottom w:val="single" w:color="auto" w:sz="4" w:space="0"/>
            </w:tcBorders>
            <w:shd w:val="clear" w:color="auto" w:fill="FFFFFF"/>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C社会效应</w:t>
            </w:r>
          </w:p>
        </w:tc>
        <w:tc>
          <w:tcPr>
            <w:tcW w:w="1533" w:type="dxa"/>
            <w:tcBorders>
              <w:bottom w:val="single" w:color="auto" w:sz="4" w:space="0"/>
            </w:tcBorders>
            <w:shd w:val="clear" w:color="auto" w:fill="FFFFFF"/>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D可持续性</w:t>
            </w:r>
          </w:p>
        </w:tc>
        <w:tc>
          <w:tcPr>
            <w:tcW w:w="1377" w:type="dxa"/>
            <w:tcBorders>
              <w:bottom w:val="single" w:color="auto" w:sz="4" w:space="0"/>
            </w:tcBorders>
            <w:shd w:val="clear" w:color="auto" w:fill="FFFFFF"/>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权重</w:t>
            </w:r>
          </w:p>
        </w:tc>
        <w:tc>
          <w:tcPr>
            <w:tcW w:w="1575" w:type="dxa"/>
            <w:vAlign w:val="center"/>
          </w:tcPr>
          <w:p>
            <w:pPr>
              <w:jc w:val="center"/>
              <w:textAlignment w:val="center"/>
              <w:rPr>
                <w:szCs w:val="24"/>
              </w:rPr>
            </w:pPr>
            <w:r>
              <w:rPr>
                <w:rFonts w:hint="eastAsia"/>
                <w:color w:val="000000"/>
                <w:kern w:val="0"/>
                <w:sz w:val="24"/>
                <w:szCs w:val="24"/>
                <w:lang w:bidi="ar"/>
              </w:rPr>
              <w:t>40</w:t>
            </w:r>
          </w:p>
        </w:tc>
        <w:tc>
          <w:tcPr>
            <w:tcW w:w="1455" w:type="dxa"/>
            <w:vAlign w:val="center"/>
          </w:tcPr>
          <w:p>
            <w:pPr>
              <w:jc w:val="center"/>
              <w:textAlignment w:val="center"/>
              <w:rPr>
                <w:szCs w:val="24"/>
              </w:rPr>
            </w:pPr>
            <w:r>
              <w:rPr>
                <w:rFonts w:hint="eastAsia"/>
                <w:color w:val="000000"/>
                <w:kern w:val="0"/>
                <w:sz w:val="24"/>
                <w:szCs w:val="24"/>
                <w:lang w:bidi="ar"/>
              </w:rPr>
              <w:t>30</w:t>
            </w:r>
          </w:p>
        </w:tc>
        <w:tc>
          <w:tcPr>
            <w:tcW w:w="1395" w:type="dxa"/>
            <w:vAlign w:val="center"/>
          </w:tcPr>
          <w:p>
            <w:pPr>
              <w:jc w:val="center"/>
              <w:textAlignment w:val="center"/>
              <w:rPr>
                <w:szCs w:val="24"/>
              </w:rPr>
            </w:pPr>
            <w:r>
              <w:rPr>
                <w:rFonts w:hint="eastAsia"/>
                <w:color w:val="000000"/>
                <w:kern w:val="0"/>
                <w:sz w:val="24"/>
                <w:szCs w:val="24"/>
                <w:lang w:bidi="ar"/>
              </w:rPr>
              <w:t>20</w:t>
            </w:r>
          </w:p>
        </w:tc>
        <w:tc>
          <w:tcPr>
            <w:tcW w:w="1533" w:type="dxa"/>
            <w:vAlign w:val="center"/>
          </w:tcPr>
          <w:p>
            <w:pPr>
              <w:jc w:val="center"/>
              <w:textAlignment w:val="center"/>
              <w:rPr>
                <w:szCs w:val="24"/>
                <w:highlight w:val="yellow"/>
              </w:rPr>
            </w:pPr>
            <w:r>
              <w:rPr>
                <w:rFonts w:hint="eastAsia"/>
                <w:color w:val="000000"/>
                <w:kern w:val="0"/>
                <w:sz w:val="24"/>
                <w:szCs w:val="24"/>
                <w:lang w:bidi="ar"/>
              </w:rPr>
              <w:t>10</w:t>
            </w:r>
          </w:p>
        </w:tc>
        <w:tc>
          <w:tcPr>
            <w:tcW w:w="1377" w:type="dxa"/>
            <w:vAlign w:val="center"/>
          </w:tcPr>
          <w:p>
            <w:pPr>
              <w:jc w:val="center"/>
              <w:textAlignment w:val="center"/>
              <w:rPr>
                <w:szCs w:val="24"/>
                <w:highlight w:val="yellow"/>
              </w:rPr>
            </w:pPr>
            <w:r>
              <w:rPr>
                <w:rFonts w:hint="eastAsia"/>
                <w:color w:val="000000"/>
                <w:kern w:val="0"/>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分值</w:t>
            </w:r>
          </w:p>
        </w:tc>
        <w:tc>
          <w:tcPr>
            <w:tcW w:w="1575" w:type="dxa"/>
            <w:vAlign w:val="center"/>
          </w:tcPr>
          <w:p>
            <w:pPr>
              <w:jc w:val="center"/>
              <w:textAlignment w:val="center"/>
              <w:rPr>
                <w:szCs w:val="24"/>
              </w:rPr>
            </w:pPr>
            <w:r>
              <w:rPr>
                <w:rFonts w:hint="eastAsia"/>
                <w:color w:val="000000"/>
                <w:kern w:val="0"/>
                <w:sz w:val="24"/>
                <w:szCs w:val="24"/>
                <w:lang w:bidi="ar"/>
              </w:rPr>
              <w:t>39</w:t>
            </w:r>
          </w:p>
        </w:tc>
        <w:tc>
          <w:tcPr>
            <w:tcW w:w="1455" w:type="dxa"/>
            <w:vAlign w:val="center"/>
          </w:tcPr>
          <w:p>
            <w:pPr>
              <w:jc w:val="center"/>
              <w:textAlignment w:val="center"/>
              <w:rPr>
                <w:rFonts w:hint="default" w:eastAsia="仿宋"/>
                <w:szCs w:val="24"/>
                <w:lang w:val="en-US" w:eastAsia="zh-CN"/>
              </w:rPr>
            </w:pPr>
            <w:r>
              <w:rPr>
                <w:rFonts w:hint="eastAsia"/>
                <w:color w:val="000000"/>
                <w:kern w:val="0"/>
                <w:sz w:val="24"/>
                <w:szCs w:val="24"/>
                <w:lang w:val="en-US" w:eastAsia="zh-CN" w:bidi="ar"/>
              </w:rPr>
              <w:t>20.07</w:t>
            </w:r>
          </w:p>
        </w:tc>
        <w:tc>
          <w:tcPr>
            <w:tcW w:w="1395" w:type="dxa"/>
            <w:vAlign w:val="center"/>
          </w:tcPr>
          <w:p>
            <w:pPr>
              <w:jc w:val="center"/>
              <w:textAlignment w:val="center"/>
              <w:rPr>
                <w:szCs w:val="24"/>
              </w:rPr>
            </w:pPr>
            <w:r>
              <w:rPr>
                <w:rFonts w:hint="eastAsia"/>
                <w:color w:val="000000"/>
                <w:kern w:val="0"/>
                <w:sz w:val="24"/>
                <w:szCs w:val="24"/>
                <w:lang w:bidi="ar"/>
              </w:rPr>
              <w:t>19.86</w:t>
            </w:r>
          </w:p>
        </w:tc>
        <w:tc>
          <w:tcPr>
            <w:tcW w:w="1533" w:type="dxa"/>
            <w:vAlign w:val="center"/>
          </w:tcPr>
          <w:p>
            <w:pPr>
              <w:jc w:val="center"/>
              <w:textAlignment w:val="center"/>
              <w:rPr>
                <w:szCs w:val="24"/>
              </w:rPr>
            </w:pPr>
            <w:r>
              <w:rPr>
                <w:rFonts w:hint="eastAsia"/>
                <w:color w:val="000000"/>
                <w:kern w:val="0"/>
                <w:sz w:val="24"/>
                <w:szCs w:val="24"/>
                <w:lang w:bidi="ar"/>
              </w:rPr>
              <w:t>10</w:t>
            </w:r>
          </w:p>
        </w:tc>
        <w:tc>
          <w:tcPr>
            <w:tcW w:w="1377" w:type="dxa"/>
            <w:vAlign w:val="center"/>
          </w:tcPr>
          <w:p>
            <w:pPr>
              <w:jc w:val="center"/>
              <w:textAlignment w:val="center"/>
              <w:rPr>
                <w:rFonts w:hint="eastAsia" w:eastAsia="仿宋"/>
                <w:szCs w:val="24"/>
                <w:lang w:eastAsia="zh-CN"/>
              </w:rPr>
            </w:pPr>
            <w:r>
              <w:rPr>
                <w:rFonts w:hint="eastAsia"/>
                <w:color w:val="000000"/>
                <w:kern w:val="0"/>
                <w:sz w:val="24"/>
                <w:szCs w:val="24"/>
                <w:lang w:eastAsia="zh-CN" w:bidi="ar"/>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vAlign w:val="center"/>
          </w:tcPr>
          <w:p>
            <w:pPr>
              <w:pStyle w:val="71"/>
              <w:adjustRightInd w:val="0"/>
              <w:snapToGrid w:val="0"/>
              <w:spacing w:before="0" w:after="0"/>
              <w:rPr>
                <w:rFonts w:ascii="仿宋" w:hAnsi="仿宋" w:eastAsia="仿宋"/>
                <w:szCs w:val="24"/>
              </w:rPr>
            </w:pPr>
            <w:r>
              <w:rPr>
                <w:rFonts w:hint="eastAsia" w:ascii="仿宋" w:hAnsi="仿宋" w:eastAsia="仿宋"/>
                <w:szCs w:val="24"/>
              </w:rPr>
              <w:t>得分率</w:t>
            </w:r>
          </w:p>
        </w:tc>
        <w:tc>
          <w:tcPr>
            <w:tcW w:w="1575" w:type="dxa"/>
            <w:vAlign w:val="center"/>
          </w:tcPr>
          <w:p>
            <w:pPr>
              <w:jc w:val="center"/>
              <w:textAlignment w:val="center"/>
              <w:rPr>
                <w:szCs w:val="24"/>
              </w:rPr>
            </w:pPr>
            <w:r>
              <w:rPr>
                <w:rFonts w:hint="eastAsia"/>
                <w:color w:val="000000"/>
                <w:kern w:val="0"/>
                <w:sz w:val="24"/>
                <w:szCs w:val="24"/>
                <w:lang w:bidi="ar"/>
              </w:rPr>
              <w:t>97.50%</w:t>
            </w:r>
          </w:p>
        </w:tc>
        <w:tc>
          <w:tcPr>
            <w:tcW w:w="1455" w:type="dxa"/>
            <w:vAlign w:val="center"/>
          </w:tcPr>
          <w:p>
            <w:pPr>
              <w:jc w:val="center"/>
              <w:textAlignment w:val="center"/>
              <w:rPr>
                <w:szCs w:val="24"/>
              </w:rPr>
            </w:pPr>
            <w:r>
              <w:rPr>
                <w:rFonts w:hint="eastAsia"/>
                <w:color w:val="000000"/>
                <w:kern w:val="0"/>
                <w:sz w:val="24"/>
                <w:szCs w:val="24"/>
                <w:lang w:val="en-US" w:eastAsia="zh-CN" w:bidi="ar"/>
              </w:rPr>
              <w:t>66.90</w:t>
            </w:r>
            <w:r>
              <w:rPr>
                <w:rFonts w:hint="eastAsia"/>
                <w:color w:val="000000"/>
                <w:kern w:val="0"/>
                <w:sz w:val="24"/>
                <w:szCs w:val="24"/>
                <w:lang w:bidi="ar"/>
              </w:rPr>
              <w:t>%</w:t>
            </w:r>
          </w:p>
        </w:tc>
        <w:tc>
          <w:tcPr>
            <w:tcW w:w="1395" w:type="dxa"/>
            <w:vAlign w:val="center"/>
          </w:tcPr>
          <w:p>
            <w:pPr>
              <w:jc w:val="center"/>
              <w:textAlignment w:val="center"/>
              <w:rPr>
                <w:szCs w:val="24"/>
              </w:rPr>
            </w:pPr>
            <w:r>
              <w:rPr>
                <w:rFonts w:hint="eastAsia"/>
                <w:color w:val="000000"/>
                <w:kern w:val="0"/>
                <w:sz w:val="24"/>
                <w:szCs w:val="24"/>
                <w:lang w:bidi="ar"/>
              </w:rPr>
              <w:t>99.30%</w:t>
            </w:r>
          </w:p>
        </w:tc>
        <w:tc>
          <w:tcPr>
            <w:tcW w:w="1533" w:type="dxa"/>
            <w:vAlign w:val="center"/>
          </w:tcPr>
          <w:p>
            <w:pPr>
              <w:jc w:val="center"/>
              <w:textAlignment w:val="center"/>
              <w:rPr>
                <w:szCs w:val="24"/>
              </w:rPr>
            </w:pPr>
            <w:r>
              <w:rPr>
                <w:rFonts w:hint="eastAsia"/>
                <w:color w:val="000000"/>
                <w:kern w:val="0"/>
                <w:sz w:val="24"/>
                <w:szCs w:val="24"/>
                <w:lang w:bidi="ar"/>
              </w:rPr>
              <w:t>100.00%</w:t>
            </w:r>
          </w:p>
        </w:tc>
        <w:tc>
          <w:tcPr>
            <w:tcW w:w="1377" w:type="dxa"/>
            <w:vAlign w:val="center"/>
          </w:tcPr>
          <w:p>
            <w:pPr>
              <w:jc w:val="center"/>
              <w:textAlignment w:val="center"/>
              <w:rPr>
                <w:szCs w:val="24"/>
              </w:rPr>
            </w:pPr>
            <w:r>
              <w:rPr>
                <w:rFonts w:hint="eastAsia"/>
                <w:color w:val="000000"/>
                <w:kern w:val="0"/>
                <w:sz w:val="24"/>
                <w:szCs w:val="24"/>
                <w:lang w:eastAsia="zh-CN" w:bidi="ar"/>
              </w:rPr>
              <w:t>88.93</w:t>
            </w:r>
            <w:r>
              <w:rPr>
                <w:rFonts w:hint="eastAsia"/>
                <w:color w:val="000000"/>
                <w:kern w:val="0"/>
                <w:sz w:val="24"/>
                <w:szCs w:val="24"/>
                <w:lang w:bidi="ar"/>
              </w:rPr>
              <w:t>%</w:t>
            </w:r>
          </w:p>
        </w:tc>
      </w:tr>
      <w:bookmarkEnd w:id="248"/>
      <w:bookmarkEnd w:id="249"/>
      <w:bookmarkEnd w:id="250"/>
      <w:bookmarkEnd w:id="251"/>
    </w:tbl>
    <w:p>
      <w:pPr>
        <w:pStyle w:val="4"/>
        <w:keepNext w:val="0"/>
        <w:keepLines w:val="0"/>
        <w:widowControl w:val="0"/>
        <w:spacing w:before="0" w:after="0" w:line="560" w:lineRule="exact"/>
        <w:ind w:firstLine="562" w:firstLineChars="200"/>
        <w:rPr>
          <w:rFonts w:ascii="仿宋" w:hAnsi="仿宋" w:eastAsia="仿宋"/>
          <w:sz w:val="28"/>
        </w:rPr>
      </w:pPr>
      <w:bookmarkStart w:id="252" w:name="_Toc20689"/>
      <w:bookmarkStart w:id="253" w:name="_Toc21299"/>
      <w:bookmarkStart w:id="254" w:name="_Toc411503820"/>
      <w:bookmarkStart w:id="255" w:name="_Toc9936"/>
      <w:bookmarkStart w:id="256" w:name="_Toc6492"/>
      <w:bookmarkStart w:id="257" w:name="_Toc28744"/>
      <w:bookmarkStart w:id="258" w:name="_Toc8758"/>
      <w:bookmarkStart w:id="259" w:name="_Toc1313"/>
      <w:bookmarkStart w:id="260" w:name="_Toc31220_WPSOffice_Level2"/>
      <w:bookmarkStart w:id="261" w:name="_Toc9198_WPSOffice_Level2"/>
      <w:bookmarkStart w:id="262" w:name="_Toc29722"/>
      <w:bookmarkStart w:id="263" w:name="_Toc25524_WPSOffice_Level2"/>
      <w:bookmarkStart w:id="264" w:name="_Toc28114_WPSOffice_Level2"/>
      <w:bookmarkStart w:id="265" w:name="_Toc370"/>
      <w:bookmarkStart w:id="266" w:name="_Toc23289"/>
      <w:bookmarkStart w:id="267" w:name="_Toc14818_WPSOffice_Level2"/>
      <w:bookmarkStart w:id="268" w:name="_Toc23835"/>
      <w:bookmarkStart w:id="269" w:name="_Toc32103_WPSOffice_Level2"/>
      <w:bookmarkStart w:id="270" w:name="_Toc19843_WPSOffice_Level2"/>
      <w:bookmarkStart w:id="271" w:name="_Toc26873_WPSOffice_Level2"/>
      <w:bookmarkStart w:id="272" w:name="_Toc16469"/>
      <w:r>
        <w:rPr>
          <w:rFonts w:hint="eastAsia" w:ascii="仿宋" w:hAnsi="仿宋" w:eastAsia="仿宋"/>
          <w:sz w:val="28"/>
        </w:rPr>
        <w:t>（二）绩效评价指标分析</w:t>
      </w:r>
      <w:bookmarkEnd w:id="252"/>
      <w:bookmarkEnd w:id="253"/>
      <w:bookmarkEnd w:id="254"/>
      <w:bookmarkEnd w:id="255"/>
      <w:bookmarkEnd w:id="256"/>
      <w:bookmarkEnd w:id="257"/>
      <w:bookmarkEnd w:id="258"/>
    </w:p>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Pr>
        <w:pStyle w:val="70"/>
        <w:snapToGrid w:val="0"/>
        <w:spacing w:before="0" w:after="0" w:line="560" w:lineRule="exact"/>
        <w:ind w:firstLine="560"/>
        <w:rPr>
          <w:rFonts w:ascii="仿宋" w:hAnsi="仿宋" w:eastAsia="仿宋"/>
          <w:b w:val="0"/>
        </w:rPr>
      </w:pPr>
      <w:bookmarkStart w:id="273" w:name="_Toc8029"/>
      <w:bookmarkStart w:id="274" w:name="_Toc14982"/>
      <w:bookmarkStart w:id="275" w:name="_Toc21311"/>
      <w:bookmarkStart w:id="276" w:name="_Toc17941"/>
      <w:r>
        <w:rPr>
          <w:rFonts w:hint="eastAsia" w:ascii="仿宋" w:hAnsi="仿宋" w:eastAsia="仿宋"/>
          <w:b w:val="0"/>
        </w:rPr>
        <w:t>1、履职效能分析</w:t>
      </w:r>
    </w:p>
    <w:p>
      <w:pPr>
        <w:widowControl w:val="0"/>
        <w:adjustRightInd w:val="0"/>
        <w:snapToGrid w:val="0"/>
        <w:spacing w:line="560" w:lineRule="exact"/>
        <w:ind w:firstLine="560" w:firstLineChars="200"/>
      </w:pPr>
      <w:bookmarkStart w:id="277" w:name="_Toc18477"/>
      <w:r>
        <w:rPr>
          <w:rFonts w:hint="eastAsia"/>
        </w:rPr>
        <w:t>履职效能分别从“目标任务设定、目标任务实现情况、核心业务、基础管理”四个方面进行分析，共设置4个二级指标12个三级指标。履职效能指标分值40分，</w:t>
      </w:r>
      <w:bookmarkEnd w:id="277"/>
      <w:r>
        <w:rPr>
          <w:rFonts w:hint="eastAsia"/>
        </w:rPr>
        <w:t>实际得分39分，得分率97.50%。各分项指标得分情况如表4-1所示：</w:t>
      </w:r>
    </w:p>
    <w:p>
      <w:pPr>
        <w:widowControl w:val="0"/>
        <w:spacing w:after="76" w:afterLines="20" w:line="560" w:lineRule="exact"/>
        <w:jc w:val="center"/>
      </w:pPr>
      <w:r>
        <w:rPr>
          <w:rFonts w:hint="eastAsia"/>
          <w:b/>
          <w:bCs/>
        </w:rPr>
        <w:t>表4-1履职效能指标得分情况</w:t>
      </w:r>
    </w:p>
    <w:tbl>
      <w:tblPr>
        <w:tblStyle w:val="19"/>
        <w:tblW w:w="5000" w:type="pct"/>
        <w:tblInd w:w="0" w:type="dxa"/>
        <w:shd w:val="clear" w:color="auto" w:fill="FFFFFF" w:themeFill="background1"/>
        <w:tblLayout w:type="fixed"/>
        <w:tblCellMar>
          <w:top w:w="0" w:type="dxa"/>
          <w:left w:w="108" w:type="dxa"/>
          <w:bottom w:w="0" w:type="dxa"/>
          <w:right w:w="108" w:type="dxa"/>
        </w:tblCellMar>
      </w:tblPr>
      <w:tblGrid>
        <w:gridCol w:w="2022"/>
        <w:gridCol w:w="4148"/>
        <w:gridCol w:w="732"/>
        <w:gridCol w:w="766"/>
        <w:gridCol w:w="1052"/>
      </w:tblGrid>
      <w:tr>
        <w:tblPrEx>
          <w:shd w:val="clear" w:color="auto" w:fill="FFFFFF" w:themeFill="background1"/>
          <w:tblCellMar>
            <w:top w:w="0" w:type="dxa"/>
            <w:left w:w="108" w:type="dxa"/>
            <w:bottom w:w="0" w:type="dxa"/>
            <w:right w:w="108" w:type="dxa"/>
          </w:tblCellMar>
        </w:tblPrEx>
        <w:trPr>
          <w:trHeight w:val="454" w:hRule="atLeast"/>
          <w:tblHeader/>
        </w:trPr>
        <w:tc>
          <w:tcPr>
            <w:tcW w:w="115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b/>
                <w:bCs/>
                <w:color w:val="000000"/>
                <w:sz w:val="24"/>
                <w:szCs w:val="24"/>
              </w:rPr>
            </w:pPr>
            <w:r>
              <w:rPr>
                <w:rFonts w:hint="eastAsia"/>
                <w:b/>
                <w:bCs/>
                <w:color w:val="000000"/>
                <w:kern w:val="0"/>
                <w:sz w:val="24"/>
                <w:szCs w:val="24"/>
              </w:rPr>
              <w:t>二级指标</w:t>
            </w: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b/>
                <w:bCs/>
                <w:color w:val="000000"/>
                <w:sz w:val="24"/>
                <w:szCs w:val="24"/>
              </w:rPr>
            </w:pPr>
            <w:r>
              <w:rPr>
                <w:rFonts w:hint="eastAsia"/>
                <w:b/>
                <w:bCs/>
                <w:color w:val="000000"/>
                <w:kern w:val="0"/>
                <w:sz w:val="24"/>
                <w:szCs w:val="24"/>
              </w:rPr>
              <w:t>三级指标</w:t>
            </w:r>
          </w:p>
        </w:tc>
        <w:tc>
          <w:tcPr>
            <w:tcW w:w="4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b/>
                <w:bCs/>
                <w:color w:val="000000"/>
                <w:sz w:val="24"/>
                <w:szCs w:val="24"/>
              </w:rPr>
            </w:pPr>
            <w:r>
              <w:rPr>
                <w:rFonts w:hint="eastAsia"/>
                <w:b/>
                <w:bCs/>
                <w:color w:val="000000"/>
                <w:kern w:val="0"/>
                <w:sz w:val="24"/>
                <w:szCs w:val="24"/>
              </w:rPr>
              <w:t>分值</w:t>
            </w:r>
          </w:p>
        </w:tc>
        <w:tc>
          <w:tcPr>
            <w:tcW w:w="43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b/>
                <w:bCs/>
                <w:color w:val="000000"/>
                <w:sz w:val="24"/>
                <w:szCs w:val="24"/>
              </w:rPr>
            </w:pPr>
            <w:r>
              <w:rPr>
                <w:rFonts w:hint="eastAsia"/>
                <w:b/>
                <w:bCs/>
                <w:color w:val="000000"/>
                <w:kern w:val="0"/>
                <w:sz w:val="24"/>
                <w:szCs w:val="24"/>
              </w:rPr>
              <w:t>得分</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b/>
                <w:bCs/>
                <w:color w:val="000000"/>
                <w:kern w:val="0"/>
                <w:sz w:val="24"/>
                <w:szCs w:val="24"/>
              </w:rPr>
            </w:pPr>
            <w:r>
              <w:rPr>
                <w:rFonts w:hint="eastAsia"/>
                <w:b/>
                <w:bCs/>
                <w:color w:val="000000"/>
                <w:kern w:val="0"/>
                <w:sz w:val="24"/>
                <w:szCs w:val="24"/>
              </w:rPr>
              <w:t>得分率</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textAlignment w:val="center"/>
              <w:rPr>
                <w:color w:val="000000"/>
                <w:sz w:val="24"/>
                <w:szCs w:val="24"/>
              </w:rPr>
            </w:pPr>
            <w:r>
              <w:rPr>
                <w:rFonts w:hint="eastAsia"/>
                <w:color w:val="000000"/>
                <w:kern w:val="0"/>
                <w:sz w:val="24"/>
                <w:szCs w:val="24"/>
              </w:rPr>
              <w:t>A1目标任务设定</w:t>
            </w: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textAlignment w:val="center"/>
              <w:rPr>
                <w:color w:val="000000"/>
                <w:sz w:val="24"/>
                <w:szCs w:val="24"/>
              </w:rPr>
            </w:pPr>
            <w:r>
              <w:rPr>
                <w:rFonts w:hint="eastAsia"/>
                <w:color w:val="000000"/>
                <w:kern w:val="0"/>
                <w:sz w:val="24"/>
                <w:szCs w:val="24"/>
              </w:rPr>
              <w:t>A1-1目标任务设定情况</w:t>
            </w:r>
          </w:p>
        </w:tc>
        <w:tc>
          <w:tcPr>
            <w:tcW w:w="4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3</w:t>
            </w:r>
          </w:p>
        </w:tc>
        <w:tc>
          <w:tcPr>
            <w:tcW w:w="43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textAlignment w:val="center"/>
              <w:rPr>
                <w:color w:val="000000"/>
                <w:sz w:val="24"/>
                <w:szCs w:val="24"/>
              </w:rPr>
            </w:pPr>
            <w:r>
              <w:rPr>
                <w:rFonts w:hint="eastAsia"/>
                <w:color w:val="000000"/>
                <w:sz w:val="24"/>
                <w:szCs w:val="24"/>
              </w:rPr>
              <w:t>2</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66.67%</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restart"/>
            <w:tcBorders>
              <w:top w:val="single" w:color="000000" w:sz="4" w:space="0"/>
              <w:left w:val="single" w:color="000000" w:sz="4" w:space="0"/>
              <w:right w:val="single" w:color="000000" w:sz="4" w:space="0"/>
            </w:tcBorders>
            <w:shd w:val="clear" w:color="auto" w:fill="FFFFFF" w:themeFill="background1"/>
            <w:vAlign w:val="center"/>
          </w:tcPr>
          <w:p>
            <w:pPr>
              <w:spacing w:line="300" w:lineRule="exact"/>
              <w:jc w:val="left"/>
              <w:textAlignment w:val="center"/>
              <w:rPr>
                <w:color w:val="000000"/>
                <w:sz w:val="24"/>
                <w:szCs w:val="24"/>
              </w:rPr>
            </w:pPr>
            <w:r>
              <w:rPr>
                <w:rFonts w:hint="eastAsia"/>
                <w:color w:val="000000"/>
                <w:kern w:val="0"/>
                <w:sz w:val="24"/>
                <w:szCs w:val="24"/>
              </w:rPr>
              <w:t>A2目标任务实现情况</w:t>
            </w: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sz w:val="24"/>
                <w:szCs w:val="24"/>
              </w:rPr>
            </w:pPr>
            <w:r>
              <w:rPr>
                <w:rFonts w:hint="eastAsia"/>
                <w:color w:val="000000"/>
                <w:kern w:val="0"/>
                <w:sz w:val="24"/>
                <w:szCs w:val="24"/>
              </w:rPr>
              <w:t>A2-1金保工程信息化建设任务完成情况</w:t>
            </w:r>
          </w:p>
        </w:tc>
        <w:tc>
          <w:tcPr>
            <w:tcW w:w="7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3</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3</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continue"/>
            <w:tcBorders>
              <w:left w:val="single" w:color="000000" w:sz="4" w:space="0"/>
              <w:right w:val="single" w:color="000000" w:sz="4" w:space="0"/>
            </w:tcBorders>
            <w:shd w:val="clear" w:color="auto" w:fill="FFFFFF" w:themeFill="background1"/>
            <w:vAlign w:val="center"/>
          </w:tcPr>
          <w:p>
            <w:pPr>
              <w:spacing w:line="300" w:lineRule="exact"/>
              <w:jc w:val="left"/>
              <w:rPr>
                <w:color w:val="000000"/>
                <w:sz w:val="24"/>
                <w:szCs w:val="24"/>
              </w:rPr>
            </w:pP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sz w:val="24"/>
                <w:szCs w:val="24"/>
              </w:rPr>
            </w:pPr>
            <w:r>
              <w:rPr>
                <w:rFonts w:hint="eastAsia"/>
                <w:color w:val="000000"/>
                <w:kern w:val="0"/>
                <w:sz w:val="24"/>
                <w:szCs w:val="24"/>
              </w:rPr>
              <w:t>A2-2</w:t>
            </w:r>
            <w:r>
              <w:rPr>
                <w:rFonts w:hint="eastAsia"/>
                <w:kern w:val="0"/>
                <w:sz w:val="24"/>
                <w:szCs w:val="24"/>
              </w:rPr>
              <w:t>仲裁庭实体化建设任务完成情况</w:t>
            </w:r>
          </w:p>
        </w:tc>
        <w:tc>
          <w:tcPr>
            <w:tcW w:w="7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3</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3</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continue"/>
            <w:tcBorders>
              <w:left w:val="single" w:color="000000" w:sz="4" w:space="0"/>
              <w:right w:val="single" w:color="000000" w:sz="4" w:space="0"/>
            </w:tcBorders>
            <w:shd w:val="clear" w:color="auto" w:fill="FFFFFF" w:themeFill="background1"/>
            <w:vAlign w:val="center"/>
          </w:tcPr>
          <w:p>
            <w:pPr>
              <w:spacing w:line="300" w:lineRule="exact"/>
              <w:jc w:val="left"/>
              <w:textAlignment w:val="center"/>
              <w:rPr>
                <w:color w:val="000000"/>
                <w:kern w:val="0"/>
                <w:sz w:val="24"/>
                <w:szCs w:val="24"/>
              </w:rPr>
            </w:pP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kern w:val="0"/>
                <w:sz w:val="24"/>
                <w:szCs w:val="24"/>
              </w:rPr>
            </w:pPr>
            <w:r>
              <w:rPr>
                <w:rFonts w:hint="eastAsia"/>
                <w:color w:val="000000"/>
                <w:kern w:val="0"/>
                <w:sz w:val="24"/>
                <w:szCs w:val="24"/>
              </w:rPr>
              <w:t>A2-3中等职业教育免学费与助学金补助工作完成情况</w:t>
            </w:r>
          </w:p>
        </w:tc>
        <w:tc>
          <w:tcPr>
            <w:tcW w:w="7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4</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4</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continue"/>
            <w:tcBorders>
              <w:left w:val="single" w:color="000000" w:sz="4" w:space="0"/>
              <w:right w:val="single" w:color="000000" w:sz="4" w:space="0"/>
            </w:tcBorders>
            <w:shd w:val="clear" w:color="auto" w:fill="FFFFFF" w:themeFill="background1"/>
            <w:vAlign w:val="center"/>
          </w:tcPr>
          <w:p>
            <w:pPr>
              <w:spacing w:line="300" w:lineRule="exact"/>
              <w:jc w:val="left"/>
              <w:textAlignment w:val="center"/>
              <w:rPr>
                <w:color w:val="000000"/>
                <w:kern w:val="0"/>
                <w:sz w:val="24"/>
                <w:szCs w:val="24"/>
              </w:rPr>
            </w:pP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kern w:val="0"/>
                <w:sz w:val="24"/>
                <w:szCs w:val="24"/>
              </w:rPr>
            </w:pPr>
            <w:r>
              <w:rPr>
                <w:rFonts w:hint="eastAsia"/>
                <w:color w:val="000000"/>
                <w:kern w:val="0"/>
                <w:sz w:val="24"/>
                <w:szCs w:val="24"/>
              </w:rPr>
              <w:t>A2-4</w:t>
            </w:r>
            <w:r>
              <w:rPr>
                <w:rFonts w:hint="eastAsia"/>
                <w:kern w:val="0"/>
                <w:sz w:val="24"/>
                <w:szCs w:val="24"/>
              </w:rPr>
              <w:t>职业技能提升工作完成情况</w:t>
            </w:r>
          </w:p>
        </w:tc>
        <w:tc>
          <w:tcPr>
            <w:tcW w:w="7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4</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4</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continue"/>
            <w:tcBorders>
              <w:left w:val="single" w:color="000000" w:sz="4" w:space="0"/>
              <w:right w:val="single" w:color="000000" w:sz="4" w:space="0"/>
            </w:tcBorders>
            <w:shd w:val="clear" w:color="auto" w:fill="FFFFFF" w:themeFill="background1"/>
            <w:vAlign w:val="center"/>
          </w:tcPr>
          <w:p>
            <w:pPr>
              <w:spacing w:line="300" w:lineRule="exact"/>
              <w:jc w:val="left"/>
              <w:textAlignment w:val="center"/>
              <w:rPr>
                <w:color w:val="000000"/>
                <w:kern w:val="0"/>
                <w:sz w:val="24"/>
                <w:szCs w:val="24"/>
              </w:rPr>
            </w:pP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kern w:val="0"/>
                <w:sz w:val="24"/>
                <w:szCs w:val="24"/>
              </w:rPr>
            </w:pPr>
            <w:r>
              <w:rPr>
                <w:rFonts w:hint="eastAsia"/>
                <w:color w:val="000000"/>
                <w:kern w:val="0"/>
                <w:sz w:val="24"/>
                <w:szCs w:val="24"/>
              </w:rPr>
              <w:t>A2-5</w:t>
            </w:r>
            <w:r>
              <w:rPr>
                <w:rFonts w:hint="eastAsia"/>
                <w:kern w:val="0"/>
                <w:sz w:val="24"/>
                <w:szCs w:val="24"/>
              </w:rPr>
              <w:t>人事人才建设工作完成情况</w:t>
            </w:r>
          </w:p>
        </w:tc>
        <w:tc>
          <w:tcPr>
            <w:tcW w:w="7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4</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4</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continue"/>
            <w:tcBorders>
              <w:left w:val="single" w:color="000000" w:sz="4" w:space="0"/>
              <w:right w:val="single" w:color="000000" w:sz="4" w:space="0"/>
            </w:tcBorders>
            <w:shd w:val="clear" w:color="auto" w:fill="FFFFFF" w:themeFill="background1"/>
            <w:vAlign w:val="center"/>
          </w:tcPr>
          <w:p>
            <w:pPr>
              <w:spacing w:line="300" w:lineRule="exact"/>
              <w:jc w:val="left"/>
              <w:textAlignment w:val="center"/>
              <w:rPr>
                <w:color w:val="000000"/>
                <w:kern w:val="0"/>
                <w:sz w:val="24"/>
                <w:szCs w:val="24"/>
              </w:rPr>
            </w:pP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kern w:val="0"/>
                <w:sz w:val="24"/>
                <w:szCs w:val="24"/>
              </w:rPr>
            </w:pPr>
            <w:r>
              <w:rPr>
                <w:rFonts w:hint="eastAsia"/>
                <w:color w:val="000000"/>
                <w:kern w:val="0"/>
                <w:sz w:val="24"/>
                <w:szCs w:val="24"/>
              </w:rPr>
              <w:t>A2-6</w:t>
            </w:r>
            <w:r>
              <w:rPr>
                <w:rFonts w:hint="eastAsia"/>
                <w:kern w:val="0"/>
                <w:sz w:val="24"/>
                <w:szCs w:val="24"/>
              </w:rPr>
              <w:t>劳动维权工作完成情况</w:t>
            </w:r>
          </w:p>
        </w:tc>
        <w:tc>
          <w:tcPr>
            <w:tcW w:w="7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3</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3</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restart"/>
            <w:tcBorders>
              <w:top w:val="single" w:color="000000" w:sz="4" w:space="0"/>
              <w:left w:val="single" w:color="000000" w:sz="4" w:space="0"/>
              <w:right w:val="single" w:color="000000" w:sz="4" w:space="0"/>
            </w:tcBorders>
            <w:shd w:val="clear" w:color="auto" w:fill="FFFFFF" w:themeFill="background1"/>
            <w:vAlign w:val="center"/>
          </w:tcPr>
          <w:p>
            <w:pPr>
              <w:spacing w:line="300" w:lineRule="exact"/>
              <w:jc w:val="left"/>
              <w:textAlignment w:val="center"/>
              <w:rPr>
                <w:color w:val="000000"/>
                <w:sz w:val="24"/>
                <w:szCs w:val="24"/>
              </w:rPr>
            </w:pPr>
            <w:r>
              <w:rPr>
                <w:rFonts w:hint="eastAsia"/>
                <w:color w:val="000000"/>
                <w:kern w:val="0"/>
                <w:sz w:val="24"/>
                <w:szCs w:val="24"/>
              </w:rPr>
              <w:t>A3核心业务</w:t>
            </w: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sz w:val="24"/>
                <w:szCs w:val="24"/>
              </w:rPr>
            </w:pPr>
            <w:r>
              <w:rPr>
                <w:rFonts w:hint="eastAsia"/>
                <w:color w:val="000000"/>
                <w:kern w:val="0"/>
                <w:sz w:val="24"/>
                <w:szCs w:val="24"/>
              </w:rPr>
              <w:t>A3-1就业创业促进工作完成情况</w:t>
            </w:r>
          </w:p>
        </w:tc>
        <w:tc>
          <w:tcPr>
            <w:tcW w:w="7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4</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4</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continue"/>
            <w:tcBorders>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rPr>
                <w:color w:val="000000"/>
                <w:sz w:val="24"/>
                <w:szCs w:val="24"/>
              </w:rPr>
            </w:pP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sz w:val="24"/>
                <w:szCs w:val="24"/>
              </w:rPr>
            </w:pPr>
            <w:r>
              <w:rPr>
                <w:rFonts w:hint="eastAsia"/>
                <w:color w:val="000000"/>
                <w:kern w:val="0"/>
                <w:sz w:val="24"/>
                <w:szCs w:val="24"/>
              </w:rPr>
              <w:t>A3-2</w:t>
            </w:r>
            <w:r>
              <w:rPr>
                <w:rFonts w:hint="eastAsia"/>
                <w:kern w:val="0"/>
                <w:sz w:val="24"/>
                <w:szCs w:val="24"/>
              </w:rPr>
              <w:t>社会保险推进工作完成情况</w:t>
            </w:r>
          </w:p>
        </w:tc>
        <w:tc>
          <w:tcPr>
            <w:tcW w:w="7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4</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4</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textAlignment w:val="center"/>
              <w:rPr>
                <w:color w:val="000000"/>
                <w:sz w:val="24"/>
                <w:szCs w:val="24"/>
              </w:rPr>
            </w:pPr>
            <w:r>
              <w:rPr>
                <w:rFonts w:hint="eastAsia"/>
                <w:color w:val="000000"/>
                <w:kern w:val="0"/>
                <w:sz w:val="24"/>
                <w:szCs w:val="24"/>
              </w:rPr>
              <w:t>A4基础管理</w:t>
            </w: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sz w:val="24"/>
                <w:szCs w:val="24"/>
              </w:rPr>
            </w:pPr>
            <w:r>
              <w:rPr>
                <w:rFonts w:hint="eastAsia"/>
                <w:color w:val="000000"/>
                <w:kern w:val="0"/>
                <w:sz w:val="24"/>
                <w:szCs w:val="24"/>
              </w:rPr>
              <w:t>A4-1依法行政</w:t>
            </w:r>
          </w:p>
        </w:tc>
        <w:tc>
          <w:tcPr>
            <w:tcW w:w="7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2</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2</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rPr>
                <w:color w:val="000000"/>
                <w:sz w:val="24"/>
                <w:szCs w:val="24"/>
              </w:rPr>
            </w:pP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sz w:val="24"/>
                <w:szCs w:val="24"/>
              </w:rPr>
            </w:pPr>
            <w:r>
              <w:rPr>
                <w:rFonts w:hint="eastAsia"/>
                <w:color w:val="000000"/>
                <w:kern w:val="0"/>
                <w:sz w:val="24"/>
                <w:szCs w:val="24"/>
              </w:rPr>
              <w:t>A4-2管理制度健全性</w:t>
            </w:r>
          </w:p>
        </w:tc>
        <w:tc>
          <w:tcPr>
            <w:tcW w:w="7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2</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2</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r>
        <w:tblPrEx>
          <w:shd w:val="clear" w:color="auto" w:fill="FFFFFF" w:themeFill="background1"/>
          <w:tblCellMar>
            <w:top w:w="0" w:type="dxa"/>
            <w:left w:w="108" w:type="dxa"/>
            <w:bottom w:w="0" w:type="dxa"/>
            <w:right w:w="108" w:type="dxa"/>
          </w:tblCellMar>
        </w:tblPrEx>
        <w:trPr>
          <w:trHeight w:val="454" w:hRule="atLeast"/>
        </w:trPr>
        <w:tc>
          <w:tcPr>
            <w:tcW w:w="115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rPr>
                <w:color w:val="000000"/>
                <w:sz w:val="24"/>
                <w:szCs w:val="24"/>
              </w:rPr>
            </w:pPr>
          </w:p>
        </w:tc>
        <w:tc>
          <w:tcPr>
            <w:tcW w:w="23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left"/>
              <w:textAlignment w:val="center"/>
              <w:rPr>
                <w:color w:val="000000"/>
                <w:sz w:val="24"/>
                <w:szCs w:val="24"/>
              </w:rPr>
            </w:pPr>
            <w:r>
              <w:rPr>
                <w:rFonts w:hint="eastAsia"/>
                <w:color w:val="000000"/>
                <w:kern w:val="0"/>
                <w:sz w:val="24"/>
                <w:szCs w:val="24"/>
              </w:rPr>
              <w:t>A4-3制度执行有效性</w:t>
            </w:r>
          </w:p>
        </w:tc>
        <w:tc>
          <w:tcPr>
            <w:tcW w:w="7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kern w:val="0"/>
                <w:sz w:val="24"/>
                <w:szCs w:val="24"/>
              </w:rPr>
            </w:pPr>
            <w:r>
              <w:rPr>
                <w:rFonts w:hint="eastAsia"/>
                <w:kern w:val="0"/>
                <w:sz w:val="24"/>
                <w:szCs w:val="24"/>
              </w:rPr>
              <w:t>4</w:t>
            </w:r>
          </w:p>
        </w:tc>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color w:val="000000"/>
                <w:sz w:val="24"/>
                <w:szCs w:val="24"/>
              </w:rPr>
            </w:pPr>
            <w:r>
              <w:rPr>
                <w:rFonts w:hint="eastAsia"/>
                <w:kern w:val="0"/>
                <w:sz w:val="24"/>
                <w:szCs w:val="24"/>
              </w:rPr>
              <w:t>4</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00" w:lineRule="exact"/>
              <w:jc w:val="center"/>
              <w:textAlignment w:val="center"/>
              <w:rPr>
                <w:color w:val="000000"/>
                <w:sz w:val="24"/>
                <w:szCs w:val="24"/>
              </w:rPr>
            </w:pPr>
            <w:r>
              <w:rPr>
                <w:rFonts w:hint="eastAsia"/>
                <w:color w:val="000000"/>
                <w:sz w:val="24"/>
                <w:szCs w:val="24"/>
              </w:rPr>
              <w:t>100%</w:t>
            </w:r>
          </w:p>
        </w:tc>
      </w:tr>
    </w:tbl>
    <w:p>
      <w:pPr>
        <w:widowControl w:val="0"/>
        <w:spacing w:line="560" w:lineRule="exact"/>
        <w:ind w:firstLine="562" w:firstLineChars="200"/>
        <w:outlineLvl w:val="3"/>
        <w:rPr>
          <w:b/>
        </w:rPr>
      </w:pPr>
      <w:r>
        <w:rPr>
          <w:rFonts w:hint="eastAsia"/>
          <w:b/>
        </w:rPr>
        <w:t>A1-1目标任务设定情况</w:t>
      </w:r>
    </w:p>
    <w:p>
      <w:pPr>
        <w:pStyle w:val="7"/>
        <w:widowControl w:val="0"/>
        <w:spacing w:line="560" w:lineRule="exact"/>
        <w:ind w:firstLine="560" w:firstLineChars="200"/>
        <w:rPr>
          <w:rFonts w:ascii="仿宋" w:eastAsia="仿宋"/>
          <w:sz w:val="28"/>
        </w:rPr>
      </w:pPr>
      <w:r>
        <w:rPr>
          <w:rFonts w:hint="eastAsia" w:ascii="仿宋" w:eastAsia="仿宋"/>
          <w:bCs/>
          <w:sz w:val="28"/>
        </w:rPr>
        <w:t>经评价组核实，运城市人力资源和社会保障局制定项目绩效目标（仲裁院实体化建设项目、工资审批和人事计划年报经费、劳动监察专项经费等6个项目），并报运城市财政局审批；绩效目标和年度工作任务符合部门“三定”方案确定的职责，工作目标清晰、可衡量，</w:t>
      </w:r>
      <w:r>
        <w:rPr>
          <w:rFonts w:hint="eastAsia" w:ascii="仿宋" w:eastAsia="仿宋"/>
          <w:sz w:val="28"/>
        </w:rPr>
        <w:t>与年度任务数或计划数相对应。但部分追加资金和专项资金未补充申报绩效目标，如中等职业教育免学费补助、中等职业教育助学金补助项目、“技能运城”建设工作经费、第一批职业技能提升资金修项目。</w:t>
      </w:r>
    </w:p>
    <w:p>
      <w:pPr>
        <w:pStyle w:val="7"/>
        <w:widowControl w:val="0"/>
        <w:spacing w:line="560" w:lineRule="exact"/>
        <w:ind w:left="560" w:leftChars="200"/>
        <w:rPr>
          <w:rFonts w:ascii="仿宋" w:eastAsia="仿宋"/>
          <w:bCs/>
          <w:kern w:val="0"/>
          <w:sz w:val="28"/>
        </w:rPr>
      </w:pPr>
      <w:r>
        <w:rPr>
          <w:rFonts w:hint="eastAsia" w:ascii="仿宋" w:eastAsia="仿宋"/>
          <w:bCs/>
          <w:kern w:val="0"/>
          <w:sz w:val="28"/>
        </w:rPr>
        <w:t>满分</w:t>
      </w:r>
      <w:r>
        <w:rPr>
          <w:rFonts w:hint="eastAsia"/>
          <w:bCs/>
          <w:kern w:val="0"/>
          <w:sz w:val="28"/>
        </w:rPr>
        <w:t>3</w:t>
      </w:r>
      <w:r>
        <w:rPr>
          <w:rFonts w:hint="eastAsia" w:ascii="仿宋" w:eastAsia="仿宋"/>
          <w:bCs/>
          <w:kern w:val="0"/>
          <w:sz w:val="28"/>
        </w:rPr>
        <w:t>分，根据绩效评价指标，本指标得分</w:t>
      </w:r>
      <w:r>
        <w:rPr>
          <w:rFonts w:hint="eastAsia" w:eastAsia="仿宋"/>
          <w:bCs/>
          <w:kern w:val="0"/>
          <w:sz w:val="28"/>
        </w:rPr>
        <w:t>2</w:t>
      </w:r>
      <w:r>
        <w:rPr>
          <w:rFonts w:hint="eastAsia" w:ascii="仿宋" w:eastAsia="仿宋"/>
          <w:bCs/>
          <w:kern w:val="0"/>
          <w:sz w:val="28"/>
        </w:rPr>
        <w:t>分，得分率</w:t>
      </w:r>
      <w:r>
        <w:rPr>
          <w:rFonts w:hint="eastAsia" w:eastAsia="仿宋"/>
          <w:bCs/>
          <w:kern w:val="0"/>
          <w:sz w:val="28"/>
        </w:rPr>
        <w:t>66.67</w:t>
      </w:r>
      <w:r>
        <w:rPr>
          <w:rFonts w:hint="eastAsia" w:ascii="仿宋" w:eastAsia="仿宋"/>
          <w:bCs/>
          <w:kern w:val="0"/>
          <w:sz w:val="28"/>
        </w:rPr>
        <w:t>%。</w:t>
      </w:r>
    </w:p>
    <w:p>
      <w:pPr>
        <w:pStyle w:val="7"/>
        <w:widowControl w:val="0"/>
        <w:spacing w:line="560" w:lineRule="exact"/>
        <w:ind w:left="560" w:leftChars="200"/>
        <w:rPr>
          <w:rFonts w:ascii="仿宋" w:eastAsia="仿宋"/>
          <w:sz w:val="28"/>
        </w:rPr>
      </w:pPr>
      <w:r>
        <w:rPr>
          <w:rFonts w:hint="eastAsia" w:ascii="仿宋" w:eastAsia="仿宋"/>
          <w:b/>
          <w:bCs/>
          <w:sz w:val="28"/>
        </w:rPr>
        <w:t>A2-1金保工程信息化建设任务完成情况</w:t>
      </w:r>
    </w:p>
    <w:p>
      <w:pPr>
        <w:pStyle w:val="7"/>
        <w:widowControl w:val="0"/>
        <w:spacing w:line="560" w:lineRule="exact"/>
        <w:ind w:firstLine="560" w:firstLineChars="200"/>
        <w:rPr>
          <w:rFonts w:ascii="仿宋" w:eastAsia="仿宋"/>
          <w:sz w:val="28"/>
        </w:rPr>
      </w:pPr>
      <w:r>
        <w:rPr>
          <w:rFonts w:hint="eastAsia" w:ascii="仿宋" w:eastAsia="仿宋"/>
          <w:sz w:val="28"/>
        </w:rPr>
        <w:t>建设维护各项保险、人事人才、公共就业服务、劳动监察、基金监督、联网监测等信息系统，构建统一规范的人力资源社会保障信息资源库，实现跨地区、跨部门的信息共享和业务协同，推进人社领域“全业务用卡”，实现人社服务事项应用场景实体社会保障卡和电子社保卡应用覆盖。项目单位通过该系统访问省人社厅信息平台，按照一定的应用目标和规则对运城市人力资源社会保障业务信息进行采集、加工、传输、检索等，并购置必要的安全设备，对网络安全登记进行测评和整改，保障网络安全运行。</w:t>
      </w:r>
    </w:p>
    <w:p>
      <w:pPr>
        <w:pStyle w:val="7"/>
        <w:widowControl w:val="0"/>
        <w:spacing w:line="560" w:lineRule="exact"/>
        <w:ind w:firstLine="560" w:firstLineChars="200"/>
        <w:rPr>
          <w:rFonts w:ascii="仿宋" w:eastAsia="仿宋"/>
          <w:sz w:val="28"/>
        </w:rPr>
      </w:pPr>
      <w:r>
        <w:rPr>
          <w:rFonts w:hint="eastAsia" w:ascii="仿宋" w:eastAsia="仿宋"/>
          <w:sz w:val="28"/>
        </w:rPr>
        <w:t>项目单位按计划完成金保工程信息化建设工作，具体为：金保工程信息化建设项目于2021年9月21日开始，2021年10月20日完工，项目实施内容：“金保工程”专网网络安全等级保护测评项目、专网网络安全整顿、专网机房硬件运维外包服务项目（服务内容包括：机房网络和安全系统维护、机房主机和储存系统维护、应用、数据库和中间件系统维护、视频会议系统维护、基础设施维护等）、网络安全威胁分析设备、数据专线业务、租用17条MSTP数字电路和1条裸光纤电路。</w:t>
      </w:r>
    </w:p>
    <w:p>
      <w:pPr>
        <w:adjustRightInd w:val="0"/>
        <w:snapToGrid w:val="0"/>
        <w:spacing w:line="560" w:lineRule="exact"/>
        <w:ind w:firstLine="560" w:firstLineChars="200"/>
        <w:rPr>
          <w:bCs/>
        </w:rPr>
      </w:pPr>
      <w:r>
        <w:rPr>
          <w:rFonts w:hint="eastAsia"/>
          <w:bCs/>
          <w:kern w:val="0"/>
        </w:rPr>
        <w:t>满分3分，根据绩效评价指标，本指标得分3分，得分率100%。</w:t>
      </w:r>
    </w:p>
    <w:p>
      <w:pPr>
        <w:adjustRightInd w:val="0"/>
        <w:snapToGrid w:val="0"/>
        <w:spacing w:line="560" w:lineRule="exact"/>
        <w:ind w:firstLine="562" w:firstLineChars="200"/>
        <w:rPr>
          <w:b/>
        </w:rPr>
      </w:pPr>
      <w:r>
        <w:rPr>
          <w:rFonts w:hint="eastAsia"/>
          <w:b/>
        </w:rPr>
        <w:t>A2-2仲裁庭实体化建设任务完成情况</w:t>
      </w:r>
    </w:p>
    <w:p>
      <w:pPr>
        <w:adjustRightInd w:val="0"/>
        <w:snapToGrid w:val="0"/>
        <w:spacing w:line="560" w:lineRule="exact"/>
        <w:ind w:firstLine="560" w:firstLineChars="200"/>
      </w:pPr>
      <w:r>
        <w:rPr>
          <w:rFonts w:hint="eastAsia"/>
          <w:bCs/>
        </w:rPr>
        <w:t>经评价组核实，项目单位已按照计划完成仲裁庭实体化建设工作，具体为：</w:t>
      </w:r>
    </w:p>
    <w:p>
      <w:pPr>
        <w:adjustRightInd w:val="0"/>
        <w:snapToGrid w:val="0"/>
        <w:spacing w:line="560" w:lineRule="exact"/>
        <w:ind w:firstLine="560" w:firstLineChars="200"/>
      </w:pPr>
      <w:r>
        <w:rPr>
          <w:rFonts w:hint="eastAsia"/>
        </w:rPr>
        <w:t>根据中央、省厅关于加强劳动人事争议处理效能建设意见的精神，项目单位设立接待立案庭、调解仲裁庭等，该项目于2021年8月开工，2021年10月完工并验收，具体明细如下：</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916"/>
        <w:gridCol w:w="1553"/>
        <w:gridCol w:w="155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086" w:type="dxa"/>
            <w:shd w:val="clear" w:color="auto" w:fill="auto"/>
            <w:vAlign w:val="center"/>
          </w:tcPr>
          <w:p>
            <w:pPr>
              <w:jc w:val="center"/>
              <w:rPr>
                <w:rFonts w:cs="Times New Roman"/>
                <w:b/>
                <w:bCs/>
                <w:kern w:val="0"/>
                <w:sz w:val="24"/>
                <w:szCs w:val="24"/>
              </w:rPr>
            </w:pPr>
            <w:r>
              <w:rPr>
                <w:rFonts w:cs="Times New Roman"/>
                <w:b/>
                <w:bCs/>
                <w:kern w:val="0"/>
                <w:sz w:val="24"/>
                <w:szCs w:val="24"/>
              </w:rPr>
              <w:t>项目名称</w:t>
            </w:r>
          </w:p>
        </w:tc>
        <w:tc>
          <w:tcPr>
            <w:tcW w:w="916" w:type="dxa"/>
            <w:shd w:val="clear" w:color="auto" w:fill="auto"/>
            <w:vAlign w:val="center"/>
          </w:tcPr>
          <w:p>
            <w:pPr>
              <w:jc w:val="center"/>
              <w:rPr>
                <w:rFonts w:cs="Times New Roman"/>
                <w:b/>
                <w:bCs/>
                <w:kern w:val="0"/>
                <w:sz w:val="24"/>
                <w:szCs w:val="24"/>
              </w:rPr>
            </w:pPr>
            <w:r>
              <w:rPr>
                <w:rFonts w:cs="Times New Roman"/>
                <w:b/>
                <w:bCs/>
                <w:kern w:val="0"/>
                <w:sz w:val="24"/>
                <w:szCs w:val="24"/>
              </w:rPr>
              <w:t>数量</w:t>
            </w:r>
          </w:p>
        </w:tc>
        <w:tc>
          <w:tcPr>
            <w:tcW w:w="1553" w:type="dxa"/>
            <w:shd w:val="clear" w:color="auto" w:fill="auto"/>
            <w:vAlign w:val="center"/>
          </w:tcPr>
          <w:p>
            <w:pPr>
              <w:jc w:val="center"/>
              <w:rPr>
                <w:rFonts w:cs="Times New Roman"/>
                <w:b/>
                <w:bCs/>
                <w:kern w:val="0"/>
                <w:sz w:val="24"/>
                <w:szCs w:val="24"/>
              </w:rPr>
            </w:pPr>
            <w:r>
              <w:rPr>
                <w:rFonts w:cs="Times New Roman"/>
                <w:b/>
                <w:bCs/>
                <w:kern w:val="0"/>
                <w:sz w:val="24"/>
                <w:szCs w:val="24"/>
              </w:rPr>
              <w:t>单价(元)</w:t>
            </w:r>
          </w:p>
        </w:tc>
        <w:tc>
          <w:tcPr>
            <w:tcW w:w="1553" w:type="dxa"/>
            <w:shd w:val="clear" w:color="auto" w:fill="auto"/>
            <w:vAlign w:val="center"/>
          </w:tcPr>
          <w:p>
            <w:pPr>
              <w:jc w:val="center"/>
              <w:rPr>
                <w:rFonts w:cs="Times New Roman"/>
                <w:b/>
                <w:bCs/>
                <w:kern w:val="0"/>
                <w:sz w:val="24"/>
                <w:szCs w:val="24"/>
              </w:rPr>
            </w:pPr>
            <w:r>
              <w:rPr>
                <w:rFonts w:cs="Times New Roman"/>
                <w:b/>
                <w:bCs/>
                <w:kern w:val="0"/>
                <w:sz w:val="24"/>
                <w:szCs w:val="24"/>
              </w:rPr>
              <w:t>小计(元)</w:t>
            </w:r>
          </w:p>
        </w:tc>
        <w:tc>
          <w:tcPr>
            <w:tcW w:w="1414" w:type="dxa"/>
            <w:shd w:val="clear" w:color="auto" w:fill="auto"/>
            <w:vAlign w:val="center"/>
          </w:tcPr>
          <w:p>
            <w:pPr>
              <w:jc w:val="center"/>
              <w:rPr>
                <w:rFonts w:cs="Times New Roman"/>
                <w:b/>
                <w:bCs/>
                <w:kern w:val="0"/>
                <w:sz w:val="24"/>
                <w:szCs w:val="24"/>
              </w:rPr>
            </w:pPr>
            <w:r>
              <w:rPr>
                <w:rFonts w:cs="Times New Roman"/>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shd w:val="clear" w:color="auto" w:fill="auto"/>
            <w:vAlign w:val="center"/>
          </w:tcPr>
          <w:p>
            <w:pPr>
              <w:jc w:val="left"/>
              <w:rPr>
                <w:rFonts w:cs="Times New Roman"/>
                <w:kern w:val="0"/>
                <w:sz w:val="24"/>
                <w:szCs w:val="24"/>
              </w:rPr>
            </w:pPr>
            <w:r>
              <w:rPr>
                <w:rFonts w:cs="Times New Roman"/>
                <w:kern w:val="0"/>
                <w:sz w:val="24"/>
                <w:szCs w:val="24"/>
              </w:rPr>
              <w:t>室内装修改造</w:t>
            </w:r>
          </w:p>
        </w:tc>
        <w:tc>
          <w:tcPr>
            <w:tcW w:w="916" w:type="dxa"/>
            <w:shd w:val="clear" w:color="auto" w:fill="auto"/>
            <w:vAlign w:val="center"/>
          </w:tcPr>
          <w:p>
            <w:pPr>
              <w:jc w:val="center"/>
              <w:rPr>
                <w:rFonts w:cs="Times New Roman"/>
                <w:kern w:val="0"/>
                <w:sz w:val="24"/>
                <w:szCs w:val="24"/>
              </w:rPr>
            </w:pPr>
          </w:p>
        </w:tc>
        <w:tc>
          <w:tcPr>
            <w:tcW w:w="1553" w:type="dxa"/>
            <w:shd w:val="clear" w:color="auto" w:fill="auto"/>
            <w:vAlign w:val="center"/>
          </w:tcPr>
          <w:p>
            <w:pPr>
              <w:jc w:val="center"/>
              <w:rPr>
                <w:rFonts w:cs="Times New Roman"/>
                <w:kern w:val="0"/>
                <w:sz w:val="24"/>
                <w:szCs w:val="24"/>
              </w:rPr>
            </w:pP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27906</w:t>
            </w:r>
          </w:p>
        </w:tc>
        <w:tc>
          <w:tcPr>
            <w:tcW w:w="1414" w:type="dxa"/>
            <w:shd w:val="clear" w:color="auto" w:fill="auto"/>
            <w:vAlign w:val="center"/>
          </w:tcPr>
          <w:p>
            <w:pPr>
              <w:jc w:val="center"/>
              <w:rPr>
                <w:rFonts w:cs="Times New Roman"/>
                <w:kern w:val="0"/>
                <w:sz w:val="24"/>
                <w:szCs w:val="24"/>
              </w:rPr>
            </w:pPr>
            <w:r>
              <w:rPr>
                <w:rFonts w:cs="Times New Roman"/>
                <w:kern w:val="0"/>
                <w:sz w:val="24"/>
                <w:szCs w:val="24"/>
              </w:rPr>
              <w:t>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仲裁员专用桌</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1个</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4500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4500</w:t>
            </w:r>
          </w:p>
        </w:tc>
        <w:tc>
          <w:tcPr>
            <w:tcW w:w="1414" w:type="dxa"/>
            <w:vMerge w:val="restart"/>
            <w:shd w:val="clear" w:color="auto" w:fill="auto"/>
            <w:vAlign w:val="center"/>
          </w:tcPr>
          <w:p>
            <w:pPr>
              <w:jc w:val="center"/>
              <w:rPr>
                <w:rFonts w:cs="Times New Roman"/>
                <w:kern w:val="0"/>
                <w:sz w:val="24"/>
                <w:szCs w:val="24"/>
              </w:rPr>
            </w:pPr>
            <w:r>
              <w:rPr>
                <w:rFonts w:cs="Times New Roman"/>
                <w:kern w:val="0"/>
                <w:sz w:val="24"/>
                <w:szCs w:val="24"/>
              </w:rPr>
              <w:t>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sz w:val="24"/>
                <w:szCs w:val="24"/>
              </w:rPr>
            </w:pPr>
            <w:r>
              <w:rPr>
                <w:rFonts w:cs="Times New Roman"/>
                <w:sz w:val="24"/>
                <w:szCs w:val="24"/>
              </w:rPr>
              <w:t>首席仲裁员专用椅子</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1个</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1860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1860</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仲裁员专用椅子</w:t>
            </w:r>
          </w:p>
        </w:tc>
        <w:tc>
          <w:tcPr>
            <w:tcW w:w="916" w:type="dxa"/>
            <w:shd w:val="clear" w:color="auto" w:fill="auto"/>
            <w:vAlign w:val="center"/>
          </w:tcPr>
          <w:p>
            <w:pPr>
              <w:jc w:val="center"/>
              <w:rPr>
                <w:rFonts w:cs="Times New Roman"/>
                <w:sz w:val="24"/>
                <w:szCs w:val="24"/>
              </w:rPr>
            </w:pPr>
            <w:r>
              <w:rPr>
                <w:rFonts w:cs="Times New Roman"/>
                <w:kern w:val="0"/>
                <w:sz w:val="24"/>
                <w:szCs w:val="24"/>
              </w:rPr>
              <w:t>2个</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1800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3600</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书记员桌子</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1个</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1680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1680</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申请人桌子</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1个</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1880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1880</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被申请人桌子</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1个</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1880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1880</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证人席桌子</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1个</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1500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1500</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书记员、当事人、证人椅子</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7个</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280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1960</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电脑</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1台</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8485</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8485</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打印复印一体机</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2台</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2500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5000</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智能会议平板一体机</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1套</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15999</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15999</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高拍仪</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1台</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1900</w:t>
            </w: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1900</w:t>
            </w:r>
          </w:p>
        </w:tc>
        <w:tc>
          <w:tcPr>
            <w:tcW w:w="1414" w:type="dxa"/>
            <w:vMerge w:val="continue"/>
            <w:shd w:val="clear" w:color="auto" w:fill="auto"/>
            <w:vAlign w:val="center"/>
          </w:tcPr>
          <w:p>
            <w:pPr>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left"/>
              <w:rPr>
                <w:rFonts w:cs="Times New Roman"/>
                <w:kern w:val="0"/>
                <w:sz w:val="24"/>
                <w:szCs w:val="24"/>
              </w:rPr>
            </w:pPr>
            <w:r>
              <w:rPr>
                <w:rFonts w:cs="Times New Roman"/>
                <w:kern w:val="0"/>
                <w:sz w:val="24"/>
                <w:szCs w:val="24"/>
              </w:rPr>
              <w:t>仲裁员服装</w:t>
            </w:r>
          </w:p>
        </w:tc>
        <w:tc>
          <w:tcPr>
            <w:tcW w:w="916" w:type="dxa"/>
            <w:shd w:val="clear" w:color="auto" w:fill="auto"/>
            <w:vAlign w:val="center"/>
          </w:tcPr>
          <w:p>
            <w:pPr>
              <w:jc w:val="center"/>
              <w:rPr>
                <w:rFonts w:cs="Times New Roman"/>
                <w:kern w:val="0"/>
                <w:sz w:val="24"/>
                <w:szCs w:val="24"/>
              </w:rPr>
            </w:pPr>
            <w:r>
              <w:rPr>
                <w:rFonts w:cs="Times New Roman"/>
                <w:kern w:val="0"/>
                <w:sz w:val="24"/>
                <w:szCs w:val="24"/>
              </w:rPr>
              <w:t>9套</w:t>
            </w:r>
          </w:p>
        </w:tc>
        <w:tc>
          <w:tcPr>
            <w:tcW w:w="1553" w:type="dxa"/>
            <w:shd w:val="clear" w:color="auto" w:fill="auto"/>
            <w:vAlign w:val="center"/>
          </w:tcPr>
          <w:p>
            <w:pPr>
              <w:jc w:val="center"/>
              <w:rPr>
                <w:rFonts w:cs="Times New Roman"/>
                <w:kern w:val="0"/>
                <w:sz w:val="24"/>
                <w:szCs w:val="24"/>
              </w:rPr>
            </w:pP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18252</w:t>
            </w:r>
          </w:p>
        </w:tc>
        <w:tc>
          <w:tcPr>
            <w:tcW w:w="1414" w:type="dxa"/>
            <w:shd w:val="clear" w:color="auto" w:fill="auto"/>
            <w:vAlign w:val="center"/>
          </w:tcPr>
          <w:p>
            <w:pPr>
              <w:jc w:val="center"/>
              <w:rPr>
                <w:rFonts w:cs="Times New Roman"/>
                <w:kern w:val="0"/>
                <w:sz w:val="24"/>
                <w:szCs w:val="24"/>
              </w:rPr>
            </w:pPr>
            <w:r>
              <w:rPr>
                <w:rFonts w:cs="Times New Roman"/>
                <w:kern w:val="0"/>
                <w:sz w:val="24"/>
                <w:szCs w:val="24"/>
              </w:rPr>
              <w:t>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86" w:type="dxa"/>
            <w:vAlign w:val="center"/>
          </w:tcPr>
          <w:p>
            <w:pPr>
              <w:jc w:val="center"/>
              <w:rPr>
                <w:rFonts w:cs="Times New Roman"/>
                <w:kern w:val="0"/>
                <w:sz w:val="24"/>
                <w:szCs w:val="24"/>
              </w:rPr>
            </w:pPr>
            <w:r>
              <w:rPr>
                <w:rFonts w:cs="Times New Roman"/>
                <w:kern w:val="0"/>
                <w:sz w:val="24"/>
                <w:szCs w:val="24"/>
              </w:rPr>
              <w:t>合计</w:t>
            </w:r>
          </w:p>
        </w:tc>
        <w:tc>
          <w:tcPr>
            <w:tcW w:w="916" w:type="dxa"/>
            <w:shd w:val="clear" w:color="auto" w:fill="auto"/>
            <w:vAlign w:val="center"/>
          </w:tcPr>
          <w:p>
            <w:pPr>
              <w:jc w:val="center"/>
              <w:rPr>
                <w:rFonts w:cs="Times New Roman"/>
                <w:kern w:val="0"/>
                <w:sz w:val="24"/>
                <w:szCs w:val="24"/>
              </w:rPr>
            </w:pPr>
          </w:p>
        </w:tc>
        <w:tc>
          <w:tcPr>
            <w:tcW w:w="1553" w:type="dxa"/>
            <w:shd w:val="clear" w:color="auto" w:fill="auto"/>
            <w:vAlign w:val="center"/>
          </w:tcPr>
          <w:p>
            <w:pPr>
              <w:jc w:val="center"/>
              <w:rPr>
                <w:rFonts w:cs="Times New Roman"/>
                <w:kern w:val="0"/>
                <w:sz w:val="24"/>
                <w:szCs w:val="24"/>
              </w:rPr>
            </w:pPr>
          </w:p>
        </w:tc>
        <w:tc>
          <w:tcPr>
            <w:tcW w:w="1553" w:type="dxa"/>
            <w:shd w:val="clear" w:color="auto" w:fill="auto"/>
            <w:vAlign w:val="center"/>
          </w:tcPr>
          <w:p>
            <w:pPr>
              <w:jc w:val="center"/>
              <w:rPr>
                <w:rFonts w:cs="Times New Roman"/>
                <w:kern w:val="0"/>
                <w:sz w:val="24"/>
                <w:szCs w:val="24"/>
              </w:rPr>
            </w:pPr>
            <w:r>
              <w:rPr>
                <w:rFonts w:cs="Times New Roman"/>
                <w:kern w:val="0"/>
                <w:sz w:val="24"/>
                <w:szCs w:val="24"/>
              </w:rPr>
              <w:t>96402</w:t>
            </w:r>
          </w:p>
        </w:tc>
        <w:tc>
          <w:tcPr>
            <w:tcW w:w="1414" w:type="dxa"/>
            <w:shd w:val="clear" w:color="auto" w:fill="auto"/>
            <w:vAlign w:val="center"/>
          </w:tcPr>
          <w:p>
            <w:pPr>
              <w:jc w:val="center"/>
              <w:rPr>
                <w:rFonts w:cs="Times New Roman"/>
                <w:kern w:val="0"/>
                <w:sz w:val="24"/>
                <w:szCs w:val="24"/>
              </w:rPr>
            </w:pPr>
          </w:p>
        </w:tc>
      </w:tr>
    </w:tbl>
    <w:p>
      <w:pPr>
        <w:adjustRightInd w:val="0"/>
        <w:snapToGrid w:val="0"/>
        <w:spacing w:line="560" w:lineRule="exact"/>
        <w:ind w:firstLine="560" w:firstLineChars="200"/>
        <w:rPr>
          <w:bCs/>
        </w:rPr>
      </w:pPr>
      <w:r>
        <w:rPr>
          <w:rFonts w:hint="eastAsia"/>
        </w:rPr>
        <w:t>满分</w:t>
      </w:r>
      <w:r>
        <w:rPr>
          <w:rFonts w:hint="eastAsia"/>
          <w:bCs/>
          <w:kern w:val="0"/>
        </w:rPr>
        <w:t>3分，根据绩效评价指标，本指标得分3分，得分率100%。</w:t>
      </w:r>
    </w:p>
    <w:p>
      <w:pPr>
        <w:adjustRightInd w:val="0"/>
        <w:snapToGrid w:val="0"/>
        <w:spacing w:line="560" w:lineRule="exact"/>
        <w:ind w:firstLine="562" w:firstLineChars="200"/>
        <w:rPr>
          <w:b/>
        </w:rPr>
      </w:pPr>
      <w:r>
        <w:rPr>
          <w:rFonts w:hint="eastAsia"/>
          <w:b/>
        </w:rPr>
        <w:t>A2-3中等职业教育免学费与助学金补助工作完成情况</w:t>
      </w:r>
    </w:p>
    <w:p>
      <w:pPr>
        <w:widowControl w:val="0"/>
        <w:spacing w:line="560" w:lineRule="exact"/>
        <w:ind w:firstLine="560" w:firstLineChars="200"/>
        <w:rPr>
          <w:bCs/>
        </w:rPr>
      </w:pPr>
      <w:r>
        <w:rPr>
          <w:rFonts w:hint="eastAsia"/>
        </w:rPr>
        <w:t>经核实，项目单位按政策文件要求完成中等职业教育免学费与助学金补助工作</w:t>
      </w:r>
      <w:r>
        <w:rPr>
          <w:rFonts w:hint="eastAsia"/>
          <w:bCs/>
        </w:rPr>
        <w:t>。具体为：学生在新学年开学一周内，向就读学校提出申请，递交相关证明材料，学校受理学生申请，组织初审，并通过全国中等职业学校学生管理信息系统和技工学校学生管理信息系统报至同级学生资助管理机构审核、汇总。项目单位编制学生资助资金中期财政规划和年度预算草案，完善学生信息管理系统，组织审核上报基础数据，对资金使用和政策执行情况监督管理。2021年中等职业教育免学费补助金额795.985万元、国家助学金补助金额23.7万元、国家奖学金1.8万元。明细如下：</w:t>
      </w:r>
    </w:p>
    <w:tbl>
      <w:tblPr>
        <w:tblStyle w:val="19"/>
        <w:tblW w:w="4997" w:type="pct"/>
        <w:tblInd w:w="0" w:type="dxa"/>
        <w:tblLayout w:type="fixed"/>
        <w:tblCellMar>
          <w:top w:w="0" w:type="dxa"/>
          <w:left w:w="108" w:type="dxa"/>
          <w:bottom w:w="0" w:type="dxa"/>
          <w:right w:w="108" w:type="dxa"/>
        </w:tblCellMar>
      </w:tblPr>
      <w:tblGrid>
        <w:gridCol w:w="2478"/>
        <w:gridCol w:w="1077"/>
        <w:gridCol w:w="1199"/>
        <w:gridCol w:w="1039"/>
        <w:gridCol w:w="1482"/>
        <w:gridCol w:w="1440"/>
      </w:tblGrid>
      <w:tr>
        <w:tblPrEx>
          <w:tblCellMar>
            <w:top w:w="0" w:type="dxa"/>
            <w:left w:w="108" w:type="dxa"/>
            <w:bottom w:w="0" w:type="dxa"/>
            <w:right w:w="108" w:type="dxa"/>
          </w:tblCellMar>
        </w:tblPrEx>
        <w:trPr>
          <w:trHeight w:val="397" w:hRule="atLeast"/>
        </w:trPr>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项目</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sz w:val="20"/>
                <w:szCs w:val="20"/>
              </w:rPr>
            </w:pPr>
            <w:r>
              <w:rPr>
                <w:rFonts w:hint="eastAsia" w:cs="宋体"/>
                <w:color w:val="000000"/>
                <w:kern w:val="0"/>
                <w:sz w:val="20"/>
                <w:szCs w:val="20"/>
              </w:rPr>
              <w:t>学期</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sz w:val="20"/>
                <w:szCs w:val="20"/>
              </w:rPr>
            </w:pPr>
            <w:r>
              <w:rPr>
                <w:rFonts w:hint="eastAsia" w:cs="宋体"/>
                <w:color w:val="000000"/>
                <w:kern w:val="0"/>
                <w:sz w:val="20"/>
                <w:szCs w:val="20"/>
              </w:rPr>
              <w:t>分类</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sz w:val="20"/>
                <w:szCs w:val="20"/>
              </w:rPr>
            </w:pPr>
            <w:r>
              <w:rPr>
                <w:rFonts w:hint="eastAsia" w:cs="宋体"/>
                <w:color w:val="000000"/>
                <w:kern w:val="0"/>
                <w:sz w:val="20"/>
                <w:szCs w:val="20"/>
              </w:rPr>
              <w:t>补助人数</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kern w:val="0"/>
                <w:sz w:val="20"/>
                <w:szCs w:val="20"/>
              </w:rPr>
            </w:pPr>
            <w:r>
              <w:rPr>
                <w:rFonts w:hint="eastAsia" w:cs="宋体"/>
                <w:color w:val="000000"/>
                <w:kern w:val="0"/>
                <w:sz w:val="20"/>
                <w:szCs w:val="20"/>
              </w:rPr>
              <w:t>补助金额</w:t>
            </w:r>
          </w:p>
          <w:p>
            <w:pPr>
              <w:jc w:val="center"/>
              <w:textAlignment w:val="center"/>
              <w:rPr>
                <w:rFonts w:cs="Times New Roman"/>
                <w:color w:val="000000"/>
                <w:sz w:val="20"/>
                <w:szCs w:val="20"/>
              </w:rPr>
            </w:pPr>
            <w:r>
              <w:rPr>
                <w:rFonts w:hint="eastAsia" w:cs="宋体"/>
                <w:color w:val="000000"/>
                <w:kern w:val="0"/>
                <w:sz w:val="20"/>
                <w:szCs w:val="20"/>
              </w:rPr>
              <w:t>（元</w:t>
            </w:r>
            <w:r>
              <w:rPr>
                <w:rFonts w:cs="Times New Roman"/>
                <w:color w:val="000000"/>
                <w:kern w:val="0"/>
                <w:sz w:val="20"/>
                <w:szCs w:val="20"/>
              </w:rPr>
              <w:t>/</w:t>
            </w:r>
            <w:r>
              <w:rPr>
                <w:rFonts w:hint="eastAsia" w:cs="宋体"/>
                <w:color w:val="000000"/>
                <w:kern w:val="0"/>
                <w:sz w:val="20"/>
                <w:szCs w:val="20"/>
              </w:rPr>
              <w:t>学期）</w:t>
            </w:r>
          </w:p>
        </w:tc>
        <w:tc>
          <w:tcPr>
            <w:tcW w:w="8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补助总额</w:t>
            </w:r>
          </w:p>
        </w:tc>
      </w:tr>
      <w:tr>
        <w:tblPrEx>
          <w:tblCellMar>
            <w:top w:w="0" w:type="dxa"/>
            <w:left w:w="108" w:type="dxa"/>
            <w:bottom w:w="0" w:type="dxa"/>
            <w:right w:w="108" w:type="dxa"/>
          </w:tblCellMar>
        </w:tblPrEx>
        <w:trPr>
          <w:trHeight w:val="397" w:hRule="atLeast"/>
        </w:trPr>
        <w:tc>
          <w:tcPr>
            <w:tcW w:w="14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Times New Roman"/>
                <w:color w:val="000000"/>
                <w:sz w:val="20"/>
                <w:szCs w:val="20"/>
              </w:rPr>
            </w:pPr>
            <w:r>
              <w:rPr>
                <w:rFonts w:hint="eastAsia" w:cs="宋体"/>
                <w:color w:val="000000"/>
                <w:kern w:val="0"/>
                <w:sz w:val="20"/>
                <w:szCs w:val="20"/>
              </w:rPr>
              <w:t>中等职业教育免学费</w:t>
            </w:r>
          </w:p>
        </w:tc>
        <w:tc>
          <w:tcPr>
            <w:tcW w:w="6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sz w:val="20"/>
                <w:szCs w:val="20"/>
              </w:rPr>
            </w:pPr>
            <w:r>
              <w:rPr>
                <w:rFonts w:hint="eastAsia" w:cs="宋体"/>
                <w:color w:val="000000"/>
                <w:kern w:val="0"/>
                <w:sz w:val="20"/>
                <w:szCs w:val="20"/>
              </w:rPr>
              <w:t>春季</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sz w:val="20"/>
                <w:szCs w:val="20"/>
              </w:rPr>
            </w:pPr>
            <w:r>
              <w:rPr>
                <w:rFonts w:hint="eastAsia" w:cs="宋体"/>
                <w:color w:val="000000"/>
                <w:kern w:val="0"/>
                <w:sz w:val="20"/>
                <w:szCs w:val="20"/>
              </w:rPr>
              <w:t>职业中专</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2668</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1250</w:t>
            </w:r>
          </w:p>
        </w:tc>
        <w:tc>
          <w:tcPr>
            <w:tcW w:w="8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Times New Roman"/>
                <w:color w:val="000000"/>
                <w:sz w:val="20"/>
                <w:szCs w:val="20"/>
              </w:rPr>
            </w:pPr>
            <w:r>
              <w:rPr>
                <w:rFonts w:cs="Times New Roman"/>
                <w:color w:val="000000"/>
                <w:kern w:val="0"/>
                <w:sz w:val="20"/>
                <w:szCs w:val="20"/>
              </w:rPr>
              <w:t xml:space="preserve">3,335,000.00 </w:t>
            </w:r>
          </w:p>
        </w:tc>
      </w:tr>
      <w:tr>
        <w:tblPrEx>
          <w:tblCellMar>
            <w:top w:w="0" w:type="dxa"/>
            <w:left w:w="108" w:type="dxa"/>
            <w:bottom w:w="0" w:type="dxa"/>
            <w:right w:w="108" w:type="dxa"/>
          </w:tblCellMar>
        </w:tblPrEx>
        <w:trPr>
          <w:trHeight w:val="397" w:hRule="atLeast"/>
        </w:trPr>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Times New Roman"/>
                <w:color w:val="000000"/>
                <w:sz w:val="20"/>
                <w:szCs w:val="20"/>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color w:val="000000"/>
                <w:sz w:val="20"/>
                <w:szCs w:val="20"/>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sz w:val="20"/>
                <w:szCs w:val="20"/>
              </w:rPr>
            </w:pPr>
            <w:r>
              <w:rPr>
                <w:rFonts w:hint="eastAsia" w:cs="宋体"/>
                <w:color w:val="000000"/>
                <w:kern w:val="0"/>
                <w:sz w:val="20"/>
                <w:szCs w:val="20"/>
              </w:rPr>
              <w:t>职业高中</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596</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1400</w:t>
            </w:r>
          </w:p>
        </w:tc>
        <w:tc>
          <w:tcPr>
            <w:tcW w:w="8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Times New Roman"/>
                <w:color w:val="000000"/>
                <w:sz w:val="20"/>
                <w:szCs w:val="20"/>
              </w:rPr>
            </w:pPr>
            <w:r>
              <w:rPr>
                <w:rFonts w:cs="Times New Roman"/>
                <w:color w:val="000000"/>
                <w:kern w:val="0"/>
                <w:sz w:val="20"/>
                <w:szCs w:val="20"/>
              </w:rPr>
              <w:t xml:space="preserve">834,400.00 </w:t>
            </w:r>
          </w:p>
        </w:tc>
      </w:tr>
      <w:tr>
        <w:tblPrEx>
          <w:tblCellMar>
            <w:top w:w="0" w:type="dxa"/>
            <w:left w:w="108" w:type="dxa"/>
            <w:bottom w:w="0" w:type="dxa"/>
            <w:right w:w="108" w:type="dxa"/>
          </w:tblCellMar>
        </w:tblPrEx>
        <w:trPr>
          <w:trHeight w:val="397" w:hRule="atLeast"/>
        </w:trPr>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Times New Roman"/>
                <w:color w:val="000000"/>
                <w:sz w:val="20"/>
                <w:szCs w:val="20"/>
              </w:rPr>
            </w:pPr>
          </w:p>
        </w:tc>
        <w:tc>
          <w:tcPr>
            <w:tcW w:w="6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秋季</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sz w:val="20"/>
                <w:szCs w:val="20"/>
              </w:rPr>
            </w:pPr>
            <w:r>
              <w:rPr>
                <w:rFonts w:hint="eastAsia" w:cs="宋体"/>
                <w:color w:val="000000"/>
                <w:kern w:val="0"/>
                <w:sz w:val="20"/>
                <w:szCs w:val="20"/>
              </w:rPr>
              <w:t>职业中专</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2721</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1250</w:t>
            </w:r>
          </w:p>
        </w:tc>
        <w:tc>
          <w:tcPr>
            <w:tcW w:w="8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Times New Roman"/>
                <w:color w:val="000000"/>
                <w:sz w:val="20"/>
                <w:szCs w:val="20"/>
              </w:rPr>
            </w:pPr>
            <w:r>
              <w:rPr>
                <w:rFonts w:cs="Times New Roman"/>
                <w:color w:val="000000"/>
                <w:kern w:val="0"/>
                <w:sz w:val="20"/>
                <w:szCs w:val="20"/>
              </w:rPr>
              <w:t xml:space="preserve">3,401,250.00 </w:t>
            </w:r>
          </w:p>
        </w:tc>
      </w:tr>
      <w:tr>
        <w:tblPrEx>
          <w:tblCellMar>
            <w:top w:w="0" w:type="dxa"/>
            <w:left w:w="108" w:type="dxa"/>
            <w:bottom w:w="0" w:type="dxa"/>
            <w:right w:w="108" w:type="dxa"/>
          </w:tblCellMar>
        </w:tblPrEx>
        <w:trPr>
          <w:trHeight w:val="397" w:hRule="atLeast"/>
        </w:trPr>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Times New Roman"/>
                <w:color w:val="000000"/>
                <w:sz w:val="20"/>
                <w:szCs w:val="20"/>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Times New Roman"/>
                <w:color w:val="000000"/>
                <w:sz w:val="20"/>
                <w:szCs w:val="20"/>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sz w:val="20"/>
                <w:szCs w:val="20"/>
              </w:rPr>
            </w:pPr>
            <w:r>
              <w:rPr>
                <w:rFonts w:hint="eastAsia" w:cs="宋体"/>
                <w:color w:val="000000"/>
                <w:kern w:val="0"/>
                <w:sz w:val="20"/>
                <w:szCs w:val="20"/>
              </w:rPr>
              <w:t>职业高中</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278</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1400</w:t>
            </w:r>
          </w:p>
        </w:tc>
        <w:tc>
          <w:tcPr>
            <w:tcW w:w="8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Times New Roman"/>
                <w:color w:val="000000"/>
                <w:sz w:val="20"/>
                <w:szCs w:val="20"/>
              </w:rPr>
            </w:pPr>
            <w:r>
              <w:rPr>
                <w:rFonts w:cs="Times New Roman"/>
                <w:color w:val="000000"/>
                <w:kern w:val="0"/>
                <w:sz w:val="20"/>
                <w:szCs w:val="20"/>
              </w:rPr>
              <w:t xml:space="preserve">389,200.00 </w:t>
            </w:r>
          </w:p>
        </w:tc>
      </w:tr>
      <w:tr>
        <w:tblPrEx>
          <w:tblCellMar>
            <w:top w:w="0" w:type="dxa"/>
            <w:left w:w="108" w:type="dxa"/>
            <w:bottom w:w="0" w:type="dxa"/>
            <w:right w:w="108" w:type="dxa"/>
          </w:tblCellMar>
        </w:tblPrEx>
        <w:trPr>
          <w:trHeight w:val="397" w:hRule="atLeast"/>
        </w:trPr>
        <w:tc>
          <w:tcPr>
            <w:tcW w:w="14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Times New Roman"/>
                <w:color w:val="000000"/>
                <w:sz w:val="20"/>
                <w:szCs w:val="20"/>
              </w:rPr>
            </w:pPr>
            <w:r>
              <w:rPr>
                <w:rFonts w:hint="eastAsia" w:cs="宋体"/>
                <w:color w:val="000000"/>
                <w:kern w:val="0"/>
                <w:sz w:val="20"/>
                <w:szCs w:val="20"/>
              </w:rPr>
              <w:t>中等职业教育国家助学金</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春季</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Times New Roman"/>
                <w:color w:val="000000"/>
                <w:sz w:val="20"/>
                <w:szCs w:val="20"/>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147</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1000</w:t>
            </w:r>
          </w:p>
        </w:tc>
        <w:tc>
          <w:tcPr>
            <w:tcW w:w="8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Times New Roman"/>
                <w:color w:val="000000"/>
                <w:sz w:val="20"/>
                <w:szCs w:val="20"/>
              </w:rPr>
            </w:pPr>
            <w:r>
              <w:rPr>
                <w:rFonts w:cs="Times New Roman"/>
                <w:color w:val="000000"/>
                <w:kern w:val="0"/>
                <w:sz w:val="20"/>
                <w:szCs w:val="20"/>
              </w:rPr>
              <w:t xml:space="preserve">147,000.00 </w:t>
            </w:r>
          </w:p>
        </w:tc>
      </w:tr>
      <w:tr>
        <w:tblPrEx>
          <w:tblCellMar>
            <w:top w:w="0" w:type="dxa"/>
            <w:left w:w="108" w:type="dxa"/>
            <w:bottom w:w="0" w:type="dxa"/>
            <w:right w:w="108" w:type="dxa"/>
          </w:tblCellMar>
        </w:tblPrEx>
        <w:trPr>
          <w:trHeight w:val="397" w:hRule="atLeast"/>
        </w:trPr>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Times New Roman"/>
                <w:color w:val="000000"/>
                <w:sz w:val="20"/>
                <w:szCs w:val="20"/>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秋季</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Times New Roman"/>
                <w:color w:val="000000"/>
                <w:sz w:val="20"/>
                <w:szCs w:val="20"/>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90</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1000</w:t>
            </w:r>
          </w:p>
        </w:tc>
        <w:tc>
          <w:tcPr>
            <w:tcW w:w="8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Times New Roman"/>
                <w:color w:val="000000"/>
                <w:sz w:val="20"/>
                <w:szCs w:val="20"/>
              </w:rPr>
            </w:pPr>
            <w:r>
              <w:rPr>
                <w:rFonts w:cs="Times New Roman"/>
                <w:color w:val="000000"/>
                <w:kern w:val="0"/>
                <w:sz w:val="20"/>
                <w:szCs w:val="20"/>
              </w:rPr>
              <w:t xml:space="preserve">90,000.00 </w:t>
            </w:r>
          </w:p>
        </w:tc>
      </w:tr>
      <w:tr>
        <w:tblPrEx>
          <w:tblCellMar>
            <w:top w:w="0" w:type="dxa"/>
            <w:left w:w="108" w:type="dxa"/>
            <w:bottom w:w="0" w:type="dxa"/>
            <w:right w:w="108" w:type="dxa"/>
          </w:tblCellMar>
        </w:tblPrEx>
        <w:trPr>
          <w:trHeight w:val="397" w:hRule="atLeast"/>
        </w:trPr>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Times New Roman"/>
                <w:color w:val="000000"/>
                <w:sz w:val="20"/>
                <w:szCs w:val="20"/>
              </w:rPr>
            </w:pPr>
            <w:r>
              <w:rPr>
                <w:rFonts w:hint="eastAsia" w:cs="宋体"/>
                <w:color w:val="000000"/>
                <w:kern w:val="0"/>
                <w:sz w:val="20"/>
                <w:szCs w:val="20"/>
              </w:rPr>
              <w:t>中等职业教育国家奖学金</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Times New Roman"/>
                <w:color w:val="000000"/>
                <w:sz w:val="20"/>
                <w:szCs w:val="20"/>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Times New Roman"/>
                <w:color w:val="000000"/>
                <w:sz w:val="20"/>
                <w:szCs w:val="20"/>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3</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6000</w:t>
            </w:r>
          </w:p>
        </w:tc>
        <w:tc>
          <w:tcPr>
            <w:tcW w:w="8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Times New Roman"/>
                <w:color w:val="000000"/>
                <w:sz w:val="20"/>
                <w:szCs w:val="20"/>
              </w:rPr>
            </w:pPr>
            <w:r>
              <w:rPr>
                <w:rFonts w:cs="Times New Roman"/>
                <w:color w:val="000000"/>
                <w:kern w:val="0"/>
                <w:sz w:val="20"/>
                <w:szCs w:val="20"/>
              </w:rPr>
              <w:t xml:space="preserve">18,000.00 </w:t>
            </w:r>
          </w:p>
        </w:tc>
      </w:tr>
      <w:tr>
        <w:tblPrEx>
          <w:tblCellMar>
            <w:top w:w="0" w:type="dxa"/>
            <w:left w:w="108" w:type="dxa"/>
            <w:bottom w:w="0" w:type="dxa"/>
            <w:right w:w="108" w:type="dxa"/>
          </w:tblCellMar>
        </w:tblPrEx>
        <w:trPr>
          <w:trHeight w:val="397" w:hRule="atLeast"/>
        </w:trPr>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宋体"/>
                <w:color w:val="000000"/>
                <w:sz w:val="20"/>
                <w:szCs w:val="20"/>
              </w:rPr>
            </w:pPr>
            <w:r>
              <w:rPr>
                <w:rFonts w:hint="eastAsia" w:cs="宋体"/>
                <w:color w:val="000000"/>
                <w:kern w:val="0"/>
                <w:sz w:val="20"/>
                <w:szCs w:val="20"/>
              </w:rPr>
              <w:t>合计</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Times New Roman"/>
                <w:color w:val="000000"/>
                <w:sz w:val="20"/>
                <w:szCs w:val="20"/>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Times New Roman"/>
                <w:color w:val="000000"/>
                <w:sz w:val="20"/>
                <w:szCs w:val="20"/>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6503</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Times New Roman"/>
                <w:color w:val="000000"/>
                <w:sz w:val="20"/>
                <w:szCs w:val="20"/>
              </w:rPr>
            </w:pPr>
          </w:p>
        </w:tc>
        <w:tc>
          <w:tcPr>
            <w:tcW w:w="8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Times New Roman"/>
                <w:color w:val="000000"/>
                <w:sz w:val="20"/>
                <w:szCs w:val="20"/>
              </w:rPr>
            </w:pPr>
            <w:r>
              <w:rPr>
                <w:rFonts w:cs="Times New Roman"/>
                <w:color w:val="000000"/>
                <w:kern w:val="0"/>
                <w:sz w:val="20"/>
                <w:szCs w:val="20"/>
              </w:rPr>
              <w:t xml:space="preserve">8,214,850.00 </w:t>
            </w:r>
          </w:p>
        </w:tc>
      </w:tr>
    </w:tbl>
    <w:p>
      <w:pPr>
        <w:adjustRightInd w:val="0"/>
        <w:snapToGrid w:val="0"/>
        <w:spacing w:line="560" w:lineRule="exact"/>
        <w:ind w:firstLine="560" w:firstLineChars="200"/>
      </w:pPr>
      <w:r>
        <w:rPr>
          <w:rFonts w:hint="eastAsia"/>
          <w:bCs/>
          <w:kern w:val="0"/>
        </w:rPr>
        <w:t>满分4分，根据绩效评价指标，本指标得分4分，得分率100%。</w:t>
      </w:r>
    </w:p>
    <w:p>
      <w:pPr>
        <w:pStyle w:val="7"/>
        <w:widowControl w:val="0"/>
        <w:spacing w:line="560" w:lineRule="exact"/>
        <w:ind w:firstLine="562" w:firstLineChars="200"/>
        <w:outlineLvl w:val="3"/>
        <w:rPr>
          <w:rFonts w:ascii="仿宋" w:eastAsia="仿宋"/>
          <w:b/>
          <w:kern w:val="0"/>
          <w:sz w:val="28"/>
        </w:rPr>
      </w:pPr>
      <w:r>
        <w:rPr>
          <w:rFonts w:hint="eastAsia" w:ascii="仿宋" w:eastAsia="仿宋"/>
          <w:b/>
          <w:sz w:val="28"/>
        </w:rPr>
        <w:t>A2-4职业技能提升工作完成情况</w:t>
      </w:r>
    </w:p>
    <w:p>
      <w:pPr>
        <w:widowControl w:val="0"/>
        <w:spacing w:line="560" w:lineRule="exact"/>
        <w:ind w:firstLine="560" w:firstLineChars="200"/>
        <w:rPr>
          <w:kern w:val="0"/>
        </w:rPr>
      </w:pPr>
      <w:r>
        <w:rPr>
          <w:rFonts w:hint="eastAsia"/>
          <w:bCs/>
        </w:rPr>
        <w:t>经核实，</w:t>
      </w:r>
      <w:r>
        <w:rPr>
          <w:rFonts w:hint="eastAsia"/>
          <w:kern w:val="0"/>
        </w:rPr>
        <w:t>运城市人力资源和社会保障局已按计划完成职业技能提升工作，具体为：</w:t>
      </w:r>
    </w:p>
    <w:p>
      <w:pPr>
        <w:pStyle w:val="7"/>
        <w:jc w:val="center"/>
        <w:rPr>
          <w:rFonts w:ascii="仿宋" w:eastAsia="仿宋"/>
          <w:kern w:val="0"/>
          <w:sz w:val="28"/>
        </w:rPr>
      </w:pPr>
      <w:r>
        <w:rPr>
          <w:rFonts w:hint="eastAsia" w:ascii="仿宋" w:eastAsia="仿宋"/>
          <w:kern w:val="0"/>
          <w:sz w:val="28"/>
        </w:rPr>
        <w:t>职业技能提升工作完成情况统计表</w:t>
      </w:r>
    </w:p>
    <w:p>
      <w:pPr>
        <w:pStyle w:val="7"/>
        <w:jc w:val="right"/>
        <w:rPr>
          <w:rFonts w:ascii="仿宋" w:eastAsia="仿宋"/>
          <w:kern w:val="0"/>
          <w:sz w:val="28"/>
        </w:rPr>
      </w:pPr>
      <w:r>
        <w:rPr>
          <w:rFonts w:hint="eastAsia" w:ascii="仿宋" w:eastAsia="仿宋"/>
          <w:kern w:val="0"/>
          <w:sz w:val="28"/>
        </w:rPr>
        <w:t>单位：万人</w:t>
      </w:r>
    </w:p>
    <w:tbl>
      <w:tblPr>
        <w:tblStyle w:val="19"/>
        <w:tblW w:w="4998" w:type="pct"/>
        <w:tblInd w:w="0" w:type="dxa"/>
        <w:tblLayout w:type="autofit"/>
        <w:tblCellMar>
          <w:top w:w="0" w:type="dxa"/>
          <w:left w:w="108" w:type="dxa"/>
          <w:bottom w:w="0" w:type="dxa"/>
          <w:right w:w="108" w:type="dxa"/>
        </w:tblCellMar>
      </w:tblPr>
      <w:tblGrid>
        <w:gridCol w:w="1863"/>
        <w:gridCol w:w="1264"/>
        <w:gridCol w:w="1120"/>
        <w:gridCol w:w="1120"/>
        <w:gridCol w:w="1695"/>
        <w:gridCol w:w="1655"/>
      </w:tblGrid>
      <w:tr>
        <w:tblPrEx>
          <w:tblCellMar>
            <w:top w:w="0" w:type="dxa"/>
            <w:left w:w="108" w:type="dxa"/>
            <w:bottom w:w="0" w:type="dxa"/>
            <w:right w:w="108" w:type="dxa"/>
          </w:tblCellMar>
        </w:tblPrEx>
        <w:trPr>
          <w:trHeight w:val="454" w:hRule="atLeast"/>
        </w:trPr>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color w:val="000000"/>
                <w:kern w:val="0"/>
                <w:sz w:val="20"/>
                <w:szCs w:val="20"/>
              </w:rPr>
              <w:t>项目名称</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color w:val="000000"/>
                <w:kern w:val="0"/>
                <w:sz w:val="20"/>
                <w:szCs w:val="20"/>
              </w:rPr>
              <w:t>省级任务</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color w:val="000000"/>
                <w:kern w:val="0"/>
                <w:sz w:val="20"/>
                <w:szCs w:val="20"/>
              </w:rPr>
              <w:t>市级任务</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color w:val="000000"/>
                <w:kern w:val="0"/>
                <w:sz w:val="20"/>
                <w:szCs w:val="20"/>
              </w:rPr>
              <w:t>实际完成</w:t>
            </w:r>
          </w:p>
        </w:tc>
        <w:tc>
          <w:tcPr>
            <w:tcW w:w="9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kern w:val="0"/>
                <w:sz w:val="20"/>
                <w:szCs w:val="20"/>
              </w:rPr>
              <w:t>省级任务完成率</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kern w:val="0"/>
                <w:sz w:val="20"/>
                <w:szCs w:val="20"/>
              </w:rPr>
              <w:t>市级任务完成率</w:t>
            </w:r>
          </w:p>
        </w:tc>
      </w:tr>
      <w:tr>
        <w:tblPrEx>
          <w:tblCellMar>
            <w:top w:w="0" w:type="dxa"/>
            <w:left w:w="108" w:type="dxa"/>
            <w:bottom w:w="0" w:type="dxa"/>
            <w:right w:w="108" w:type="dxa"/>
          </w:tblCellMar>
        </w:tblPrEx>
        <w:trPr>
          <w:trHeight w:val="454" w:hRule="atLeast"/>
        </w:trPr>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Times New Roman"/>
                <w:color w:val="000000"/>
                <w:sz w:val="20"/>
                <w:szCs w:val="20"/>
              </w:rPr>
            </w:pPr>
            <w:r>
              <w:rPr>
                <w:color w:val="000000"/>
                <w:kern w:val="0"/>
                <w:sz w:val="20"/>
                <w:szCs w:val="20"/>
              </w:rPr>
              <w:t>职业技能培训</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15</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21.35</w:t>
            </w:r>
          </w:p>
        </w:tc>
        <w:tc>
          <w:tcPr>
            <w:tcW w:w="9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142.33%</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142.33%</w:t>
            </w:r>
          </w:p>
        </w:tc>
      </w:tr>
      <w:tr>
        <w:tblPrEx>
          <w:tblCellMar>
            <w:top w:w="0" w:type="dxa"/>
            <w:left w:w="108" w:type="dxa"/>
            <w:bottom w:w="0" w:type="dxa"/>
            <w:right w:w="108" w:type="dxa"/>
          </w:tblCellMar>
        </w:tblPrEx>
        <w:trPr>
          <w:trHeight w:val="454" w:hRule="atLeast"/>
        </w:trPr>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Times New Roman"/>
                <w:color w:val="000000"/>
                <w:sz w:val="20"/>
                <w:szCs w:val="20"/>
              </w:rPr>
            </w:pPr>
            <w:r>
              <w:rPr>
                <w:color w:val="000000"/>
                <w:kern w:val="0"/>
                <w:sz w:val="20"/>
                <w:szCs w:val="20"/>
              </w:rPr>
              <w:t>新增技能人才</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3.5</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5.5</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7.67</w:t>
            </w:r>
          </w:p>
        </w:tc>
        <w:tc>
          <w:tcPr>
            <w:tcW w:w="9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219.14%</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219.14%</w:t>
            </w:r>
          </w:p>
        </w:tc>
      </w:tr>
      <w:tr>
        <w:tblPrEx>
          <w:tblCellMar>
            <w:top w:w="0" w:type="dxa"/>
            <w:left w:w="108" w:type="dxa"/>
            <w:bottom w:w="0" w:type="dxa"/>
            <w:right w:w="108" w:type="dxa"/>
          </w:tblCellMar>
        </w:tblPrEx>
        <w:trPr>
          <w:trHeight w:val="454" w:hRule="atLeast"/>
        </w:trPr>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Times New Roman"/>
                <w:color w:val="000000"/>
                <w:sz w:val="20"/>
                <w:szCs w:val="20"/>
              </w:rPr>
            </w:pPr>
            <w:r>
              <w:rPr>
                <w:color w:val="000000"/>
                <w:kern w:val="0"/>
                <w:sz w:val="20"/>
                <w:szCs w:val="20"/>
              </w:rPr>
              <w:t>新增高技能人才</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0.8</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1</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1.37</w:t>
            </w:r>
          </w:p>
        </w:tc>
        <w:tc>
          <w:tcPr>
            <w:tcW w:w="9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171.25%</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0"/>
                <w:szCs w:val="20"/>
              </w:rPr>
            </w:pPr>
            <w:r>
              <w:rPr>
                <w:rFonts w:cs="Times New Roman"/>
                <w:color w:val="000000"/>
                <w:kern w:val="0"/>
                <w:sz w:val="20"/>
                <w:szCs w:val="20"/>
              </w:rPr>
              <w:t>171.25%</w:t>
            </w:r>
          </w:p>
        </w:tc>
      </w:tr>
    </w:tbl>
    <w:p>
      <w:pPr>
        <w:pStyle w:val="7"/>
        <w:widowControl w:val="0"/>
        <w:spacing w:line="560" w:lineRule="exact"/>
        <w:ind w:firstLine="560" w:firstLineChars="200"/>
        <w:outlineLvl w:val="3"/>
        <w:rPr>
          <w:rFonts w:hint="eastAsia"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满分4分，根据绩效评价指标，本指标得分4分，得分率100%。</w:t>
      </w:r>
    </w:p>
    <w:p>
      <w:pPr>
        <w:pStyle w:val="15"/>
        <w:widowControl w:val="0"/>
        <w:spacing w:after="0" w:line="560" w:lineRule="exact"/>
        <w:ind w:left="0" w:leftChars="0" w:firstLine="562" w:firstLineChars="200"/>
        <w:rPr>
          <w:b/>
          <w:sz w:val="28"/>
        </w:rPr>
      </w:pPr>
      <w:r>
        <w:rPr>
          <w:rFonts w:hint="eastAsia"/>
          <w:b/>
          <w:sz w:val="28"/>
        </w:rPr>
        <w:t>A2-5人事人才建设工作完成情况</w:t>
      </w:r>
    </w:p>
    <w:p>
      <w:pPr>
        <w:pStyle w:val="7"/>
        <w:widowControl w:val="0"/>
        <w:spacing w:line="560" w:lineRule="exact"/>
        <w:ind w:firstLine="560" w:firstLineChars="200"/>
        <w:outlineLvl w:val="3"/>
        <w:rPr>
          <w:rFonts w:ascii="仿宋" w:eastAsia="仿宋"/>
          <w:bCs/>
          <w:sz w:val="28"/>
        </w:rPr>
      </w:pPr>
      <w:r>
        <w:rPr>
          <w:rFonts w:hint="eastAsia" w:ascii="仿宋" w:eastAsia="仿宋"/>
          <w:bCs/>
          <w:sz w:val="28"/>
        </w:rPr>
        <w:t>经核实，运城市人力资源和社会保障局已按计划完成人事人才建设工作，具体为：</w:t>
      </w:r>
    </w:p>
    <w:p>
      <w:pPr>
        <w:pStyle w:val="7"/>
        <w:widowControl w:val="0"/>
        <w:spacing w:line="560" w:lineRule="exact"/>
        <w:ind w:firstLine="560" w:firstLineChars="200"/>
        <w:outlineLvl w:val="3"/>
        <w:rPr>
          <w:rFonts w:ascii="仿宋" w:eastAsia="仿宋"/>
          <w:bCs/>
          <w:sz w:val="28"/>
        </w:rPr>
      </w:pPr>
      <w:r>
        <w:rPr>
          <w:rFonts w:hint="eastAsia" w:ascii="仿宋" w:eastAsia="仿宋"/>
          <w:bCs/>
          <w:sz w:val="28"/>
        </w:rPr>
        <w:t>（1）成立市校合作工作专班，全市共建立技能服务人才培养基地35个，向高校输送技能人才400余名；</w:t>
      </w:r>
    </w:p>
    <w:p>
      <w:pPr>
        <w:pStyle w:val="7"/>
        <w:widowControl w:val="0"/>
        <w:spacing w:line="560" w:lineRule="exact"/>
        <w:ind w:firstLine="560" w:firstLineChars="200"/>
        <w:outlineLvl w:val="3"/>
        <w:rPr>
          <w:rFonts w:ascii="仿宋" w:eastAsia="仿宋"/>
          <w:bCs/>
          <w:sz w:val="28"/>
        </w:rPr>
      </w:pPr>
      <w:r>
        <w:rPr>
          <w:rFonts w:hint="eastAsia" w:ascii="仿宋" w:eastAsia="仿宋"/>
          <w:bCs/>
          <w:sz w:val="28"/>
        </w:rPr>
        <w:t>（2）引进智慧就业服务系统，推出“零工之家”网络登录平台，劳动者求职、企业招聘实现精准对接，采集零工求职信息6000余条，举办现场招聘活动16场，提供就业岗位2万余个，促成就业5000余人；</w:t>
      </w:r>
    </w:p>
    <w:p>
      <w:pPr>
        <w:pStyle w:val="7"/>
        <w:widowControl w:val="0"/>
        <w:spacing w:line="560" w:lineRule="exact"/>
        <w:ind w:firstLine="560" w:firstLineChars="200"/>
        <w:outlineLvl w:val="3"/>
        <w:rPr>
          <w:rFonts w:ascii="仿宋" w:eastAsia="仿宋"/>
          <w:bCs/>
          <w:sz w:val="28"/>
        </w:rPr>
      </w:pPr>
      <w:r>
        <w:rPr>
          <w:rFonts w:hint="eastAsia" w:ascii="仿宋" w:eastAsia="仿宋"/>
          <w:bCs/>
          <w:sz w:val="28"/>
        </w:rPr>
        <w:t>（3）健全培训和就业需求信息采集、分析，促进“培训-取证-就业-增收”全链条服务，全市13县(市)全年共举办各类技能大赛16场，开展各类职业技能培训21.35万人，新增技能人才7.67万，新增高技能人才1.37万；</w:t>
      </w:r>
    </w:p>
    <w:p>
      <w:pPr>
        <w:pStyle w:val="7"/>
        <w:widowControl w:val="0"/>
        <w:spacing w:line="560" w:lineRule="exact"/>
        <w:ind w:firstLine="560" w:firstLineChars="200"/>
        <w:outlineLvl w:val="3"/>
        <w:rPr>
          <w:rFonts w:ascii="仿宋" w:eastAsia="仿宋"/>
          <w:bCs/>
          <w:sz w:val="28"/>
        </w:rPr>
      </w:pPr>
      <w:r>
        <w:rPr>
          <w:rFonts w:hint="eastAsia" w:ascii="仿宋" w:eastAsia="仿宋"/>
          <w:bCs/>
          <w:sz w:val="28"/>
        </w:rPr>
        <w:t>（3）全市事业单位公开招聘2327人，大学生村官招聘732人，持续实施“三支一扶”计划向基层输送各类人才93名；</w:t>
      </w:r>
    </w:p>
    <w:p>
      <w:pPr>
        <w:pStyle w:val="7"/>
        <w:widowControl w:val="0"/>
        <w:spacing w:line="560" w:lineRule="exact"/>
        <w:ind w:firstLine="560" w:firstLineChars="200"/>
        <w:outlineLvl w:val="3"/>
        <w:rPr>
          <w:rFonts w:ascii="仿宋" w:eastAsia="仿宋"/>
          <w:bCs/>
          <w:sz w:val="28"/>
        </w:rPr>
      </w:pPr>
      <w:r>
        <w:rPr>
          <w:rFonts w:hint="eastAsia" w:ascii="仿宋" w:eastAsia="仿宋"/>
          <w:bCs/>
          <w:sz w:val="28"/>
        </w:rPr>
        <w:t>（4）落实事业单位“五个自主”权，扩大高等院校、公立医院、科研院公开招聘自主权，推进人事人才建设。</w:t>
      </w:r>
    </w:p>
    <w:p>
      <w:pPr>
        <w:pStyle w:val="7"/>
        <w:widowControl w:val="0"/>
        <w:spacing w:line="560" w:lineRule="exact"/>
        <w:ind w:firstLine="560" w:firstLineChars="200"/>
        <w:outlineLvl w:val="3"/>
        <w:rPr>
          <w:rFonts w:ascii="仿宋" w:eastAsia="仿宋"/>
          <w:bCs/>
          <w:sz w:val="28"/>
        </w:rPr>
      </w:pPr>
      <w:r>
        <w:rPr>
          <w:rFonts w:hint="eastAsia" w:ascii="仿宋" w:eastAsia="仿宋"/>
          <w:bCs/>
          <w:sz w:val="28"/>
        </w:rPr>
        <w:t>满分4分，根据绩效评价指标，本指标得分4分，得分率100%。</w:t>
      </w:r>
    </w:p>
    <w:p>
      <w:pPr>
        <w:pStyle w:val="15"/>
        <w:widowControl w:val="0"/>
        <w:spacing w:after="0" w:line="560" w:lineRule="exact"/>
        <w:ind w:left="0" w:leftChars="0" w:firstLine="562" w:firstLineChars="200"/>
        <w:rPr>
          <w:b/>
          <w:sz w:val="28"/>
        </w:rPr>
      </w:pPr>
      <w:r>
        <w:rPr>
          <w:rFonts w:hint="eastAsia"/>
          <w:b/>
          <w:sz w:val="28"/>
        </w:rPr>
        <w:t>A2-6劳动维权工作完成情况</w:t>
      </w:r>
    </w:p>
    <w:p>
      <w:pPr>
        <w:widowControl w:val="0"/>
        <w:spacing w:line="560" w:lineRule="exact"/>
        <w:ind w:firstLine="560" w:firstLineChars="200"/>
        <w:rPr>
          <w:bCs/>
        </w:rPr>
      </w:pPr>
      <w:r>
        <w:rPr>
          <w:rFonts w:hint="eastAsia"/>
          <w:bCs/>
        </w:rPr>
        <w:t>经核实，为进一步提升劳动人事争议仲裁工作，项目单位配置综合办公室、接待立案室、调解档案室和仲裁庭，并通过接访来电宣传法律政策，全年共接待来电来访1600人次，市仲裁院共接案68起（其中不予受理15起，立案受理53起），调解结案42起，裁决结案7起，4起处于法定处理程序中，项目单位已按计划完成劳动维权工作，具体为：</w:t>
      </w:r>
    </w:p>
    <w:p>
      <w:pPr>
        <w:pStyle w:val="7"/>
        <w:jc w:val="center"/>
        <w:rPr>
          <w:rFonts w:ascii="仿宋" w:eastAsia="仿宋"/>
          <w:kern w:val="0"/>
          <w:sz w:val="28"/>
        </w:rPr>
      </w:pPr>
      <w:r>
        <w:rPr>
          <w:rFonts w:hint="eastAsia" w:ascii="仿宋" w:eastAsia="仿宋"/>
          <w:kern w:val="0"/>
          <w:sz w:val="28"/>
        </w:rPr>
        <w:t>劳动维权工作完成情况统计表</w:t>
      </w:r>
    </w:p>
    <w:tbl>
      <w:tblPr>
        <w:tblStyle w:val="19"/>
        <w:tblW w:w="4998" w:type="pct"/>
        <w:tblInd w:w="0" w:type="dxa"/>
        <w:tblLayout w:type="autofit"/>
        <w:tblCellMar>
          <w:top w:w="0" w:type="dxa"/>
          <w:left w:w="108" w:type="dxa"/>
          <w:bottom w:w="0" w:type="dxa"/>
          <w:right w:w="108" w:type="dxa"/>
        </w:tblCellMar>
      </w:tblPr>
      <w:tblGrid>
        <w:gridCol w:w="884"/>
        <w:gridCol w:w="3762"/>
        <w:gridCol w:w="2035"/>
        <w:gridCol w:w="2036"/>
      </w:tblGrid>
      <w:tr>
        <w:tblPrEx>
          <w:tblCellMar>
            <w:top w:w="0" w:type="dxa"/>
            <w:left w:w="108" w:type="dxa"/>
            <w:bottom w:w="0" w:type="dxa"/>
            <w:right w:w="108" w:type="dxa"/>
          </w:tblCellMar>
        </w:tblPrEx>
        <w:trPr>
          <w:trHeight w:val="397" w:hRule="atLeast"/>
          <w:tblHeader/>
        </w:trPr>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序号</w:t>
            </w:r>
          </w:p>
        </w:tc>
        <w:tc>
          <w:tcPr>
            <w:tcW w:w="21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项目</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2021</w:t>
            </w:r>
            <w:r>
              <w:rPr>
                <w:rFonts w:hint="eastAsia" w:cs="宋体"/>
                <w:color w:val="000000"/>
                <w:kern w:val="0"/>
                <w:sz w:val="20"/>
                <w:szCs w:val="20"/>
              </w:rPr>
              <w:t>年计</w:t>
            </w:r>
            <w:r>
              <w:rPr>
                <w:rFonts w:hint="eastAsia" w:cs="Times New Roman"/>
                <w:color w:val="000000"/>
                <w:kern w:val="0"/>
                <w:sz w:val="20"/>
                <w:szCs w:val="20"/>
              </w:rPr>
              <w:t>划</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2021</w:t>
            </w:r>
            <w:r>
              <w:rPr>
                <w:rFonts w:hint="eastAsia" w:cs="宋体"/>
                <w:color w:val="000000"/>
                <w:kern w:val="0"/>
                <w:sz w:val="20"/>
                <w:szCs w:val="20"/>
              </w:rPr>
              <w:t>年实际完成</w:t>
            </w:r>
          </w:p>
        </w:tc>
      </w:tr>
      <w:tr>
        <w:tblPrEx>
          <w:tblCellMar>
            <w:top w:w="0" w:type="dxa"/>
            <w:left w:w="108" w:type="dxa"/>
            <w:bottom w:w="0" w:type="dxa"/>
            <w:right w:w="108" w:type="dxa"/>
          </w:tblCellMar>
        </w:tblPrEx>
        <w:trPr>
          <w:trHeight w:val="397"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1</w:t>
            </w:r>
          </w:p>
        </w:tc>
        <w:tc>
          <w:tcPr>
            <w:tcW w:w="21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Times New Roman"/>
                <w:color w:val="000000"/>
                <w:sz w:val="20"/>
                <w:szCs w:val="20"/>
              </w:rPr>
            </w:pPr>
            <w:r>
              <w:rPr>
                <w:rFonts w:hint="eastAsia" w:cs="宋体"/>
                <w:color w:val="000000"/>
                <w:kern w:val="0"/>
                <w:sz w:val="20"/>
                <w:szCs w:val="20"/>
              </w:rPr>
              <w:t>劳动人事争议调解成功率</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w:t>
            </w:r>
            <w:r>
              <w:rPr>
                <w:rFonts w:cs="Times New Roman"/>
                <w:color w:val="000000"/>
                <w:kern w:val="0"/>
                <w:sz w:val="20"/>
                <w:szCs w:val="20"/>
              </w:rPr>
              <w:t>6</w:t>
            </w:r>
            <w:r>
              <w:rPr>
                <w:rFonts w:hint="eastAsia" w:cs="Times New Roman"/>
                <w:color w:val="000000"/>
                <w:kern w:val="0"/>
                <w:sz w:val="20"/>
                <w:szCs w:val="20"/>
              </w:rPr>
              <w:t>0%</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88%</w:t>
            </w:r>
          </w:p>
        </w:tc>
      </w:tr>
      <w:tr>
        <w:tblPrEx>
          <w:tblCellMar>
            <w:top w:w="0" w:type="dxa"/>
            <w:left w:w="108" w:type="dxa"/>
            <w:bottom w:w="0" w:type="dxa"/>
            <w:right w:w="108" w:type="dxa"/>
          </w:tblCellMar>
        </w:tblPrEx>
        <w:trPr>
          <w:trHeight w:val="397"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2</w:t>
            </w:r>
          </w:p>
        </w:tc>
        <w:tc>
          <w:tcPr>
            <w:tcW w:w="21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宋体"/>
                <w:color w:val="000000"/>
                <w:sz w:val="20"/>
                <w:szCs w:val="20"/>
              </w:rPr>
            </w:pPr>
            <w:r>
              <w:rPr>
                <w:rFonts w:hint="eastAsia" w:cs="宋体"/>
                <w:color w:val="000000"/>
                <w:sz w:val="20"/>
                <w:szCs w:val="20"/>
              </w:rPr>
              <w:t>劳动人事争议仲裁结案率</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＞90%</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100%</w:t>
            </w:r>
          </w:p>
        </w:tc>
      </w:tr>
      <w:tr>
        <w:tblPrEx>
          <w:tblCellMar>
            <w:top w:w="0" w:type="dxa"/>
            <w:left w:w="108" w:type="dxa"/>
            <w:bottom w:w="0" w:type="dxa"/>
            <w:right w:w="108" w:type="dxa"/>
          </w:tblCellMar>
        </w:tblPrEx>
        <w:trPr>
          <w:trHeight w:val="397"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kern w:val="0"/>
                <w:sz w:val="20"/>
                <w:szCs w:val="20"/>
              </w:rPr>
            </w:pPr>
            <w:r>
              <w:rPr>
                <w:rFonts w:hint="eastAsia" w:cs="Times New Roman"/>
                <w:color w:val="000000"/>
                <w:kern w:val="0"/>
                <w:sz w:val="20"/>
                <w:szCs w:val="20"/>
              </w:rPr>
              <w:t>3</w:t>
            </w:r>
          </w:p>
        </w:tc>
        <w:tc>
          <w:tcPr>
            <w:tcW w:w="21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宋体"/>
                <w:color w:val="000000"/>
                <w:sz w:val="20"/>
                <w:szCs w:val="20"/>
              </w:rPr>
            </w:pPr>
            <w:r>
              <w:rPr>
                <w:rFonts w:hint="eastAsia" w:cs="宋体"/>
                <w:color w:val="000000"/>
                <w:sz w:val="20"/>
                <w:szCs w:val="20"/>
              </w:rPr>
              <w:t>劳动保障监察举报投诉案件结案率</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100%</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100%</w:t>
            </w:r>
          </w:p>
        </w:tc>
      </w:tr>
      <w:tr>
        <w:trPr>
          <w:trHeight w:val="397"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kern w:val="0"/>
                <w:sz w:val="20"/>
                <w:szCs w:val="20"/>
              </w:rPr>
            </w:pPr>
            <w:r>
              <w:rPr>
                <w:rFonts w:hint="eastAsia" w:cs="Times New Roman"/>
                <w:color w:val="000000"/>
                <w:kern w:val="0"/>
                <w:sz w:val="20"/>
                <w:szCs w:val="20"/>
              </w:rPr>
              <w:t>4</w:t>
            </w:r>
          </w:p>
        </w:tc>
        <w:tc>
          <w:tcPr>
            <w:tcW w:w="21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宋体"/>
                <w:color w:val="000000"/>
                <w:sz w:val="20"/>
                <w:szCs w:val="20"/>
              </w:rPr>
            </w:pPr>
            <w:r>
              <w:rPr>
                <w:rFonts w:hint="eastAsia" w:cs="宋体"/>
                <w:color w:val="000000"/>
                <w:kern w:val="0"/>
                <w:sz w:val="20"/>
                <w:szCs w:val="20"/>
              </w:rPr>
              <w:t>拖欠农民工工资举报投诉案件结案率</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100%</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100%</w:t>
            </w:r>
          </w:p>
        </w:tc>
      </w:tr>
    </w:tbl>
    <w:p>
      <w:pPr>
        <w:pStyle w:val="7"/>
        <w:widowControl w:val="0"/>
        <w:spacing w:line="560" w:lineRule="exact"/>
        <w:ind w:firstLine="560" w:firstLineChars="200"/>
        <w:outlineLvl w:val="3"/>
        <w:rPr>
          <w:rFonts w:ascii="仿宋" w:eastAsia="仿宋"/>
          <w:bCs/>
          <w:sz w:val="28"/>
        </w:rPr>
      </w:pPr>
      <w:r>
        <w:rPr>
          <w:rFonts w:hint="eastAsia" w:ascii="仿宋" w:eastAsia="仿宋"/>
          <w:bCs/>
          <w:sz w:val="28"/>
        </w:rPr>
        <w:t>满分3分，根据绩效评价指标，本指标得分3分，得分率100%。</w:t>
      </w:r>
    </w:p>
    <w:p>
      <w:pPr>
        <w:pStyle w:val="7"/>
        <w:widowControl w:val="0"/>
        <w:spacing w:line="560" w:lineRule="exact"/>
        <w:ind w:firstLine="562" w:firstLineChars="200"/>
        <w:outlineLvl w:val="3"/>
        <w:rPr>
          <w:rFonts w:ascii="仿宋" w:eastAsia="仿宋"/>
          <w:b/>
          <w:sz w:val="28"/>
        </w:rPr>
      </w:pPr>
      <w:r>
        <w:rPr>
          <w:rFonts w:hint="eastAsia" w:ascii="仿宋" w:eastAsia="仿宋"/>
          <w:b/>
          <w:sz w:val="28"/>
        </w:rPr>
        <w:t>A3-1就业创业促进工作完成情况</w:t>
      </w:r>
    </w:p>
    <w:p>
      <w:pPr>
        <w:widowControl w:val="0"/>
        <w:spacing w:line="560" w:lineRule="exact"/>
        <w:ind w:firstLine="560" w:firstLineChars="200"/>
        <w:rPr>
          <w:kern w:val="0"/>
        </w:rPr>
      </w:pPr>
      <w:r>
        <w:rPr>
          <w:rFonts w:hint="eastAsia"/>
          <w:bCs/>
        </w:rPr>
        <w:t>经核实，</w:t>
      </w:r>
      <w:r>
        <w:rPr>
          <w:rFonts w:hint="eastAsia"/>
          <w:kern w:val="0"/>
        </w:rPr>
        <w:t>运城市人力资源和社会保障局已按计划完成就业创业促进工作，具体为：</w:t>
      </w:r>
    </w:p>
    <w:p>
      <w:pPr>
        <w:pStyle w:val="7"/>
        <w:jc w:val="center"/>
        <w:rPr>
          <w:rFonts w:ascii="仿宋" w:eastAsia="仿宋"/>
          <w:kern w:val="0"/>
          <w:sz w:val="28"/>
        </w:rPr>
      </w:pPr>
      <w:r>
        <w:rPr>
          <w:rFonts w:hint="eastAsia" w:ascii="仿宋" w:eastAsia="仿宋"/>
          <w:kern w:val="0"/>
          <w:sz w:val="28"/>
        </w:rPr>
        <w:t>就业创业工作完成情况统计表</w:t>
      </w:r>
    </w:p>
    <w:p>
      <w:pPr>
        <w:pStyle w:val="7"/>
        <w:jc w:val="right"/>
      </w:pPr>
      <w:r>
        <w:rPr>
          <w:rFonts w:hint="eastAsia" w:ascii="仿宋" w:eastAsia="仿宋"/>
          <w:kern w:val="0"/>
          <w:sz w:val="28"/>
        </w:rPr>
        <w:t>单位：人</w:t>
      </w:r>
    </w:p>
    <w:tbl>
      <w:tblPr>
        <w:tblStyle w:val="19"/>
        <w:tblW w:w="4998" w:type="pct"/>
        <w:tblInd w:w="0" w:type="dxa"/>
        <w:tblLayout w:type="autofit"/>
        <w:tblCellMar>
          <w:top w:w="0" w:type="dxa"/>
          <w:left w:w="108" w:type="dxa"/>
          <w:bottom w:w="0" w:type="dxa"/>
          <w:right w:w="108" w:type="dxa"/>
        </w:tblCellMar>
      </w:tblPr>
      <w:tblGrid>
        <w:gridCol w:w="2741"/>
        <w:gridCol w:w="2494"/>
        <w:gridCol w:w="1666"/>
        <w:gridCol w:w="1816"/>
      </w:tblGrid>
      <w:tr>
        <w:tblPrEx>
          <w:tblCellMar>
            <w:top w:w="0" w:type="dxa"/>
            <w:left w:w="108" w:type="dxa"/>
            <w:bottom w:w="0" w:type="dxa"/>
            <w:right w:w="108" w:type="dxa"/>
          </w:tblCellMar>
        </w:tblPrEx>
        <w:trPr>
          <w:trHeight w:val="397" w:hRule="atLeast"/>
          <w:tblHeader/>
        </w:trPr>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0"/>
                <w:szCs w:val="20"/>
              </w:rPr>
            </w:pPr>
            <w:r>
              <w:rPr>
                <w:color w:val="000000"/>
                <w:kern w:val="0"/>
                <w:sz w:val="20"/>
                <w:szCs w:val="20"/>
              </w:rPr>
              <w:t>项目名称</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2021</w:t>
            </w:r>
            <w:r>
              <w:rPr>
                <w:color w:val="000000"/>
                <w:kern w:val="0"/>
                <w:sz w:val="20"/>
                <w:szCs w:val="20"/>
              </w:rPr>
              <w:t>年计划</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2021</w:t>
            </w:r>
            <w:r>
              <w:rPr>
                <w:color w:val="000000"/>
                <w:kern w:val="0"/>
                <w:sz w:val="20"/>
                <w:szCs w:val="20"/>
              </w:rPr>
              <w:t>年实际完成</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color w:val="000000"/>
                <w:kern w:val="0"/>
                <w:sz w:val="20"/>
                <w:szCs w:val="20"/>
              </w:rPr>
              <w:t>完成全年计划比例</w:t>
            </w:r>
          </w:p>
        </w:tc>
      </w:tr>
      <w:tr>
        <w:tblPrEx>
          <w:tblCellMar>
            <w:top w:w="0" w:type="dxa"/>
            <w:left w:w="108" w:type="dxa"/>
            <w:bottom w:w="0" w:type="dxa"/>
            <w:right w:w="108" w:type="dxa"/>
          </w:tblCellMar>
        </w:tblPrEx>
        <w:trPr>
          <w:trHeight w:val="397"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000000"/>
                <w:sz w:val="20"/>
                <w:szCs w:val="20"/>
              </w:rPr>
            </w:pPr>
            <w:r>
              <w:rPr>
                <w:color w:val="000000"/>
                <w:kern w:val="0"/>
                <w:sz w:val="20"/>
                <w:szCs w:val="20"/>
              </w:rPr>
              <w:t>城镇新增就业人数</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55000</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58818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106.94%</w:t>
            </w:r>
          </w:p>
        </w:tc>
      </w:tr>
      <w:tr>
        <w:tblPrEx>
          <w:tblCellMar>
            <w:top w:w="0" w:type="dxa"/>
            <w:left w:w="108" w:type="dxa"/>
            <w:bottom w:w="0" w:type="dxa"/>
            <w:right w:w="108" w:type="dxa"/>
          </w:tblCellMar>
        </w:tblPrEx>
        <w:trPr>
          <w:trHeight w:val="397"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000000"/>
                <w:sz w:val="20"/>
                <w:szCs w:val="20"/>
              </w:rPr>
            </w:pPr>
            <w:r>
              <w:rPr>
                <w:color w:val="000000"/>
                <w:kern w:val="0"/>
                <w:sz w:val="20"/>
                <w:szCs w:val="20"/>
              </w:rPr>
              <w:t>失业人员再就业人数</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11000</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15522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141.11%</w:t>
            </w:r>
          </w:p>
        </w:tc>
      </w:tr>
      <w:tr>
        <w:tblPrEx>
          <w:tblCellMar>
            <w:top w:w="0" w:type="dxa"/>
            <w:left w:w="108" w:type="dxa"/>
            <w:bottom w:w="0" w:type="dxa"/>
            <w:right w:w="108" w:type="dxa"/>
          </w:tblCellMar>
        </w:tblPrEx>
        <w:trPr>
          <w:trHeight w:val="397"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000000"/>
                <w:sz w:val="20"/>
                <w:szCs w:val="20"/>
              </w:rPr>
            </w:pPr>
            <w:r>
              <w:rPr>
                <w:color w:val="000000"/>
                <w:kern w:val="0"/>
                <w:sz w:val="20"/>
                <w:szCs w:val="20"/>
              </w:rPr>
              <w:t>就业困难人员就业人数</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3000</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 xml:space="preserve">3,571.00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119.03%</w:t>
            </w:r>
          </w:p>
        </w:tc>
      </w:tr>
      <w:tr>
        <w:tblPrEx>
          <w:tblCellMar>
            <w:top w:w="0" w:type="dxa"/>
            <w:left w:w="108" w:type="dxa"/>
            <w:bottom w:w="0" w:type="dxa"/>
            <w:right w:w="108" w:type="dxa"/>
          </w:tblCellMar>
        </w:tblPrEx>
        <w:trPr>
          <w:trHeight w:val="397"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000000"/>
                <w:sz w:val="20"/>
                <w:szCs w:val="20"/>
              </w:rPr>
            </w:pPr>
            <w:r>
              <w:rPr>
                <w:color w:val="000000"/>
                <w:kern w:val="0"/>
                <w:sz w:val="20"/>
                <w:szCs w:val="20"/>
              </w:rPr>
              <w:t>城镇登记失业率</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≤4.5%</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 xml:space="preserve">0.02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w:t>
            </w:r>
          </w:p>
        </w:tc>
      </w:tr>
      <w:tr>
        <w:tblPrEx>
          <w:tblCellMar>
            <w:top w:w="0" w:type="dxa"/>
            <w:left w:w="108" w:type="dxa"/>
            <w:bottom w:w="0" w:type="dxa"/>
            <w:right w:w="108" w:type="dxa"/>
          </w:tblCellMar>
        </w:tblPrEx>
        <w:trPr>
          <w:trHeight w:val="397"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000000"/>
                <w:sz w:val="20"/>
                <w:szCs w:val="20"/>
              </w:rPr>
            </w:pPr>
            <w:r>
              <w:rPr>
                <w:color w:val="000000"/>
                <w:kern w:val="0"/>
                <w:sz w:val="20"/>
                <w:szCs w:val="20"/>
              </w:rPr>
              <w:t>农村劳动力转移就业人数</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80000</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 xml:space="preserve">166,481.00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208.10%</w:t>
            </w:r>
          </w:p>
        </w:tc>
      </w:tr>
    </w:tbl>
    <w:p>
      <w:pPr>
        <w:widowControl w:val="0"/>
        <w:spacing w:line="560" w:lineRule="exact"/>
        <w:ind w:firstLine="560" w:firstLineChars="200"/>
        <w:rPr>
          <w:bCs/>
        </w:rPr>
      </w:pPr>
      <w:r>
        <w:rPr>
          <w:rFonts w:hint="eastAsia"/>
          <w:bCs/>
        </w:rPr>
        <w:t>满分4分，</w:t>
      </w:r>
      <w:r>
        <w:rPr>
          <w:rFonts w:hint="eastAsia"/>
          <w:kern w:val="0"/>
        </w:rPr>
        <w:t>根据绩效评价指标，本指标</w:t>
      </w:r>
      <w:r>
        <w:rPr>
          <w:rFonts w:hint="eastAsia"/>
          <w:bCs/>
        </w:rPr>
        <w:t>得分4分</w:t>
      </w:r>
      <w:r>
        <w:rPr>
          <w:rFonts w:hint="eastAsia"/>
          <w:kern w:val="0"/>
        </w:rPr>
        <w:t>，得分率100%</w:t>
      </w:r>
      <w:r>
        <w:rPr>
          <w:rFonts w:hint="eastAsia"/>
          <w:bCs/>
        </w:rPr>
        <w:t>。</w:t>
      </w:r>
    </w:p>
    <w:p>
      <w:pPr>
        <w:pStyle w:val="15"/>
        <w:widowControl w:val="0"/>
        <w:spacing w:after="0" w:line="560" w:lineRule="exact"/>
        <w:ind w:left="0" w:leftChars="0" w:firstLine="562" w:firstLineChars="200"/>
        <w:rPr>
          <w:b/>
          <w:sz w:val="28"/>
        </w:rPr>
      </w:pPr>
      <w:r>
        <w:rPr>
          <w:rFonts w:hint="eastAsia"/>
          <w:b/>
          <w:sz w:val="28"/>
        </w:rPr>
        <w:t>A3-2社会保险推进工作完成情况</w:t>
      </w:r>
    </w:p>
    <w:p>
      <w:pPr>
        <w:widowControl w:val="0"/>
        <w:spacing w:line="560" w:lineRule="exact"/>
        <w:ind w:firstLine="560" w:firstLineChars="200"/>
        <w:rPr>
          <w:kern w:val="0"/>
        </w:rPr>
      </w:pPr>
      <w:r>
        <w:rPr>
          <w:rFonts w:hint="eastAsia"/>
          <w:bCs/>
        </w:rPr>
        <w:t>经核实，</w:t>
      </w:r>
      <w:r>
        <w:rPr>
          <w:rFonts w:hint="eastAsia"/>
          <w:kern w:val="0"/>
        </w:rPr>
        <w:t>运城市人力资源和社会保障局已按计划完成社会保险覆盖面推进工作，具体为：</w:t>
      </w:r>
    </w:p>
    <w:p>
      <w:pPr>
        <w:pStyle w:val="7"/>
        <w:jc w:val="center"/>
        <w:rPr>
          <w:rFonts w:ascii="仿宋" w:eastAsia="仿宋"/>
          <w:kern w:val="0"/>
          <w:sz w:val="28"/>
        </w:rPr>
      </w:pPr>
      <w:r>
        <w:rPr>
          <w:rFonts w:hint="eastAsia" w:ascii="仿宋" w:eastAsia="仿宋"/>
          <w:kern w:val="0"/>
          <w:sz w:val="28"/>
        </w:rPr>
        <w:t>社会保险覆盖面工作完成情况统计表</w:t>
      </w:r>
    </w:p>
    <w:p>
      <w:pPr>
        <w:pStyle w:val="7"/>
        <w:jc w:val="right"/>
        <w:rPr>
          <w:rFonts w:ascii="仿宋" w:eastAsia="仿宋"/>
          <w:kern w:val="0"/>
          <w:sz w:val="28"/>
        </w:rPr>
      </w:pPr>
      <w:r>
        <w:rPr>
          <w:rFonts w:hint="eastAsia" w:ascii="仿宋" w:eastAsia="仿宋"/>
          <w:kern w:val="0"/>
          <w:sz w:val="28"/>
        </w:rPr>
        <w:t>单位：万人</w:t>
      </w:r>
    </w:p>
    <w:tbl>
      <w:tblPr>
        <w:tblStyle w:val="19"/>
        <w:tblW w:w="4998" w:type="pct"/>
        <w:tblInd w:w="0" w:type="dxa"/>
        <w:tblLayout w:type="autofit"/>
        <w:tblCellMar>
          <w:top w:w="0" w:type="dxa"/>
          <w:left w:w="108" w:type="dxa"/>
          <w:bottom w:w="0" w:type="dxa"/>
          <w:right w:w="108" w:type="dxa"/>
        </w:tblCellMar>
      </w:tblPr>
      <w:tblGrid>
        <w:gridCol w:w="736"/>
        <w:gridCol w:w="3101"/>
        <w:gridCol w:w="1301"/>
        <w:gridCol w:w="1713"/>
        <w:gridCol w:w="1866"/>
      </w:tblGrid>
      <w:tr>
        <w:tblPrEx>
          <w:tblCellMar>
            <w:top w:w="0" w:type="dxa"/>
            <w:left w:w="108" w:type="dxa"/>
            <w:bottom w:w="0" w:type="dxa"/>
            <w:right w:w="108" w:type="dxa"/>
          </w:tblCellMar>
        </w:tblPrEx>
        <w:trPr>
          <w:trHeight w:val="397"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序号</w:t>
            </w:r>
          </w:p>
        </w:tc>
        <w:tc>
          <w:tcPr>
            <w:tcW w:w="1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项目</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2021</w:t>
            </w:r>
            <w:r>
              <w:rPr>
                <w:rFonts w:hint="eastAsia" w:cs="宋体"/>
                <w:color w:val="000000"/>
                <w:kern w:val="0"/>
                <w:sz w:val="20"/>
                <w:szCs w:val="20"/>
              </w:rPr>
              <w:t>年计划</w:t>
            </w:r>
          </w:p>
        </w:tc>
        <w:tc>
          <w:tcPr>
            <w:tcW w:w="9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2021</w:t>
            </w:r>
            <w:r>
              <w:rPr>
                <w:rFonts w:hint="eastAsia" w:cs="宋体"/>
                <w:color w:val="000000"/>
                <w:kern w:val="0"/>
                <w:sz w:val="20"/>
                <w:szCs w:val="20"/>
              </w:rPr>
              <w:t>年实际完成</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完成全年计划比例</w:t>
            </w:r>
          </w:p>
        </w:tc>
      </w:tr>
      <w:tr>
        <w:trPr>
          <w:trHeight w:val="397"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一</w:t>
            </w:r>
          </w:p>
        </w:tc>
        <w:tc>
          <w:tcPr>
            <w:tcW w:w="1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Times New Roman"/>
                <w:color w:val="000000"/>
                <w:sz w:val="20"/>
                <w:szCs w:val="20"/>
              </w:rPr>
            </w:pPr>
            <w:r>
              <w:rPr>
                <w:rFonts w:hint="eastAsia" w:cs="宋体"/>
                <w:color w:val="000000"/>
                <w:kern w:val="0"/>
                <w:sz w:val="20"/>
                <w:szCs w:val="20"/>
              </w:rPr>
              <w:t>基本养老保险</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362.86</w:t>
            </w:r>
          </w:p>
        </w:tc>
        <w:tc>
          <w:tcPr>
            <w:tcW w:w="9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367.26</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101.21%</w:t>
            </w:r>
          </w:p>
        </w:tc>
      </w:tr>
      <w:tr>
        <w:tblPrEx>
          <w:tblCellMar>
            <w:top w:w="0" w:type="dxa"/>
            <w:left w:w="108" w:type="dxa"/>
            <w:bottom w:w="0" w:type="dxa"/>
            <w:right w:w="108" w:type="dxa"/>
          </w:tblCellMar>
        </w:tblPrEx>
        <w:trPr>
          <w:trHeight w:val="397"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w:t>
            </w:r>
          </w:p>
        </w:tc>
        <w:tc>
          <w:tcPr>
            <w:tcW w:w="1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宋体"/>
                <w:color w:val="000000"/>
                <w:sz w:val="20"/>
                <w:szCs w:val="20"/>
              </w:rPr>
            </w:pPr>
            <w:r>
              <w:rPr>
                <w:rFonts w:hint="eastAsia" w:cs="宋体"/>
                <w:color w:val="000000"/>
                <w:kern w:val="0"/>
                <w:sz w:val="20"/>
                <w:szCs w:val="20"/>
              </w:rPr>
              <w:t xml:space="preserve">  参加城镇职工基本养老保险</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76.77</w:t>
            </w:r>
          </w:p>
        </w:tc>
        <w:tc>
          <w:tcPr>
            <w:tcW w:w="9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80.72</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105.15%</w:t>
            </w:r>
          </w:p>
        </w:tc>
      </w:tr>
      <w:tr>
        <w:tblPrEx>
          <w:tblCellMar>
            <w:top w:w="0" w:type="dxa"/>
            <w:left w:w="108" w:type="dxa"/>
            <w:bottom w:w="0" w:type="dxa"/>
            <w:right w:w="108" w:type="dxa"/>
          </w:tblCellMar>
        </w:tblPrEx>
        <w:trPr>
          <w:trHeight w:val="397"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w:t>
            </w:r>
            <w:r>
              <w:rPr>
                <w:rFonts w:cs="Times New Roman"/>
                <w:color w:val="000000"/>
                <w:kern w:val="0"/>
                <w:sz w:val="20"/>
                <w:szCs w:val="20"/>
              </w:rPr>
              <w:t>1</w:t>
            </w:r>
            <w:r>
              <w:rPr>
                <w:rFonts w:hint="eastAsia" w:cs="宋体"/>
                <w:color w:val="000000"/>
                <w:kern w:val="0"/>
                <w:sz w:val="20"/>
                <w:szCs w:val="20"/>
              </w:rPr>
              <w:t>）</w:t>
            </w:r>
          </w:p>
        </w:tc>
        <w:tc>
          <w:tcPr>
            <w:tcW w:w="1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宋体"/>
                <w:color w:val="000000"/>
                <w:sz w:val="20"/>
                <w:szCs w:val="20"/>
              </w:rPr>
            </w:pPr>
            <w:r>
              <w:rPr>
                <w:rFonts w:hint="eastAsia" w:cs="宋体"/>
                <w:color w:val="000000"/>
                <w:kern w:val="0"/>
                <w:sz w:val="20"/>
                <w:szCs w:val="20"/>
              </w:rPr>
              <w:t xml:space="preserve">    参加企业基本养老保险</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56.99 </w:t>
            </w:r>
          </w:p>
        </w:tc>
        <w:tc>
          <w:tcPr>
            <w:tcW w:w="9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60.22 </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105.67%</w:t>
            </w:r>
          </w:p>
        </w:tc>
      </w:tr>
      <w:tr>
        <w:tblPrEx>
          <w:tblCellMar>
            <w:top w:w="0" w:type="dxa"/>
            <w:left w:w="108" w:type="dxa"/>
            <w:bottom w:w="0" w:type="dxa"/>
            <w:right w:w="108" w:type="dxa"/>
          </w:tblCellMar>
        </w:tblPrEx>
        <w:trPr>
          <w:trHeight w:val="397"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w:t>
            </w:r>
            <w:r>
              <w:rPr>
                <w:rFonts w:cs="Times New Roman"/>
                <w:color w:val="000000"/>
                <w:kern w:val="0"/>
                <w:sz w:val="20"/>
                <w:szCs w:val="20"/>
              </w:rPr>
              <w:t>2</w:t>
            </w:r>
            <w:r>
              <w:rPr>
                <w:rFonts w:hint="eastAsia" w:cs="宋体"/>
                <w:color w:val="000000"/>
                <w:kern w:val="0"/>
                <w:sz w:val="20"/>
                <w:szCs w:val="20"/>
              </w:rPr>
              <w:t>）</w:t>
            </w:r>
          </w:p>
        </w:tc>
        <w:tc>
          <w:tcPr>
            <w:tcW w:w="1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宋体"/>
                <w:color w:val="000000"/>
                <w:sz w:val="20"/>
                <w:szCs w:val="20"/>
              </w:rPr>
            </w:pPr>
            <w:r>
              <w:rPr>
                <w:rFonts w:hint="eastAsia" w:cs="宋体"/>
                <w:color w:val="000000"/>
                <w:kern w:val="0"/>
                <w:sz w:val="20"/>
                <w:szCs w:val="20"/>
              </w:rPr>
              <w:t xml:space="preserve">    参加机关单位基本养老保险</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19.78 </w:t>
            </w:r>
          </w:p>
        </w:tc>
        <w:tc>
          <w:tcPr>
            <w:tcW w:w="9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20.50 </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103.64%</w:t>
            </w:r>
          </w:p>
        </w:tc>
      </w:tr>
      <w:tr>
        <w:tblPrEx>
          <w:tblCellMar>
            <w:top w:w="0" w:type="dxa"/>
            <w:left w:w="108" w:type="dxa"/>
            <w:bottom w:w="0" w:type="dxa"/>
            <w:right w:w="108" w:type="dxa"/>
          </w:tblCellMar>
        </w:tblPrEx>
        <w:trPr>
          <w:trHeight w:val="397"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w:t>
            </w:r>
          </w:p>
        </w:tc>
        <w:tc>
          <w:tcPr>
            <w:tcW w:w="1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宋体"/>
                <w:color w:val="000000"/>
                <w:sz w:val="20"/>
                <w:szCs w:val="20"/>
              </w:rPr>
            </w:pPr>
            <w:r>
              <w:rPr>
                <w:rFonts w:hint="eastAsia" w:cs="宋体"/>
                <w:color w:val="000000"/>
                <w:kern w:val="0"/>
                <w:sz w:val="20"/>
                <w:szCs w:val="20"/>
              </w:rPr>
              <w:t xml:space="preserve">  参加城乡居民基本养老保险</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286.09 </w:t>
            </w:r>
          </w:p>
        </w:tc>
        <w:tc>
          <w:tcPr>
            <w:tcW w:w="9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286.54 </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100.16%</w:t>
            </w:r>
          </w:p>
        </w:tc>
      </w:tr>
      <w:tr>
        <w:trPr>
          <w:trHeight w:val="397"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二</w:t>
            </w:r>
          </w:p>
        </w:tc>
        <w:tc>
          <w:tcPr>
            <w:tcW w:w="1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宋体"/>
                <w:color w:val="000000"/>
                <w:sz w:val="20"/>
                <w:szCs w:val="20"/>
              </w:rPr>
            </w:pPr>
            <w:r>
              <w:rPr>
                <w:rFonts w:hint="eastAsia" w:cs="宋体"/>
                <w:color w:val="000000"/>
                <w:kern w:val="0"/>
                <w:sz w:val="20"/>
                <w:szCs w:val="20"/>
              </w:rPr>
              <w:t>失业保险</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37.75 </w:t>
            </w:r>
          </w:p>
        </w:tc>
        <w:tc>
          <w:tcPr>
            <w:tcW w:w="9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38.06 </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100.82%</w:t>
            </w:r>
          </w:p>
        </w:tc>
      </w:tr>
      <w:tr>
        <w:tblPrEx>
          <w:tblCellMar>
            <w:top w:w="0" w:type="dxa"/>
            <w:left w:w="108" w:type="dxa"/>
            <w:bottom w:w="0" w:type="dxa"/>
            <w:right w:w="108" w:type="dxa"/>
          </w:tblCellMar>
        </w:tblPrEx>
        <w:trPr>
          <w:trHeight w:val="397"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hint="eastAsia" w:cs="宋体"/>
                <w:color w:val="000000"/>
                <w:kern w:val="0"/>
                <w:sz w:val="20"/>
                <w:szCs w:val="20"/>
              </w:rPr>
              <w:t>三</w:t>
            </w:r>
          </w:p>
        </w:tc>
        <w:tc>
          <w:tcPr>
            <w:tcW w:w="1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cs="Times New Roman"/>
                <w:color w:val="000000"/>
                <w:sz w:val="20"/>
                <w:szCs w:val="20"/>
              </w:rPr>
            </w:pPr>
            <w:r>
              <w:rPr>
                <w:rFonts w:hint="eastAsia" w:cs="宋体"/>
                <w:color w:val="000000"/>
                <w:kern w:val="0"/>
                <w:sz w:val="20"/>
                <w:szCs w:val="20"/>
              </w:rPr>
              <w:t>工伤保险</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70.00 </w:t>
            </w:r>
          </w:p>
        </w:tc>
        <w:tc>
          <w:tcPr>
            <w:tcW w:w="9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 xml:space="preserve">70.98 </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101.40%</w:t>
            </w:r>
          </w:p>
        </w:tc>
      </w:tr>
    </w:tbl>
    <w:p>
      <w:pPr>
        <w:widowControl w:val="0"/>
        <w:spacing w:line="560" w:lineRule="exact"/>
        <w:ind w:firstLine="560" w:firstLineChars="200"/>
        <w:rPr>
          <w:bCs/>
        </w:rPr>
      </w:pPr>
      <w:r>
        <w:rPr>
          <w:rFonts w:hint="eastAsia"/>
          <w:bCs/>
        </w:rPr>
        <w:t>满分4分，</w:t>
      </w:r>
      <w:r>
        <w:rPr>
          <w:rFonts w:hint="eastAsia"/>
          <w:kern w:val="0"/>
        </w:rPr>
        <w:t>根据绩效评价指标，本指标</w:t>
      </w:r>
      <w:r>
        <w:rPr>
          <w:rFonts w:hint="eastAsia"/>
          <w:bCs/>
        </w:rPr>
        <w:t>得分4分</w:t>
      </w:r>
      <w:r>
        <w:rPr>
          <w:rFonts w:hint="eastAsia"/>
          <w:kern w:val="0"/>
        </w:rPr>
        <w:t>，得分率100%</w:t>
      </w:r>
      <w:r>
        <w:rPr>
          <w:rFonts w:hint="eastAsia"/>
          <w:bCs/>
        </w:rPr>
        <w:t>。</w:t>
      </w:r>
    </w:p>
    <w:p>
      <w:pPr>
        <w:pStyle w:val="7"/>
        <w:widowControl w:val="0"/>
        <w:spacing w:line="560" w:lineRule="exact"/>
        <w:ind w:firstLine="562" w:firstLineChars="200"/>
        <w:outlineLvl w:val="3"/>
        <w:rPr>
          <w:rFonts w:ascii="仿宋" w:eastAsia="仿宋"/>
          <w:b/>
          <w:bCs/>
          <w:kern w:val="0"/>
          <w:sz w:val="28"/>
        </w:rPr>
      </w:pPr>
      <w:r>
        <w:rPr>
          <w:rFonts w:hint="eastAsia" w:ascii="仿宋" w:eastAsia="仿宋"/>
          <w:b/>
          <w:bCs/>
          <w:kern w:val="0"/>
          <w:sz w:val="28"/>
        </w:rPr>
        <w:t>A4-1依法行政</w:t>
      </w:r>
    </w:p>
    <w:p>
      <w:pPr>
        <w:pStyle w:val="7"/>
        <w:widowControl w:val="0"/>
        <w:spacing w:line="560" w:lineRule="exact"/>
        <w:ind w:firstLine="560" w:firstLineChars="200"/>
        <w:rPr>
          <w:rFonts w:ascii="仿宋" w:eastAsia="仿宋"/>
          <w:bCs/>
          <w:sz w:val="28"/>
        </w:rPr>
      </w:pPr>
      <w:r>
        <w:rPr>
          <w:rFonts w:hint="eastAsia" w:ascii="仿宋" w:eastAsia="仿宋"/>
          <w:bCs/>
          <w:sz w:val="28"/>
        </w:rPr>
        <w:t>运城市人力资源和社会保障局成立依法行政和普法教育工作领导小组，建立行政执法责任制，加强行政执法监督，将“法治人社”建设的要求落实到岗、落实到人；推进重大执法决定法制审核制度，把公众参与、专家论证、风险评估、合法性审查和集体讨论决定作为重大决策的必经程序，推动决策公开透明，科学民主行使权力；推进运城市劳动人事争议仲裁院标准化建设，进一步简化工作程序，开辟维权绿色通道，注重案前和案中调解，将劳动人事争议及时、妥善化解；开展的根治欠薪夏季行动中，人社、公安、住建等部门联合查处欠薪案件，集中限期解决欠薪问题，及时消除隐患风险。</w:t>
      </w:r>
    </w:p>
    <w:p>
      <w:pPr>
        <w:widowControl w:val="0"/>
        <w:spacing w:line="560" w:lineRule="exact"/>
        <w:ind w:firstLine="560" w:firstLineChars="200"/>
        <w:rPr>
          <w:bCs/>
        </w:rPr>
      </w:pPr>
      <w:r>
        <w:rPr>
          <w:rFonts w:hint="eastAsia"/>
          <w:bCs/>
        </w:rPr>
        <w:t>满分2分，</w:t>
      </w:r>
      <w:r>
        <w:rPr>
          <w:rFonts w:hint="eastAsia"/>
          <w:kern w:val="0"/>
        </w:rPr>
        <w:t>根据绩效评价指标，本指标</w:t>
      </w:r>
      <w:r>
        <w:rPr>
          <w:rFonts w:hint="eastAsia"/>
          <w:bCs/>
        </w:rPr>
        <w:t>得分2分</w:t>
      </w:r>
      <w:r>
        <w:rPr>
          <w:rFonts w:hint="eastAsia"/>
          <w:kern w:val="0"/>
        </w:rPr>
        <w:t>，得分率100%</w:t>
      </w:r>
      <w:r>
        <w:rPr>
          <w:rFonts w:hint="eastAsia"/>
          <w:bCs/>
        </w:rPr>
        <w:t>。</w:t>
      </w:r>
    </w:p>
    <w:p>
      <w:pPr>
        <w:pStyle w:val="7"/>
        <w:widowControl w:val="0"/>
        <w:spacing w:line="560" w:lineRule="exact"/>
        <w:ind w:firstLine="562" w:firstLineChars="200"/>
        <w:outlineLvl w:val="3"/>
        <w:rPr>
          <w:rFonts w:ascii="仿宋" w:eastAsia="仿宋"/>
          <w:b/>
          <w:bCs/>
          <w:kern w:val="0"/>
          <w:sz w:val="28"/>
        </w:rPr>
      </w:pPr>
      <w:r>
        <w:rPr>
          <w:rFonts w:hint="eastAsia" w:ascii="仿宋" w:eastAsia="仿宋"/>
          <w:b/>
          <w:bCs/>
          <w:kern w:val="0"/>
          <w:sz w:val="28"/>
        </w:rPr>
        <w:t>A4-2管理制度健全性</w:t>
      </w:r>
    </w:p>
    <w:p>
      <w:pPr>
        <w:pStyle w:val="7"/>
        <w:widowControl w:val="0"/>
        <w:spacing w:line="580" w:lineRule="exact"/>
        <w:ind w:firstLine="560" w:firstLineChars="200"/>
        <w:rPr>
          <w:rFonts w:ascii="仿宋" w:eastAsia="仿宋"/>
          <w:kern w:val="0"/>
          <w:sz w:val="28"/>
        </w:rPr>
      </w:pPr>
      <w:r>
        <w:rPr>
          <w:rFonts w:hint="eastAsia" w:ascii="仿宋" w:eastAsia="仿宋"/>
          <w:kern w:val="0"/>
          <w:sz w:val="28"/>
        </w:rPr>
        <w:t>运城市人力资源和社会保障局以《行政事业单位内部控制规范（试行）》为基础，制定了一系列内部控制制度和流程，明确了单位内部控制的要求、将内控责任分层次落实到部门、岗位，形成全面、系统的内部控制体系。主要包括单位层面的内部控制、业务层面的内部控制两个部分。单位层面内部控制涉及“三重一大”集体决策制度、岗位责任制、财务体系、主要经济活动管理结构等方面。业务层面内部控制主要包括预算业务控制、收支业务控制、政府采购业务控制、资产业务控制、项目建设业务控制和合同业务控制，涵盖了该部门主要经济活动内容。该部门制定或具有相应的业务管理制度和流程，业务管理制度和流程合法、合规、完整。</w:t>
      </w:r>
    </w:p>
    <w:p>
      <w:pPr>
        <w:widowControl w:val="0"/>
        <w:spacing w:line="560" w:lineRule="exact"/>
        <w:ind w:firstLine="560" w:firstLineChars="200"/>
        <w:rPr>
          <w:bCs/>
        </w:rPr>
      </w:pPr>
      <w:r>
        <w:rPr>
          <w:rFonts w:hint="eastAsia"/>
          <w:bCs/>
        </w:rPr>
        <w:t>满分2分，</w:t>
      </w:r>
      <w:r>
        <w:rPr>
          <w:rFonts w:hint="eastAsia"/>
          <w:kern w:val="0"/>
        </w:rPr>
        <w:t>根据绩效评价指标，本指标</w:t>
      </w:r>
      <w:r>
        <w:rPr>
          <w:rFonts w:hint="eastAsia"/>
          <w:bCs/>
        </w:rPr>
        <w:t>得分2分</w:t>
      </w:r>
      <w:r>
        <w:rPr>
          <w:rFonts w:hint="eastAsia"/>
          <w:kern w:val="0"/>
        </w:rPr>
        <w:t>，得分率100%</w:t>
      </w:r>
      <w:r>
        <w:rPr>
          <w:rFonts w:hint="eastAsia"/>
          <w:bCs/>
        </w:rPr>
        <w:t>。</w:t>
      </w:r>
    </w:p>
    <w:p>
      <w:pPr>
        <w:pStyle w:val="7"/>
        <w:widowControl w:val="0"/>
        <w:spacing w:line="560" w:lineRule="exact"/>
        <w:ind w:firstLine="562" w:firstLineChars="200"/>
        <w:outlineLvl w:val="3"/>
        <w:rPr>
          <w:rFonts w:ascii="仿宋" w:eastAsia="仿宋"/>
          <w:b/>
          <w:bCs/>
          <w:kern w:val="0"/>
          <w:sz w:val="28"/>
        </w:rPr>
      </w:pPr>
      <w:r>
        <w:rPr>
          <w:rFonts w:hint="eastAsia" w:ascii="仿宋" w:eastAsia="仿宋"/>
          <w:b/>
          <w:bCs/>
          <w:kern w:val="0"/>
          <w:sz w:val="28"/>
        </w:rPr>
        <w:t>A4-3制度执行有效性</w:t>
      </w:r>
    </w:p>
    <w:p>
      <w:pPr>
        <w:widowControl w:val="0"/>
        <w:spacing w:line="560" w:lineRule="exact"/>
        <w:ind w:firstLine="560" w:firstLineChars="200"/>
        <w:rPr>
          <w:kern w:val="0"/>
        </w:rPr>
      </w:pPr>
      <w:r>
        <w:rPr>
          <w:rFonts w:hint="eastAsia"/>
          <w:kern w:val="0"/>
        </w:rPr>
        <w:t>经评价组核实，在项目建设过程中制度执行较为有效，项目资金申请及批复、验收等实施资料齐全并及时归档，项目实施人员条件、场地设备等均落实到位，严格遵守相关法律法规和相关管理规定。 如在技能运城建设工作中，建设领导小组工作机制，设立领导小组办公室，严格按照专项考核办法推动建设技能运城工作完成各项目标任务；</w:t>
      </w:r>
    </w:p>
    <w:p>
      <w:pPr>
        <w:widowControl w:val="0"/>
        <w:spacing w:line="560" w:lineRule="exact"/>
        <w:ind w:firstLine="560" w:firstLineChars="200"/>
      </w:pPr>
      <w:r>
        <w:rPr>
          <w:rFonts w:hint="eastAsia"/>
          <w:bCs/>
        </w:rPr>
        <w:t>满分4分，</w:t>
      </w:r>
      <w:r>
        <w:rPr>
          <w:rFonts w:hint="eastAsia"/>
          <w:kern w:val="0"/>
        </w:rPr>
        <w:t>根据绩效评价指标，本指标</w:t>
      </w:r>
      <w:r>
        <w:rPr>
          <w:rFonts w:hint="eastAsia"/>
          <w:bCs/>
        </w:rPr>
        <w:t>得分4分</w:t>
      </w:r>
      <w:r>
        <w:rPr>
          <w:rFonts w:hint="eastAsia"/>
          <w:kern w:val="0"/>
        </w:rPr>
        <w:t>，得分率100%</w:t>
      </w:r>
      <w:r>
        <w:rPr>
          <w:rFonts w:hint="eastAsia"/>
          <w:bCs/>
        </w:rPr>
        <w:t>。</w:t>
      </w:r>
    </w:p>
    <w:p>
      <w:pPr>
        <w:spacing w:line="560" w:lineRule="exact"/>
        <w:ind w:firstLine="560" w:firstLineChars="200"/>
      </w:pPr>
      <w:bookmarkStart w:id="278" w:name="_Toc17758"/>
      <w:bookmarkStart w:id="279" w:name="_Toc5096"/>
      <w:bookmarkStart w:id="280" w:name="_Toc26043_WPSOffice_Level2"/>
      <w:bookmarkStart w:id="281" w:name="_Toc29290_WPSOffice_Level2"/>
      <w:bookmarkStart w:id="282" w:name="_Toc14013_WPSOffice_Level2"/>
      <w:bookmarkStart w:id="283" w:name="_Toc10374_WPSOffice_Level2"/>
      <w:bookmarkStart w:id="284" w:name="_Toc5760_WPSOffice_Level2"/>
      <w:bookmarkStart w:id="285" w:name="_Toc30298_WPSOffice_Level2"/>
      <w:bookmarkStart w:id="286" w:name="_Toc224_WPSOffice_Level2"/>
      <w:bookmarkStart w:id="287" w:name="_Toc31868_WPSOffice_Level2"/>
      <w:bookmarkStart w:id="288" w:name="_Toc30281_WPSOffice_Level2"/>
      <w:r>
        <w:rPr>
          <w:rFonts w:hint="eastAsia"/>
        </w:rPr>
        <w:t>2、管理效率分析</w:t>
      </w:r>
      <w:bookmarkEnd w:id="278"/>
      <w:bookmarkEnd w:id="279"/>
    </w:p>
    <w:p>
      <w:pPr>
        <w:widowControl w:val="0"/>
        <w:spacing w:line="560" w:lineRule="exact"/>
        <w:ind w:firstLine="560" w:firstLineChars="200"/>
      </w:pPr>
      <w:r>
        <w:rPr>
          <w:rFonts w:hint="eastAsia"/>
        </w:rPr>
        <w:t>管理效率类指标分别从预算管理、财务管理、资产管理、其他管理四个方面进行分析，共设置4个二级指标10个三级指标。管理效率类指标分值30分，实际得分2</w:t>
      </w:r>
      <w:r>
        <w:rPr>
          <w:rFonts w:hint="eastAsia"/>
          <w:lang w:val="en-US" w:eastAsia="zh-CN"/>
        </w:rPr>
        <w:t>0.07</w:t>
      </w:r>
      <w:r>
        <w:rPr>
          <w:rFonts w:hint="eastAsia"/>
        </w:rPr>
        <w:t>分，得分率</w:t>
      </w:r>
      <w:r>
        <w:rPr>
          <w:rFonts w:hint="eastAsia"/>
          <w:lang w:val="en-US" w:eastAsia="zh-CN"/>
        </w:rPr>
        <w:t>66.90</w:t>
      </w:r>
      <w:r>
        <w:rPr>
          <w:rFonts w:hint="eastAsia"/>
        </w:rPr>
        <w:t>%。</w:t>
      </w:r>
    </w:p>
    <w:p>
      <w:pPr>
        <w:widowControl w:val="0"/>
        <w:spacing w:line="560" w:lineRule="exact"/>
        <w:ind w:firstLine="560" w:firstLineChars="200"/>
      </w:pPr>
      <w:r>
        <w:rPr>
          <w:rFonts w:hint="eastAsia"/>
        </w:rPr>
        <w:t>具体得分情况如下表所示：</w:t>
      </w:r>
    </w:p>
    <w:p>
      <w:pPr>
        <w:pStyle w:val="71"/>
        <w:spacing w:line="360" w:lineRule="auto"/>
        <w:rPr>
          <w:rFonts w:ascii="仿宋" w:hAnsi="仿宋" w:eastAsia="仿宋"/>
          <w:szCs w:val="24"/>
        </w:rPr>
      </w:pPr>
      <w:r>
        <w:rPr>
          <w:rFonts w:hint="eastAsia" w:ascii="仿宋" w:hAnsi="仿宋" w:eastAsia="仿宋"/>
          <w:szCs w:val="24"/>
        </w:rPr>
        <w:t>表3-3  管理效率类指标得分情况</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3279"/>
        <w:gridCol w:w="1099"/>
        <w:gridCol w:w="912"/>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trPr>
        <w:tc>
          <w:tcPr>
            <w:tcW w:w="2139"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二级指标</w:t>
            </w:r>
          </w:p>
        </w:tc>
        <w:tc>
          <w:tcPr>
            <w:tcW w:w="3279"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三级指标</w:t>
            </w:r>
          </w:p>
        </w:tc>
        <w:tc>
          <w:tcPr>
            <w:tcW w:w="1099"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分值</w:t>
            </w:r>
          </w:p>
        </w:tc>
        <w:tc>
          <w:tcPr>
            <w:tcW w:w="912"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得分</w:t>
            </w:r>
          </w:p>
        </w:tc>
        <w:tc>
          <w:tcPr>
            <w:tcW w:w="1093"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restart"/>
            <w:vAlign w:val="center"/>
          </w:tcPr>
          <w:p>
            <w:pPr>
              <w:pStyle w:val="71"/>
              <w:spacing w:before="0" w:after="0" w:line="360" w:lineRule="auto"/>
              <w:rPr>
                <w:rFonts w:ascii="仿宋" w:hAnsi="仿宋" w:eastAsia="仿宋"/>
                <w:b w:val="0"/>
                <w:color w:val="000000"/>
                <w:szCs w:val="24"/>
              </w:rPr>
            </w:pPr>
            <w:r>
              <w:rPr>
                <w:rFonts w:hint="eastAsia" w:ascii="仿宋" w:hAnsi="仿宋" w:eastAsia="仿宋"/>
                <w:b w:val="0"/>
                <w:bCs/>
                <w:color w:val="000000"/>
                <w:szCs w:val="24"/>
              </w:rPr>
              <w:t>预算管理</w:t>
            </w: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B1-1预算编制管理</w:t>
            </w:r>
          </w:p>
        </w:tc>
        <w:tc>
          <w:tcPr>
            <w:tcW w:w="1099" w:type="dxa"/>
            <w:vAlign w:val="center"/>
          </w:tcPr>
          <w:p>
            <w:pPr>
              <w:jc w:val="center"/>
              <w:textAlignment w:val="center"/>
              <w:rPr>
                <w:color w:val="000000"/>
                <w:kern w:val="0"/>
                <w:sz w:val="24"/>
                <w:szCs w:val="24"/>
              </w:rPr>
            </w:pPr>
            <w:r>
              <w:rPr>
                <w:rFonts w:hint="eastAsia"/>
                <w:color w:val="000000"/>
                <w:kern w:val="0"/>
                <w:sz w:val="24"/>
                <w:szCs w:val="24"/>
              </w:rPr>
              <w:t>4</w:t>
            </w:r>
          </w:p>
        </w:tc>
        <w:tc>
          <w:tcPr>
            <w:tcW w:w="912" w:type="dxa"/>
            <w:vAlign w:val="center"/>
          </w:tcPr>
          <w:p>
            <w:pPr>
              <w:jc w:val="center"/>
              <w:textAlignment w:val="center"/>
              <w:rPr>
                <w:color w:val="000000"/>
                <w:kern w:val="0"/>
                <w:sz w:val="24"/>
                <w:szCs w:val="24"/>
              </w:rPr>
            </w:pPr>
            <w:r>
              <w:rPr>
                <w:rFonts w:hint="eastAsia"/>
                <w:color w:val="000000"/>
                <w:kern w:val="0"/>
                <w:sz w:val="24"/>
                <w:szCs w:val="24"/>
              </w:rPr>
              <w:t>2</w:t>
            </w:r>
          </w:p>
        </w:tc>
        <w:tc>
          <w:tcPr>
            <w:tcW w:w="1093" w:type="dxa"/>
            <w:vAlign w:val="center"/>
          </w:tcPr>
          <w:p>
            <w:pPr>
              <w:jc w:val="center"/>
              <w:textAlignment w:val="center"/>
              <w:rPr>
                <w:sz w:val="24"/>
                <w:szCs w:val="24"/>
              </w:rPr>
            </w:pPr>
            <w:r>
              <w:rPr>
                <w:rFonts w:hint="eastAsia"/>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9" w:type="dxa"/>
            <w:vMerge w:val="continue"/>
          </w:tcPr>
          <w:p>
            <w:pPr>
              <w:pStyle w:val="71"/>
              <w:spacing w:before="0" w:after="0" w:line="360" w:lineRule="auto"/>
              <w:rPr>
                <w:rFonts w:ascii="仿宋" w:hAnsi="仿宋" w:eastAsia="仿宋"/>
                <w:b w:val="0"/>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B1-2预算执行管理</w:t>
            </w:r>
          </w:p>
        </w:tc>
        <w:tc>
          <w:tcPr>
            <w:tcW w:w="1099" w:type="dxa"/>
            <w:vAlign w:val="center"/>
          </w:tcPr>
          <w:p>
            <w:pPr>
              <w:jc w:val="center"/>
              <w:textAlignment w:val="center"/>
              <w:rPr>
                <w:rFonts w:hint="eastAsia" w:eastAsia="仿宋"/>
                <w:color w:val="000000"/>
                <w:kern w:val="0"/>
                <w:sz w:val="24"/>
                <w:szCs w:val="24"/>
                <w:lang w:eastAsia="zh-CN"/>
              </w:rPr>
            </w:pPr>
            <w:r>
              <w:rPr>
                <w:rFonts w:hint="eastAsia"/>
                <w:color w:val="000000"/>
                <w:kern w:val="0"/>
                <w:sz w:val="24"/>
                <w:szCs w:val="24"/>
                <w:lang w:val="en-US" w:eastAsia="zh-CN"/>
              </w:rPr>
              <w:t>9</w:t>
            </w:r>
          </w:p>
        </w:tc>
        <w:tc>
          <w:tcPr>
            <w:tcW w:w="912" w:type="dxa"/>
            <w:vAlign w:val="center"/>
          </w:tcPr>
          <w:p>
            <w:pPr>
              <w:jc w:val="center"/>
              <w:textAlignment w:val="center"/>
              <w:rPr>
                <w:rFonts w:hint="default" w:eastAsia="仿宋"/>
                <w:color w:val="000000"/>
                <w:kern w:val="0"/>
                <w:sz w:val="24"/>
                <w:szCs w:val="24"/>
                <w:lang w:val="en-US" w:eastAsia="zh-CN"/>
              </w:rPr>
            </w:pPr>
            <w:r>
              <w:rPr>
                <w:rFonts w:hint="eastAsia"/>
                <w:color w:val="000000"/>
                <w:kern w:val="0"/>
                <w:sz w:val="24"/>
                <w:szCs w:val="24"/>
                <w:lang w:val="en-US" w:eastAsia="zh-CN"/>
              </w:rPr>
              <w:t>4.07</w:t>
            </w:r>
          </w:p>
        </w:tc>
        <w:tc>
          <w:tcPr>
            <w:tcW w:w="1093" w:type="dxa"/>
            <w:vAlign w:val="center"/>
          </w:tcPr>
          <w:p>
            <w:pPr>
              <w:jc w:val="center"/>
              <w:textAlignment w:val="center"/>
              <w:rPr>
                <w:sz w:val="24"/>
                <w:szCs w:val="24"/>
              </w:rPr>
            </w:pPr>
            <w:r>
              <w:rPr>
                <w:rFonts w:hint="eastAsia"/>
                <w:sz w:val="24"/>
                <w:szCs w:val="24"/>
              </w:rPr>
              <w:t>4</w:t>
            </w:r>
            <w:r>
              <w:rPr>
                <w:rFonts w:hint="eastAsia"/>
                <w:sz w:val="24"/>
                <w:szCs w:val="24"/>
                <w:lang w:val="en-US" w:eastAsia="zh-CN"/>
              </w:rPr>
              <w:t>5.22</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9" w:type="dxa"/>
            <w:vMerge w:val="continue"/>
          </w:tcPr>
          <w:p>
            <w:pPr>
              <w:pStyle w:val="71"/>
              <w:spacing w:before="0" w:after="0" w:line="360" w:lineRule="auto"/>
              <w:rPr>
                <w:rFonts w:ascii="仿宋" w:hAnsi="仿宋" w:eastAsia="仿宋"/>
                <w:b w:val="0"/>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B1-3预算监督管理</w:t>
            </w:r>
          </w:p>
        </w:tc>
        <w:tc>
          <w:tcPr>
            <w:tcW w:w="1099" w:type="dxa"/>
            <w:vAlign w:val="center"/>
          </w:tcPr>
          <w:p>
            <w:pPr>
              <w:jc w:val="center"/>
              <w:textAlignment w:val="center"/>
              <w:rPr>
                <w:color w:val="000000"/>
                <w:kern w:val="0"/>
                <w:sz w:val="24"/>
                <w:szCs w:val="24"/>
              </w:rPr>
            </w:pPr>
            <w:r>
              <w:rPr>
                <w:rFonts w:hint="eastAsia"/>
                <w:color w:val="000000"/>
                <w:kern w:val="0"/>
                <w:sz w:val="24"/>
                <w:szCs w:val="24"/>
              </w:rPr>
              <w:t>1</w:t>
            </w:r>
          </w:p>
        </w:tc>
        <w:tc>
          <w:tcPr>
            <w:tcW w:w="912" w:type="dxa"/>
            <w:vAlign w:val="center"/>
          </w:tcPr>
          <w:p>
            <w:pPr>
              <w:jc w:val="center"/>
              <w:textAlignment w:val="center"/>
              <w:rPr>
                <w:color w:val="000000"/>
                <w:kern w:val="0"/>
                <w:sz w:val="24"/>
                <w:szCs w:val="24"/>
              </w:rPr>
            </w:pPr>
            <w:r>
              <w:rPr>
                <w:rFonts w:hint="eastAsia"/>
                <w:color w:val="000000"/>
                <w:kern w:val="0"/>
                <w:sz w:val="24"/>
                <w:szCs w:val="24"/>
              </w:rPr>
              <w:t>1</w:t>
            </w:r>
          </w:p>
        </w:tc>
        <w:tc>
          <w:tcPr>
            <w:tcW w:w="1093" w:type="dxa"/>
            <w:vAlign w:val="center"/>
          </w:tcPr>
          <w:p>
            <w:pPr>
              <w:jc w:val="center"/>
              <w:textAlignment w:val="center"/>
              <w:rPr>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39" w:type="dxa"/>
            <w:vMerge w:val="continue"/>
          </w:tcPr>
          <w:p>
            <w:pPr>
              <w:pStyle w:val="71"/>
              <w:spacing w:before="0" w:after="0" w:line="360" w:lineRule="auto"/>
              <w:rPr>
                <w:rFonts w:ascii="仿宋" w:hAnsi="仿宋" w:eastAsia="仿宋"/>
                <w:b w:val="0"/>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B1-4预算绩效管理</w:t>
            </w:r>
          </w:p>
        </w:tc>
        <w:tc>
          <w:tcPr>
            <w:tcW w:w="1099" w:type="dxa"/>
            <w:vAlign w:val="center"/>
          </w:tcPr>
          <w:p>
            <w:pPr>
              <w:jc w:val="center"/>
              <w:textAlignment w:val="center"/>
              <w:rPr>
                <w:rFonts w:hint="eastAsia" w:eastAsia="仿宋"/>
                <w:color w:val="000000"/>
                <w:kern w:val="0"/>
                <w:sz w:val="24"/>
                <w:szCs w:val="24"/>
                <w:lang w:eastAsia="zh-CN"/>
              </w:rPr>
            </w:pPr>
            <w:r>
              <w:rPr>
                <w:rFonts w:hint="eastAsia"/>
                <w:color w:val="000000"/>
                <w:kern w:val="0"/>
                <w:sz w:val="24"/>
                <w:szCs w:val="24"/>
                <w:lang w:val="en-US" w:eastAsia="zh-CN"/>
              </w:rPr>
              <w:t>4</w:t>
            </w:r>
          </w:p>
        </w:tc>
        <w:tc>
          <w:tcPr>
            <w:tcW w:w="912" w:type="dxa"/>
            <w:vAlign w:val="center"/>
          </w:tcPr>
          <w:p>
            <w:pPr>
              <w:jc w:val="center"/>
              <w:textAlignment w:val="center"/>
              <w:rPr>
                <w:rFonts w:hint="eastAsia" w:eastAsia="仿宋"/>
                <w:color w:val="000000"/>
                <w:kern w:val="0"/>
                <w:sz w:val="24"/>
                <w:szCs w:val="24"/>
                <w:lang w:eastAsia="zh-CN"/>
              </w:rPr>
            </w:pPr>
            <w:r>
              <w:rPr>
                <w:rFonts w:hint="eastAsia"/>
                <w:color w:val="000000"/>
                <w:kern w:val="0"/>
                <w:sz w:val="24"/>
                <w:szCs w:val="24"/>
                <w:lang w:val="en-US" w:eastAsia="zh-CN"/>
              </w:rPr>
              <w:t>2</w:t>
            </w:r>
          </w:p>
        </w:tc>
        <w:tc>
          <w:tcPr>
            <w:tcW w:w="1093" w:type="dxa"/>
            <w:vAlign w:val="center"/>
          </w:tcPr>
          <w:p>
            <w:pPr>
              <w:jc w:val="center"/>
              <w:textAlignment w:val="center"/>
              <w:rPr>
                <w:color w:val="000000"/>
                <w:kern w:val="0"/>
                <w:sz w:val="24"/>
                <w:szCs w:val="24"/>
              </w:rPr>
            </w:pPr>
            <w:r>
              <w:rPr>
                <w:rFonts w:hint="eastAsia"/>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restart"/>
            <w:vAlign w:val="center"/>
          </w:tcPr>
          <w:p>
            <w:pPr>
              <w:pStyle w:val="71"/>
              <w:spacing w:before="0" w:after="0" w:line="360" w:lineRule="auto"/>
              <w:rPr>
                <w:rFonts w:ascii="仿宋" w:hAnsi="仿宋" w:eastAsia="仿宋"/>
                <w:b w:val="0"/>
                <w:color w:val="000000"/>
                <w:szCs w:val="24"/>
              </w:rPr>
            </w:pPr>
            <w:r>
              <w:rPr>
                <w:rFonts w:hint="eastAsia" w:ascii="仿宋" w:hAnsi="仿宋" w:eastAsia="仿宋"/>
                <w:b w:val="0"/>
                <w:bCs/>
                <w:color w:val="000000"/>
                <w:szCs w:val="24"/>
              </w:rPr>
              <w:t>财务管理</w:t>
            </w: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B2-1财务管理规范性</w:t>
            </w:r>
          </w:p>
        </w:tc>
        <w:tc>
          <w:tcPr>
            <w:tcW w:w="1099" w:type="dxa"/>
            <w:vAlign w:val="center"/>
          </w:tcPr>
          <w:p>
            <w:pPr>
              <w:jc w:val="center"/>
              <w:textAlignment w:val="center"/>
              <w:rPr>
                <w:color w:val="000000"/>
                <w:kern w:val="0"/>
                <w:sz w:val="24"/>
                <w:szCs w:val="24"/>
              </w:rPr>
            </w:pPr>
            <w:r>
              <w:rPr>
                <w:rFonts w:hint="eastAsia"/>
                <w:color w:val="000000"/>
                <w:kern w:val="0"/>
                <w:sz w:val="24"/>
                <w:szCs w:val="24"/>
              </w:rPr>
              <w:t>2</w:t>
            </w:r>
          </w:p>
        </w:tc>
        <w:tc>
          <w:tcPr>
            <w:tcW w:w="912" w:type="dxa"/>
            <w:vAlign w:val="center"/>
          </w:tcPr>
          <w:p>
            <w:pPr>
              <w:jc w:val="center"/>
              <w:textAlignment w:val="center"/>
              <w:rPr>
                <w:color w:val="000000"/>
                <w:kern w:val="0"/>
                <w:sz w:val="24"/>
                <w:szCs w:val="24"/>
              </w:rPr>
            </w:pPr>
            <w:r>
              <w:rPr>
                <w:rFonts w:hint="eastAsia"/>
                <w:color w:val="000000"/>
                <w:kern w:val="0"/>
                <w:sz w:val="24"/>
                <w:szCs w:val="24"/>
              </w:rPr>
              <w:t>2</w:t>
            </w:r>
          </w:p>
        </w:tc>
        <w:tc>
          <w:tcPr>
            <w:tcW w:w="1093" w:type="dxa"/>
            <w:vAlign w:val="center"/>
          </w:tcPr>
          <w:p>
            <w:pPr>
              <w:jc w:val="center"/>
              <w:textAlignment w:val="center"/>
              <w:rPr>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39" w:type="dxa"/>
            <w:vMerge w:val="continue"/>
            <w:vAlign w:val="center"/>
          </w:tcPr>
          <w:p>
            <w:pPr>
              <w:pStyle w:val="71"/>
              <w:spacing w:before="0" w:after="0" w:line="360" w:lineRule="auto"/>
              <w:rPr>
                <w:rFonts w:ascii="仿宋" w:hAnsi="仿宋" w:eastAsia="仿宋"/>
                <w:b w:val="0"/>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B2-2财务管理有效性</w:t>
            </w:r>
          </w:p>
        </w:tc>
        <w:tc>
          <w:tcPr>
            <w:tcW w:w="1099" w:type="dxa"/>
            <w:vAlign w:val="center"/>
          </w:tcPr>
          <w:p>
            <w:pPr>
              <w:jc w:val="center"/>
              <w:textAlignment w:val="center"/>
              <w:rPr>
                <w:rFonts w:hint="eastAsia" w:eastAsia="仿宋"/>
                <w:color w:val="000000"/>
                <w:kern w:val="0"/>
                <w:sz w:val="24"/>
                <w:szCs w:val="24"/>
                <w:lang w:eastAsia="zh-CN"/>
              </w:rPr>
            </w:pPr>
            <w:r>
              <w:rPr>
                <w:rFonts w:hint="eastAsia"/>
                <w:color w:val="000000"/>
                <w:kern w:val="0"/>
                <w:sz w:val="24"/>
                <w:szCs w:val="24"/>
                <w:lang w:val="en-US" w:eastAsia="zh-CN"/>
              </w:rPr>
              <w:t>3</w:t>
            </w:r>
          </w:p>
        </w:tc>
        <w:tc>
          <w:tcPr>
            <w:tcW w:w="912" w:type="dxa"/>
            <w:vAlign w:val="center"/>
          </w:tcPr>
          <w:p>
            <w:pPr>
              <w:jc w:val="center"/>
              <w:textAlignment w:val="center"/>
              <w:rPr>
                <w:rFonts w:hint="eastAsia" w:eastAsia="仿宋"/>
                <w:color w:val="000000"/>
                <w:kern w:val="0"/>
                <w:sz w:val="24"/>
                <w:szCs w:val="24"/>
                <w:lang w:eastAsia="zh-CN"/>
              </w:rPr>
            </w:pPr>
            <w:r>
              <w:rPr>
                <w:rFonts w:hint="eastAsia"/>
                <w:color w:val="000000"/>
                <w:kern w:val="0"/>
                <w:sz w:val="24"/>
                <w:szCs w:val="24"/>
                <w:lang w:val="en-US" w:eastAsia="zh-CN"/>
              </w:rPr>
              <w:t>3</w:t>
            </w:r>
          </w:p>
        </w:tc>
        <w:tc>
          <w:tcPr>
            <w:tcW w:w="1093" w:type="dxa"/>
            <w:vAlign w:val="center"/>
          </w:tcPr>
          <w:p>
            <w:pPr>
              <w:jc w:val="center"/>
              <w:textAlignment w:val="center"/>
              <w:rPr>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restart"/>
            <w:vAlign w:val="center"/>
          </w:tcPr>
          <w:p>
            <w:pPr>
              <w:pStyle w:val="71"/>
              <w:spacing w:before="0" w:after="0" w:line="360" w:lineRule="auto"/>
              <w:rPr>
                <w:rFonts w:ascii="仿宋" w:hAnsi="仿宋" w:eastAsia="仿宋"/>
                <w:b w:val="0"/>
                <w:color w:val="000000"/>
                <w:szCs w:val="24"/>
              </w:rPr>
            </w:pPr>
            <w:r>
              <w:rPr>
                <w:rFonts w:hint="eastAsia" w:ascii="仿宋" w:hAnsi="仿宋" w:eastAsia="仿宋"/>
                <w:b w:val="0"/>
                <w:color w:val="000000"/>
                <w:szCs w:val="24"/>
              </w:rPr>
              <w:t>资产管理</w:t>
            </w: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B3-1资产管理规范性</w:t>
            </w:r>
          </w:p>
        </w:tc>
        <w:tc>
          <w:tcPr>
            <w:tcW w:w="1099" w:type="dxa"/>
            <w:vAlign w:val="center"/>
          </w:tcPr>
          <w:p>
            <w:pPr>
              <w:jc w:val="center"/>
              <w:textAlignment w:val="center"/>
              <w:rPr>
                <w:color w:val="000000"/>
                <w:kern w:val="0"/>
                <w:sz w:val="24"/>
                <w:szCs w:val="24"/>
              </w:rPr>
            </w:pPr>
            <w:r>
              <w:rPr>
                <w:rFonts w:hint="eastAsia"/>
                <w:color w:val="000000"/>
                <w:kern w:val="0"/>
                <w:sz w:val="24"/>
                <w:szCs w:val="24"/>
              </w:rPr>
              <w:t>4</w:t>
            </w:r>
          </w:p>
        </w:tc>
        <w:tc>
          <w:tcPr>
            <w:tcW w:w="912" w:type="dxa"/>
            <w:vAlign w:val="center"/>
          </w:tcPr>
          <w:p>
            <w:pPr>
              <w:jc w:val="center"/>
              <w:textAlignment w:val="center"/>
              <w:rPr>
                <w:color w:val="000000"/>
                <w:kern w:val="0"/>
                <w:sz w:val="24"/>
                <w:szCs w:val="24"/>
              </w:rPr>
            </w:pPr>
            <w:r>
              <w:rPr>
                <w:rFonts w:hint="eastAsia"/>
                <w:color w:val="000000"/>
                <w:kern w:val="0"/>
                <w:sz w:val="24"/>
                <w:szCs w:val="24"/>
              </w:rPr>
              <w:t>3</w:t>
            </w:r>
          </w:p>
        </w:tc>
        <w:tc>
          <w:tcPr>
            <w:tcW w:w="1093" w:type="dxa"/>
            <w:vAlign w:val="center"/>
          </w:tcPr>
          <w:p>
            <w:pPr>
              <w:jc w:val="center"/>
              <w:textAlignment w:val="center"/>
              <w:rPr>
                <w:sz w:val="24"/>
                <w:szCs w:val="24"/>
              </w:rPr>
            </w:pPr>
            <w:r>
              <w:rPr>
                <w:rFonts w:hint="eastAsia"/>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continue"/>
            <w:vAlign w:val="center"/>
          </w:tcPr>
          <w:p>
            <w:pPr>
              <w:pStyle w:val="71"/>
              <w:spacing w:before="0" w:after="0" w:line="360" w:lineRule="auto"/>
              <w:rPr>
                <w:rFonts w:ascii="仿宋" w:hAnsi="仿宋" w:eastAsia="仿宋"/>
                <w:b w:val="0"/>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B3-2固定资产利用率</w:t>
            </w:r>
          </w:p>
        </w:tc>
        <w:tc>
          <w:tcPr>
            <w:tcW w:w="1099" w:type="dxa"/>
            <w:vAlign w:val="center"/>
          </w:tcPr>
          <w:p>
            <w:pPr>
              <w:jc w:val="center"/>
              <w:textAlignment w:val="center"/>
              <w:rPr>
                <w:rFonts w:hint="eastAsia" w:eastAsia="仿宋"/>
                <w:color w:val="000000"/>
                <w:kern w:val="0"/>
                <w:sz w:val="24"/>
                <w:szCs w:val="24"/>
                <w:lang w:eastAsia="zh-CN"/>
              </w:rPr>
            </w:pPr>
            <w:r>
              <w:rPr>
                <w:rFonts w:hint="eastAsia"/>
                <w:color w:val="000000"/>
                <w:kern w:val="0"/>
                <w:sz w:val="24"/>
                <w:szCs w:val="24"/>
                <w:lang w:val="en-US" w:eastAsia="zh-CN"/>
              </w:rPr>
              <w:t>1</w:t>
            </w:r>
          </w:p>
        </w:tc>
        <w:tc>
          <w:tcPr>
            <w:tcW w:w="912" w:type="dxa"/>
            <w:vAlign w:val="center"/>
          </w:tcPr>
          <w:p>
            <w:pPr>
              <w:jc w:val="center"/>
              <w:textAlignment w:val="center"/>
              <w:rPr>
                <w:rFonts w:hint="eastAsia" w:eastAsia="仿宋"/>
                <w:color w:val="000000"/>
                <w:kern w:val="0"/>
                <w:sz w:val="24"/>
                <w:szCs w:val="24"/>
                <w:lang w:eastAsia="zh-CN"/>
              </w:rPr>
            </w:pPr>
            <w:r>
              <w:rPr>
                <w:rFonts w:hint="eastAsia"/>
                <w:color w:val="000000"/>
                <w:kern w:val="0"/>
                <w:sz w:val="24"/>
                <w:szCs w:val="24"/>
                <w:lang w:val="en-US" w:eastAsia="zh-CN"/>
              </w:rPr>
              <w:t>1</w:t>
            </w:r>
          </w:p>
        </w:tc>
        <w:tc>
          <w:tcPr>
            <w:tcW w:w="1093" w:type="dxa"/>
            <w:vAlign w:val="center"/>
          </w:tcPr>
          <w:p>
            <w:pPr>
              <w:jc w:val="center"/>
              <w:textAlignment w:val="center"/>
              <w:rPr>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restart"/>
            <w:vAlign w:val="center"/>
          </w:tcPr>
          <w:p>
            <w:pPr>
              <w:pStyle w:val="71"/>
              <w:spacing w:before="0" w:after="0" w:line="360" w:lineRule="auto"/>
              <w:rPr>
                <w:rFonts w:ascii="仿宋" w:hAnsi="仿宋" w:eastAsia="仿宋"/>
                <w:b w:val="0"/>
                <w:color w:val="000000"/>
                <w:szCs w:val="24"/>
              </w:rPr>
            </w:pPr>
            <w:r>
              <w:rPr>
                <w:rFonts w:hint="eastAsia" w:ascii="仿宋" w:hAnsi="仿宋" w:eastAsia="仿宋"/>
                <w:b w:val="0"/>
                <w:bCs/>
                <w:color w:val="000000"/>
                <w:szCs w:val="24"/>
              </w:rPr>
              <w:t>其他管理</w:t>
            </w: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B4-1政府采购管理</w:t>
            </w:r>
          </w:p>
        </w:tc>
        <w:tc>
          <w:tcPr>
            <w:tcW w:w="1099" w:type="dxa"/>
            <w:vAlign w:val="center"/>
          </w:tcPr>
          <w:p>
            <w:pPr>
              <w:jc w:val="center"/>
              <w:textAlignment w:val="center"/>
              <w:rPr>
                <w:color w:val="000000"/>
                <w:kern w:val="0"/>
                <w:sz w:val="24"/>
                <w:szCs w:val="24"/>
              </w:rPr>
            </w:pPr>
            <w:r>
              <w:rPr>
                <w:rFonts w:hint="eastAsia"/>
                <w:color w:val="000000"/>
                <w:kern w:val="0"/>
                <w:sz w:val="24"/>
                <w:szCs w:val="24"/>
              </w:rPr>
              <w:t>1</w:t>
            </w:r>
          </w:p>
        </w:tc>
        <w:tc>
          <w:tcPr>
            <w:tcW w:w="912" w:type="dxa"/>
            <w:vAlign w:val="center"/>
          </w:tcPr>
          <w:p>
            <w:pPr>
              <w:jc w:val="center"/>
              <w:textAlignment w:val="center"/>
              <w:rPr>
                <w:color w:val="000000"/>
                <w:kern w:val="0"/>
                <w:sz w:val="24"/>
                <w:szCs w:val="24"/>
              </w:rPr>
            </w:pPr>
            <w:r>
              <w:rPr>
                <w:rFonts w:hint="eastAsia"/>
                <w:color w:val="000000"/>
                <w:kern w:val="0"/>
                <w:sz w:val="24"/>
                <w:szCs w:val="24"/>
              </w:rPr>
              <w:t>1</w:t>
            </w:r>
          </w:p>
        </w:tc>
        <w:tc>
          <w:tcPr>
            <w:tcW w:w="1093" w:type="dxa"/>
            <w:vAlign w:val="center"/>
          </w:tcPr>
          <w:p>
            <w:pPr>
              <w:jc w:val="center"/>
              <w:textAlignment w:val="center"/>
              <w:rPr>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continue"/>
          </w:tcPr>
          <w:p>
            <w:pPr>
              <w:pStyle w:val="71"/>
              <w:spacing w:before="0" w:after="0" w:line="360" w:lineRule="auto"/>
              <w:rPr>
                <w:rFonts w:ascii="仿宋" w:hAnsi="仿宋" w:eastAsia="仿宋"/>
                <w:b w:val="0"/>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B4-2预决算信息公开</w:t>
            </w:r>
          </w:p>
        </w:tc>
        <w:tc>
          <w:tcPr>
            <w:tcW w:w="1099" w:type="dxa"/>
            <w:vAlign w:val="center"/>
          </w:tcPr>
          <w:p>
            <w:pPr>
              <w:jc w:val="center"/>
              <w:textAlignment w:val="center"/>
              <w:rPr>
                <w:color w:val="000000"/>
                <w:kern w:val="0"/>
                <w:sz w:val="24"/>
                <w:szCs w:val="24"/>
              </w:rPr>
            </w:pPr>
            <w:r>
              <w:rPr>
                <w:rFonts w:hint="eastAsia"/>
                <w:color w:val="000000"/>
                <w:kern w:val="0"/>
                <w:sz w:val="24"/>
                <w:szCs w:val="24"/>
              </w:rPr>
              <w:t>1</w:t>
            </w:r>
          </w:p>
        </w:tc>
        <w:tc>
          <w:tcPr>
            <w:tcW w:w="912" w:type="dxa"/>
            <w:vAlign w:val="center"/>
          </w:tcPr>
          <w:p>
            <w:pPr>
              <w:jc w:val="center"/>
              <w:textAlignment w:val="center"/>
              <w:rPr>
                <w:color w:val="000000"/>
                <w:kern w:val="0"/>
                <w:sz w:val="24"/>
                <w:szCs w:val="24"/>
              </w:rPr>
            </w:pPr>
            <w:r>
              <w:rPr>
                <w:rFonts w:hint="eastAsia"/>
                <w:color w:val="000000"/>
                <w:kern w:val="0"/>
                <w:sz w:val="24"/>
                <w:szCs w:val="24"/>
              </w:rPr>
              <w:t>1</w:t>
            </w:r>
          </w:p>
        </w:tc>
        <w:tc>
          <w:tcPr>
            <w:tcW w:w="1093" w:type="dxa"/>
            <w:vAlign w:val="center"/>
          </w:tcPr>
          <w:p>
            <w:pPr>
              <w:jc w:val="center"/>
              <w:textAlignment w:val="center"/>
              <w:rPr>
                <w:sz w:val="24"/>
                <w:szCs w:val="24"/>
              </w:rPr>
            </w:pPr>
            <w:r>
              <w:rPr>
                <w:rFonts w:hint="eastAsia"/>
                <w:sz w:val="24"/>
                <w:szCs w:val="24"/>
              </w:rPr>
              <w:t>100%</w:t>
            </w:r>
          </w:p>
        </w:tc>
      </w:tr>
      <w:bookmarkEnd w:id="280"/>
      <w:bookmarkEnd w:id="281"/>
      <w:bookmarkEnd w:id="282"/>
      <w:bookmarkEnd w:id="283"/>
      <w:bookmarkEnd w:id="284"/>
      <w:bookmarkEnd w:id="285"/>
      <w:bookmarkEnd w:id="286"/>
      <w:bookmarkEnd w:id="287"/>
      <w:bookmarkEnd w:id="288"/>
    </w:tbl>
    <w:p>
      <w:pPr>
        <w:widowControl w:val="0"/>
        <w:spacing w:line="560" w:lineRule="exact"/>
        <w:ind w:firstLine="562" w:firstLineChars="200"/>
        <w:outlineLvl w:val="3"/>
        <w:rPr>
          <w:b/>
        </w:rPr>
      </w:pPr>
      <w:bookmarkStart w:id="289" w:name="_Toc20501_WPSOffice_Level3"/>
      <w:bookmarkStart w:id="290" w:name="_Toc9978_WPSOffice_Level3"/>
      <w:r>
        <w:rPr>
          <w:rFonts w:hint="eastAsia"/>
          <w:b/>
        </w:rPr>
        <w:t>B1-1预算编制管理</w:t>
      </w:r>
    </w:p>
    <w:p>
      <w:pPr>
        <w:widowControl w:val="0"/>
        <w:spacing w:line="560" w:lineRule="exact"/>
        <w:ind w:firstLine="560" w:firstLineChars="200"/>
        <w:outlineLvl w:val="4"/>
        <w:rPr>
          <w:kern w:val="0"/>
        </w:rPr>
      </w:pPr>
      <w:r>
        <w:rPr>
          <w:rFonts w:hint="eastAsia"/>
          <w:kern w:val="0"/>
        </w:rPr>
        <w:t>预算编制管理从5个方面进行评价，分别为：是否符合财政部门预算编制要求，部门预算收支范围及方向是否符合相关法规，部门预算收支预算较上年增减变动是否符合部门履职需要，“三公经费”变动率，在职人员控制率等方面进行评价，具体为：</w:t>
      </w:r>
    </w:p>
    <w:p>
      <w:pPr>
        <w:widowControl w:val="0"/>
        <w:spacing w:line="560" w:lineRule="exact"/>
        <w:ind w:firstLine="560" w:firstLineChars="200"/>
        <w:outlineLvl w:val="4"/>
        <w:rPr>
          <w:bCs/>
        </w:rPr>
      </w:pPr>
      <w:r>
        <w:rPr>
          <w:rFonts w:hint="eastAsia"/>
          <w:bCs/>
        </w:rPr>
        <w:t>①运城市人力资源和社会保障局编报了2021年度部门预算并经批复，部门预算符合《预算法》及财政部门预算编制要求。该评分要点分值0.5分，依据评分标准，得分0.5分。</w:t>
      </w:r>
    </w:p>
    <w:p>
      <w:pPr>
        <w:widowControl w:val="0"/>
        <w:spacing w:line="560" w:lineRule="exact"/>
        <w:ind w:firstLine="560" w:firstLineChars="200"/>
        <w:outlineLvl w:val="4"/>
        <w:rPr>
          <w:bCs/>
        </w:rPr>
      </w:pPr>
      <w:r>
        <w:rPr>
          <w:rFonts w:hint="eastAsia"/>
          <w:bCs/>
        </w:rPr>
        <w:t>②通过查看财务账簿、凭证、支出文件等基础资料，对运城市人力资源和社会保障局编制的预算收支范围进行核实，编制的预算收支范围及方向均有相应的法规依据。该评分要点分值0.5分，依据评分标准，得分0.5分。</w:t>
      </w:r>
    </w:p>
    <w:p>
      <w:pPr>
        <w:pStyle w:val="7"/>
        <w:widowControl w:val="0"/>
        <w:spacing w:line="560" w:lineRule="exact"/>
        <w:ind w:firstLine="560" w:firstLineChars="200"/>
        <w:outlineLvl w:val="4"/>
        <w:rPr>
          <w:rFonts w:ascii="仿宋" w:eastAsia="仿宋"/>
          <w:bCs/>
          <w:sz w:val="28"/>
          <w:szCs w:val="24"/>
          <w:highlight w:val="yellow"/>
        </w:rPr>
      </w:pPr>
      <w:r>
        <w:rPr>
          <w:rFonts w:hint="eastAsia" w:ascii="仿宋" w:eastAsia="仿宋"/>
          <w:bCs/>
          <w:sz w:val="28"/>
          <w:szCs w:val="24"/>
        </w:rPr>
        <w:t>③运城市人力资源和社会保障局2021年年初预算收入1,607.61万元，2020年年初预算收入1,583.43万元。与2020年相比有所增加，主要增加了金保工程“一卡通”、仲裁院实体建设、技能运城工作经费等项目资金。部门预算较上年增减变动符合部门履职需要。部门预算较上年增减变动符合部门履职需要。该评分要点分值1分，依据评分标准，得分1分。</w:t>
      </w:r>
    </w:p>
    <w:p>
      <w:pPr>
        <w:widowControl w:val="0"/>
        <w:adjustRightInd w:val="0"/>
        <w:snapToGrid w:val="0"/>
        <w:spacing w:line="560" w:lineRule="exact"/>
        <w:ind w:firstLine="560" w:firstLineChars="200"/>
        <w:rPr>
          <w:kern w:val="0"/>
        </w:rPr>
      </w:pPr>
      <w:r>
        <w:rPr>
          <w:rFonts w:hint="eastAsia"/>
          <w:kern w:val="0"/>
        </w:rPr>
        <w:t>④“三公经费”变动率。</w:t>
      </w:r>
      <w:r>
        <w:rPr>
          <w:rFonts w:hint="eastAsia"/>
        </w:rPr>
        <w:t>运城市人力资源和社会保障局2021年度“三公经费”预算数14.1万元，</w:t>
      </w:r>
      <w:r>
        <w:rPr>
          <w:rFonts w:hint="eastAsia"/>
          <w:kern w:val="0"/>
        </w:rPr>
        <w:t>其中：因公出国(境)费用5万元、公务用车运行维护费6.5万元、公务接待费2.6万元；</w:t>
      </w:r>
      <w:r>
        <w:rPr>
          <w:rFonts w:hint="eastAsia"/>
        </w:rPr>
        <w:t>2020年度“三公经费”预算数13万元，</w:t>
      </w:r>
      <w:r>
        <w:rPr>
          <w:rFonts w:hint="eastAsia"/>
          <w:kern w:val="0"/>
        </w:rPr>
        <w:t>其中：因公出国(境)费用5万元、公务用车运行维护费5万元、公务接待费3万元。</w:t>
      </w:r>
    </w:p>
    <w:p>
      <w:pPr>
        <w:adjustRightInd w:val="0"/>
        <w:snapToGrid w:val="0"/>
        <w:spacing w:line="560" w:lineRule="exact"/>
        <w:ind w:firstLine="560" w:firstLineChars="200"/>
      </w:pPr>
      <w:r>
        <w:rPr>
          <w:rFonts w:hint="eastAsia"/>
          <w:kern w:val="0"/>
        </w:rPr>
        <w:t>“三公经费”变动率=（14.1-13）/13*100%=8.46%。</w:t>
      </w:r>
      <w:r>
        <w:rPr>
          <w:rFonts w:hint="eastAsia"/>
          <w:bCs/>
          <w:szCs w:val="24"/>
        </w:rPr>
        <w:t>该评分要点分值1分，依据评分标准，</w:t>
      </w:r>
      <w:r>
        <w:rPr>
          <w:rFonts w:hint="eastAsia"/>
        </w:rPr>
        <w:t>得0分。</w:t>
      </w:r>
    </w:p>
    <w:p>
      <w:pPr>
        <w:pStyle w:val="7"/>
        <w:widowControl w:val="0"/>
        <w:spacing w:line="560" w:lineRule="exact"/>
        <w:ind w:firstLine="560" w:firstLineChars="200"/>
        <w:outlineLvl w:val="4"/>
        <w:rPr>
          <w:rFonts w:ascii="仿宋" w:eastAsia="仿宋"/>
          <w:kern w:val="0"/>
          <w:sz w:val="28"/>
        </w:rPr>
      </w:pPr>
      <w:r>
        <w:rPr>
          <w:rFonts w:hint="eastAsia" w:ascii="仿宋" w:eastAsia="仿宋"/>
          <w:kern w:val="0"/>
          <w:sz w:val="28"/>
        </w:rPr>
        <w:t>⑤在职人员控制率。运城市人力资源和社会保障局内设14个行政科室，局属事业单位9个，核定编制304名，其中:机关39名，局属事业单位265名(财政拨款197名，财政补助6名，自收自支62名)。</w:t>
      </w:r>
    </w:p>
    <w:p>
      <w:pPr>
        <w:pStyle w:val="7"/>
        <w:widowControl w:val="0"/>
        <w:spacing w:line="560" w:lineRule="exact"/>
        <w:ind w:firstLine="560" w:firstLineChars="200"/>
        <w:outlineLvl w:val="4"/>
        <w:rPr>
          <w:rFonts w:ascii="仿宋" w:eastAsia="仿宋"/>
          <w:sz w:val="28"/>
        </w:rPr>
      </w:pPr>
      <w:r>
        <w:rPr>
          <w:rFonts w:hint="eastAsia" w:ascii="仿宋" w:eastAsia="仿宋"/>
          <w:kern w:val="0"/>
          <w:sz w:val="28"/>
        </w:rPr>
        <w:t>经评价组核实，2021年运城市人力资源和社会保障局实有工作人员369人，其中：机关44人、局属事业单位325人（财政拨款182人，财政补助6人，自收自支137人），在职人员控制率121.38%。</w:t>
      </w:r>
      <w:r>
        <w:rPr>
          <w:rFonts w:hint="eastAsia" w:ascii="仿宋" w:eastAsia="仿宋"/>
          <w:bCs/>
          <w:sz w:val="28"/>
          <w:szCs w:val="24"/>
        </w:rPr>
        <w:t>该评分要点分值1分，依据评分标准，</w:t>
      </w:r>
      <w:r>
        <w:rPr>
          <w:rFonts w:hint="eastAsia" w:ascii="仿宋" w:eastAsia="仿宋"/>
          <w:sz w:val="28"/>
        </w:rPr>
        <w:t>得0分。</w:t>
      </w:r>
    </w:p>
    <w:p>
      <w:pPr>
        <w:widowControl w:val="0"/>
        <w:spacing w:line="560" w:lineRule="exact"/>
        <w:ind w:firstLine="560" w:firstLineChars="200"/>
        <w:rPr>
          <w:bCs/>
        </w:rPr>
      </w:pPr>
      <w:r>
        <w:rPr>
          <w:rFonts w:hint="eastAsia"/>
          <w:bCs/>
        </w:rPr>
        <w:t>满分4分，</w:t>
      </w:r>
      <w:r>
        <w:rPr>
          <w:rFonts w:hint="eastAsia"/>
          <w:kern w:val="0"/>
        </w:rPr>
        <w:t>根据绩效评价指标，本指标</w:t>
      </w:r>
      <w:r>
        <w:rPr>
          <w:rFonts w:hint="eastAsia"/>
          <w:bCs/>
        </w:rPr>
        <w:t>得分2分</w:t>
      </w:r>
      <w:r>
        <w:rPr>
          <w:rFonts w:hint="eastAsia"/>
          <w:kern w:val="0"/>
        </w:rPr>
        <w:t>，得分率50%</w:t>
      </w:r>
      <w:r>
        <w:rPr>
          <w:rFonts w:hint="eastAsia"/>
          <w:bCs/>
        </w:rPr>
        <w:t>。</w:t>
      </w:r>
    </w:p>
    <w:p>
      <w:pPr>
        <w:widowControl w:val="0"/>
        <w:spacing w:line="560" w:lineRule="exact"/>
        <w:ind w:firstLine="562" w:firstLineChars="200"/>
        <w:outlineLvl w:val="3"/>
        <w:rPr>
          <w:b/>
        </w:rPr>
      </w:pPr>
      <w:r>
        <w:rPr>
          <w:rFonts w:hint="eastAsia"/>
          <w:b/>
        </w:rPr>
        <w:t>B1-2预算执行管理</w:t>
      </w:r>
    </w:p>
    <w:p>
      <w:pPr>
        <w:widowControl w:val="0"/>
        <w:spacing w:line="560" w:lineRule="exact"/>
        <w:ind w:firstLine="560" w:firstLineChars="200"/>
        <w:rPr>
          <w:bCs/>
        </w:rPr>
      </w:pPr>
      <w:r>
        <w:rPr>
          <w:rFonts w:hint="eastAsia"/>
          <w:bCs/>
        </w:rPr>
        <w:t>预算执行管理从7个方面进行评价，分别为：预算执行率、预算调整率、支付进度率、结转结余变动率、公用经费控制率、“三公经费”控制率及重点支出安排率。</w:t>
      </w:r>
    </w:p>
    <w:p>
      <w:pPr>
        <w:widowControl w:val="0"/>
        <w:spacing w:line="560" w:lineRule="exact"/>
        <w:ind w:firstLine="560" w:firstLineChars="200"/>
        <w:outlineLvl w:val="4"/>
        <w:rPr>
          <w:kern w:val="0"/>
        </w:rPr>
      </w:pPr>
      <w:r>
        <w:rPr>
          <w:rFonts w:hint="eastAsia"/>
          <w:kern w:val="0"/>
        </w:rPr>
        <w:t>①预算执行率</w:t>
      </w:r>
    </w:p>
    <w:p>
      <w:pPr>
        <w:pStyle w:val="7"/>
        <w:widowControl w:val="0"/>
        <w:spacing w:line="560" w:lineRule="exact"/>
        <w:ind w:firstLine="560" w:firstLineChars="200"/>
        <w:rPr>
          <w:rFonts w:ascii="仿宋" w:eastAsia="仿宋"/>
          <w:kern w:val="0"/>
          <w:sz w:val="28"/>
        </w:rPr>
      </w:pPr>
      <w:r>
        <w:rPr>
          <w:rFonts w:hint="eastAsia" w:ascii="仿宋" w:eastAsia="仿宋"/>
          <w:kern w:val="0"/>
          <w:sz w:val="28"/>
        </w:rPr>
        <w:t>2021年运城市人力资源和社会保障局可支配资金5,916.61万元（不含欠薪应急周转金500万元），实际支出5,409.65万元，预算执行率91.43%。依据评分标准“预算执行率在90%-95%之间的，在0分和</w:t>
      </w:r>
      <w:r>
        <w:rPr>
          <w:rFonts w:hint="eastAsia" w:ascii="仿宋" w:eastAsia="仿宋"/>
          <w:kern w:val="0"/>
          <w:sz w:val="28"/>
          <w:lang w:val="en-US" w:eastAsia="zh-CN"/>
        </w:rPr>
        <w:t>2</w:t>
      </w:r>
      <w:r>
        <w:rPr>
          <w:rFonts w:hint="eastAsia" w:ascii="仿宋" w:eastAsia="仿宋"/>
          <w:kern w:val="0"/>
          <w:sz w:val="28"/>
        </w:rPr>
        <w:t>分之间计算确定”，该指标得分=（91.43%-90%）/（95%-90%）×1=0.</w:t>
      </w:r>
      <w:r>
        <w:rPr>
          <w:rFonts w:hint="eastAsia" w:ascii="仿宋" w:eastAsia="仿宋"/>
          <w:kern w:val="0"/>
          <w:sz w:val="28"/>
          <w:lang w:val="en-US" w:eastAsia="zh-CN"/>
        </w:rPr>
        <w:t>57</w:t>
      </w:r>
      <w:r>
        <w:rPr>
          <w:rFonts w:hint="eastAsia" w:ascii="仿宋" w:eastAsia="仿宋"/>
          <w:kern w:val="0"/>
          <w:sz w:val="28"/>
        </w:rPr>
        <w:t>。该指标分值</w:t>
      </w:r>
      <w:r>
        <w:rPr>
          <w:rFonts w:hint="eastAsia" w:ascii="仿宋" w:eastAsia="仿宋"/>
          <w:kern w:val="0"/>
          <w:sz w:val="28"/>
          <w:lang w:val="en-US" w:eastAsia="zh-CN"/>
        </w:rPr>
        <w:t>2</w:t>
      </w:r>
      <w:r>
        <w:rPr>
          <w:rFonts w:hint="eastAsia" w:ascii="仿宋" w:eastAsia="仿宋"/>
          <w:kern w:val="0"/>
          <w:sz w:val="28"/>
        </w:rPr>
        <w:t>分，得分0</w:t>
      </w:r>
      <w:r>
        <w:rPr>
          <w:rFonts w:hint="eastAsia" w:ascii="仿宋" w:eastAsia="仿宋"/>
          <w:kern w:val="0"/>
          <w:sz w:val="28"/>
          <w:lang w:val="en-US" w:eastAsia="zh-CN"/>
        </w:rPr>
        <w:t>.57</w:t>
      </w:r>
      <w:r>
        <w:rPr>
          <w:rFonts w:hint="eastAsia" w:ascii="仿宋" w:eastAsia="仿宋"/>
          <w:kern w:val="0"/>
          <w:sz w:val="28"/>
        </w:rPr>
        <w:t>分。</w:t>
      </w:r>
    </w:p>
    <w:p>
      <w:pPr>
        <w:widowControl w:val="0"/>
        <w:spacing w:line="560" w:lineRule="exact"/>
        <w:ind w:firstLine="560" w:firstLineChars="200"/>
        <w:outlineLvl w:val="4"/>
      </w:pPr>
      <w:r>
        <w:rPr>
          <w:rFonts w:hint="eastAsia"/>
          <w:kern w:val="0"/>
        </w:rPr>
        <w:t>②</w:t>
      </w:r>
      <w:r>
        <w:rPr>
          <w:rFonts w:hint="eastAsia"/>
        </w:rPr>
        <w:t>预算调整率</w:t>
      </w:r>
    </w:p>
    <w:p>
      <w:pPr>
        <w:widowControl w:val="0"/>
        <w:spacing w:line="560" w:lineRule="exact"/>
        <w:ind w:firstLine="560" w:firstLineChars="200"/>
        <w:outlineLvl w:val="4"/>
        <w:rPr>
          <w:kern w:val="0"/>
        </w:rPr>
      </w:pPr>
      <w:r>
        <w:rPr>
          <w:rFonts w:hint="eastAsia"/>
          <w:kern w:val="0"/>
        </w:rPr>
        <w:t>经核实，部门年初财政拨款年初预算1,607.61万元，调整预算数2,953.58万元，预算调整率83.72%，该指标分值1分，得分0分。</w:t>
      </w:r>
    </w:p>
    <w:p>
      <w:pPr>
        <w:widowControl w:val="0"/>
        <w:spacing w:line="560" w:lineRule="exact"/>
        <w:ind w:firstLine="560" w:firstLineChars="200"/>
        <w:outlineLvl w:val="4"/>
      </w:pPr>
      <w:r>
        <w:rPr>
          <w:rFonts w:hint="eastAsia"/>
          <w:kern w:val="0"/>
        </w:rPr>
        <w:t>③</w:t>
      </w:r>
      <w:r>
        <w:rPr>
          <w:rFonts w:hint="eastAsia"/>
        </w:rPr>
        <w:t>支付进度率</w:t>
      </w:r>
    </w:p>
    <w:p>
      <w:pPr>
        <w:pStyle w:val="7"/>
        <w:widowControl w:val="0"/>
        <w:spacing w:line="560" w:lineRule="exact"/>
        <w:ind w:firstLine="560" w:firstLineChars="200"/>
        <w:rPr>
          <w:rFonts w:ascii="仿宋" w:eastAsia="仿宋"/>
          <w:bCs/>
          <w:kern w:val="0"/>
          <w:sz w:val="28"/>
        </w:rPr>
      </w:pPr>
      <w:r>
        <w:rPr>
          <w:rFonts w:hint="eastAsia" w:ascii="仿宋" w:eastAsia="仿宋"/>
          <w:bCs/>
          <w:kern w:val="0"/>
          <w:sz w:val="28"/>
        </w:rPr>
        <w:t>根据资金的支出特点，仅对支付进度比较均匀的基本支出的支付进度率进行评价。一、二、三季度的标准支付进度以山西省财政厅的计算口径“序时进度的98%”为准，即一季度标准支付进度率=25%×98%=24.5%、二季度标准支付进度率=50%×98%=49%、三季度标准支付进度率=75%×98%=73.5%，四季度的标准支付进度率为100%。2021年基本支出下达资金1,457.89万元，各季度末基本支出及对应得分情况见表</w:t>
      </w:r>
      <w:r>
        <w:rPr>
          <w:rFonts w:hint="eastAsia" w:ascii="仿宋" w:eastAsia="仿宋"/>
          <w:kern w:val="0"/>
          <w:sz w:val="28"/>
        </w:rPr>
        <w:t>4-2-1：</w:t>
      </w:r>
    </w:p>
    <w:p>
      <w:pPr>
        <w:pStyle w:val="7"/>
        <w:widowControl w:val="0"/>
        <w:spacing w:line="560" w:lineRule="exact"/>
        <w:jc w:val="center"/>
        <w:rPr>
          <w:rFonts w:ascii="仿宋" w:eastAsia="仿宋"/>
          <w:b/>
          <w:kern w:val="0"/>
          <w:sz w:val="28"/>
        </w:rPr>
      </w:pPr>
      <w:r>
        <w:rPr>
          <w:rFonts w:hint="eastAsia" w:ascii="仿宋" w:eastAsia="仿宋"/>
          <w:b/>
          <w:kern w:val="0"/>
          <w:sz w:val="28"/>
        </w:rPr>
        <w:t>表4-2-1基本支出支付进度及得分情况</w:t>
      </w:r>
    </w:p>
    <w:p>
      <w:pPr>
        <w:pStyle w:val="7"/>
        <w:spacing w:line="560" w:lineRule="exact"/>
        <w:jc w:val="right"/>
        <w:rPr>
          <w:rFonts w:ascii="仿宋" w:eastAsia="仿宋"/>
          <w:b/>
          <w:kern w:val="0"/>
          <w:sz w:val="28"/>
        </w:rPr>
      </w:pPr>
      <w:r>
        <w:rPr>
          <w:rFonts w:hint="eastAsia" w:ascii="仿宋" w:eastAsia="仿宋"/>
          <w:kern w:val="0"/>
          <w:sz w:val="24"/>
          <w:szCs w:val="24"/>
        </w:rPr>
        <w:t>金额</w:t>
      </w:r>
      <w:r>
        <w:rPr>
          <w:rFonts w:hint="eastAsia" w:ascii="仿宋" w:eastAsia="仿宋"/>
          <w:sz w:val="24"/>
          <w:szCs w:val="22"/>
        </w:rPr>
        <w:t>单位</w:t>
      </w:r>
      <w:r>
        <w:rPr>
          <w:rFonts w:hint="eastAsia" w:ascii="仿宋" w:eastAsia="仿宋"/>
          <w:kern w:val="0"/>
          <w:sz w:val="24"/>
          <w:szCs w:val="24"/>
        </w:rPr>
        <w:t>：元</w:t>
      </w:r>
    </w:p>
    <w:tbl>
      <w:tblPr>
        <w:tblStyle w:val="1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6"/>
        <w:gridCol w:w="1653"/>
        <w:gridCol w:w="1393"/>
        <w:gridCol w:w="1393"/>
        <w:gridCol w:w="170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89" w:type="pct"/>
            <w:tcBorders>
              <w:tl2br w:val="nil"/>
              <w:tr2bl w:val="nil"/>
            </w:tcBorders>
            <w:shd w:val="clear" w:color="auto" w:fill="auto"/>
            <w:noWrap/>
            <w:vAlign w:val="center"/>
          </w:tcPr>
          <w:p>
            <w:pPr>
              <w:jc w:val="center"/>
              <w:textAlignment w:val="center"/>
              <w:rPr>
                <w:rFonts w:cs="Times New Roman"/>
                <w:b/>
                <w:bCs/>
                <w:color w:val="000000"/>
                <w:sz w:val="20"/>
                <w:szCs w:val="20"/>
              </w:rPr>
            </w:pPr>
            <w:r>
              <w:rPr>
                <w:rFonts w:cs="Times New Roman"/>
                <w:b/>
                <w:bCs/>
                <w:color w:val="000000"/>
                <w:kern w:val="0"/>
                <w:sz w:val="20"/>
                <w:szCs w:val="20"/>
              </w:rPr>
              <w:t>截止日期</w:t>
            </w:r>
          </w:p>
        </w:tc>
        <w:tc>
          <w:tcPr>
            <w:tcW w:w="948" w:type="pct"/>
            <w:tcBorders>
              <w:tl2br w:val="nil"/>
              <w:tr2bl w:val="nil"/>
            </w:tcBorders>
            <w:shd w:val="clear" w:color="auto" w:fill="auto"/>
            <w:noWrap/>
            <w:vAlign w:val="center"/>
          </w:tcPr>
          <w:p>
            <w:pPr>
              <w:jc w:val="center"/>
              <w:textAlignment w:val="center"/>
              <w:rPr>
                <w:rFonts w:cs="Times New Roman"/>
                <w:b/>
                <w:bCs/>
                <w:color w:val="000000"/>
                <w:sz w:val="20"/>
                <w:szCs w:val="20"/>
              </w:rPr>
            </w:pPr>
            <w:r>
              <w:rPr>
                <w:rFonts w:cs="Times New Roman"/>
                <w:b/>
                <w:bCs/>
                <w:color w:val="000000"/>
                <w:kern w:val="0"/>
                <w:sz w:val="20"/>
                <w:szCs w:val="20"/>
              </w:rPr>
              <w:t>累计支付金额</w:t>
            </w:r>
          </w:p>
        </w:tc>
        <w:tc>
          <w:tcPr>
            <w:tcW w:w="799" w:type="pct"/>
            <w:tcBorders>
              <w:tl2br w:val="nil"/>
              <w:tr2bl w:val="nil"/>
            </w:tcBorders>
            <w:shd w:val="clear" w:color="auto" w:fill="auto"/>
            <w:noWrap/>
            <w:vAlign w:val="center"/>
          </w:tcPr>
          <w:p>
            <w:pPr>
              <w:jc w:val="center"/>
              <w:textAlignment w:val="center"/>
              <w:rPr>
                <w:rFonts w:cs="Times New Roman"/>
                <w:b/>
                <w:bCs/>
                <w:color w:val="000000"/>
                <w:sz w:val="20"/>
                <w:szCs w:val="20"/>
              </w:rPr>
            </w:pPr>
            <w:r>
              <w:rPr>
                <w:rFonts w:cs="Times New Roman"/>
                <w:b/>
                <w:bCs/>
                <w:color w:val="000000"/>
                <w:kern w:val="0"/>
                <w:sz w:val="20"/>
                <w:szCs w:val="20"/>
              </w:rPr>
              <w:t>实际支付率</w:t>
            </w:r>
          </w:p>
        </w:tc>
        <w:tc>
          <w:tcPr>
            <w:tcW w:w="799" w:type="pct"/>
            <w:tcBorders>
              <w:tl2br w:val="nil"/>
              <w:tr2bl w:val="nil"/>
            </w:tcBorders>
            <w:shd w:val="clear" w:color="auto" w:fill="auto"/>
            <w:noWrap/>
            <w:vAlign w:val="center"/>
          </w:tcPr>
          <w:p>
            <w:pPr>
              <w:jc w:val="center"/>
              <w:textAlignment w:val="center"/>
              <w:rPr>
                <w:rFonts w:cs="Times New Roman"/>
                <w:b/>
                <w:bCs/>
                <w:color w:val="000000"/>
                <w:sz w:val="20"/>
                <w:szCs w:val="20"/>
              </w:rPr>
            </w:pPr>
            <w:r>
              <w:rPr>
                <w:rFonts w:cs="Times New Roman"/>
                <w:b/>
                <w:bCs/>
                <w:color w:val="000000"/>
                <w:kern w:val="0"/>
                <w:sz w:val="20"/>
                <w:szCs w:val="20"/>
              </w:rPr>
              <w:t>标准支付率</w:t>
            </w:r>
          </w:p>
        </w:tc>
        <w:tc>
          <w:tcPr>
            <w:tcW w:w="980" w:type="pct"/>
            <w:tcBorders>
              <w:tl2br w:val="nil"/>
              <w:tr2bl w:val="nil"/>
            </w:tcBorders>
            <w:shd w:val="clear" w:color="auto" w:fill="auto"/>
            <w:noWrap/>
            <w:vAlign w:val="center"/>
          </w:tcPr>
          <w:p>
            <w:pPr>
              <w:jc w:val="center"/>
              <w:textAlignment w:val="center"/>
              <w:rPr>
                <w:rFonts w:cs="Times New Roman"/>
                <w:b/>
                <w:bCs/>
                <w:color w:val="000000"/>
                <w:sz w:val="20"/>
                <w:szCs w:val="20"/>
              </w:rPr>
            </w:pPr>
            <w:r>
              <w:rPr>
                <w:rFonts w:cs="Times New Roman"/>
                <w:b/>
                <w:bCs/>
                <w:color w:val="000000"/>
                <w:kern w:val="0"/>
                <w:sz w:val="20"/>
                <w:szCs w:val="20"/>
              </w:rPr>
              <w:t>支付进度完成率</w:t>
            </w:r>
          </w:p>
        </w:tc>
        <w:tc>
          <w:tcPr>
            <w:tcW w:w="684" w:type="pct"/>
            <w:tcBorders>
              <w:tl2br w:val="nil"/>
              <w:tr2bl w:val="nil"/>
            </w:tcBorders>
            <w:shd w:val="clear" w:color="auto" w:fill="auto"/>
            <w:noWrap/>
            <w:vAlign w:val="center"/>
          </w:tcPr>
          <w:p>
            <w:pPr>
              <w:jc w:val="center"/>
              <w:textAlignment w:val="center"/>
              <w:rPr>
                <w:rFonts w:cs="Times New Roman"/>
                <w:b/>
                <w:bCs/>
                <w:color w:val="000000"/>
                <w:sz w:val="20"/>
                <w:szCs w:val="20"/>
              </w:rPr>
            </w:pPr>
            <w:r>
              <w:rPr>
                <w:rFonts w:cs="Times New Roman"/>
                <w:b/>
                <w:bCs/>
                <w:color w:val="000000"/>
                <w:kern w:val="0"/>
                <w:sz w:val="20"/>
                <w:szCs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6"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2021/3/31</w:t>
            </w:r>
          </w:p>
        </w:tc>
        <w:tc>
          <w:tcPr>
            <w:tcW w:w="1653" w:type="dxa"/>
            <w:tcBorders>
              <w:tl2br w:val="nil"/>
              <w:tr2bl w:val="nil"/>
            </w:tcBorders>
            <w:shd w:val="clear" w:color="auto" w:fill="auto"/>
            <w:noWrap/>
            <w:vAlign w:val="center"/>
          </w:tcPr>
          <w:p>
            <w:pPr>
              <w:jc w:val="right"/>
              <w:textAlignment w:val="center"/>
              <w:rPr>
                <w:rFonts w:cs="Times New Roman"/>
                <w:sz w:val="20"/>
                <w:szCs w:val="20"/>
              </w:rPr>
            </w:pPr>
            <w:r>
              <w:rPr>
                <w:rFonts w:hint="eastAsia" w:cs="Times New Roman"/>
                <w:color w:val="000000"/>
                <w:kern w:val="0"/>
                <w:sz w:val="20"/>
                <w:szCs w:val="20"/>
              </w:rPr>
              <w:t>2</w:t>
            </w:r>
            <w:r>
              <w:rPr>
                <w:rFonts w:cs="Times New Roman"/>
                <w:color w:val="000000"/>
                <w:kern w:val="0"/>
                <w:sz w:val="20"/>
                <w:szCs w:val="20"/>
              </w:rPr>
              <w:t>,</w:t>
            </w:r>
            <w:r>
              <w:rPr>
                <w:rFonts w:hint="eastAsia" w:cs="Times New Roman"/>
                <w:color w:val="000000"/>
                <w:kern w:val="0"/>
                <w:sz w:val="20"/>
                <w:szCs w:val="20"/>
              </w:rPr>
              <w:t>642</w:t>
            </w:r>
            <w:r>
              <w:rPr>
                <w:rFonts w:cs="Times New Roman"/>
                <w:color w:val="000000"/>
                <w:kern w:val="0"/>
                <w:sz w:val="20"/>
                <w:szCs w:val="20"/>
              </w:rPr>
              <w:t>,</w:t>
            </w:r>
            <w:r>
              <w:rPr>
                <w:rFonts w:hint="eastAsia" w:cs="Times New Roman"/>
                <w:color w:val="000000"/>
                <w:kern w:val="0"/>
                <w:sz w:val="20"/>
                <w:szCs w:val="20"/>
              </w:rPr>
              <w:t>407</w:t>
            </w:r>
            <w:r>
              <w:rPr>
                <w:rFonts w:cs="Times New Roman"/>
                <w:color w:val="000000"/>
                <w:kern w:val="0"/>
                <w:sz w:val="20"/>
                <w:szCs w:val="20"/>
              </w:rPr>
              <w:t>.</w:t>
            </w:r>
            <w:r>
              <w:rPr>
                <w:rFonts w:hint="eastAsia" w:cs="Times New Roman"/>
                <w:color w:val="000000"/>
                <w:kern w:val="0"/>
                <w:sz w:val="20"/>
                <w:szCs w:val="20"/>
              </w:rPr>
              <w:t>7</w:t>
            </w:r>
            <w:r>
              <w:rPr>
                <w:rFonts w:cs="Times New Roman"/>
                <w:color w:val="000000"/>
                <w:kern w:val="0"/>
                <w:sz w:val="20"/>
                <w:szCs w:val="20"/>
              </w:rPr>
              <w:t>2</w:t>
            </w:r>
          </w:p>
        </w:tc>
        <w:tc>
          <w:tcPr>
            <w:tcW w:w="1393" w:type="dxa"/>
            <w:tcBorders>
              <w:tl2br w:val="nil"/>
              <w:tr2bl w:val="nil"/>
            </w:tcBorders>
            <w:shd w:val="clear" w:color="auto" w:fill="auto"/>
            <w:noWrap/>
            <w:vAlign w:val="center"/>
          </w:tcPr>
          <w:p>
            <w:pPr>
              <w:jc w:val="center"/>
              <w:textAlignment w:val="center"/>
              <w:rPr>
                <w:rFonts w:cs="Times New Roman"/>
                <w:sz w:val="20"/>
                <w:szCs w:val="20"/>
              </w:rPr>
            </w:pPr>
            <w:r>
              <w:rPr>
                <w:rFonts w:hint="eastAsia" w:cs="Times New Roman"/>
                <w:color w:val="000000"/>
                <w:kern w:val="0"/>
                <w:sz w:val="20"/>
                <w:szCs w:val="20"/>
              </w:rPr>
              <w:t>18.12</w:t>
            </w:r>
            <w:r>
              <w:rPr>
                <w:rFonts w:cs="Times New Roman"/>
                <w:color w:val="000000"/>
                <w:kern w:val="0"/>
                <w:sz w:val="20"/>
                <w:szCs w:val="20"/>
              </w:rPr>
              <w:t>%</w:t>
            </w:r>
          </w:p>
        </w:tc>
        <w:tc>
          <w:tcPr>
            <w:tcW w:w="1393"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24.50%</w:t>
            </w:r>
          </w:p>
        </w:tc>
        <w:tc>
          <w:tcPr>
            <w:tcW w:w="1709"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73.98</w:t>
            </w:r>
            <w:r>
              <w:rPr>
                <w:rFonts w:cs="Times New Roman"/>
                <w:color w:val="000000"/>
                <w:kern w:val="0"/>
                <w:sz w:val="20"/>
                <w:szCs w:val="20"/>
              </w:rPr>
              <w:t>%</w:t>
            </w:r>
          </w:p>
        </w:tc>
        <w:tc>
          <w:tcPr>
            <w:tcW w:w="1193"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6"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2021/6/30</w:t>
            </w:r>
          </w:p>
        </w:tc>
        <w:tc>
          <w:tcPr>
            <w:tcW w:w="1653" w:type="dxa"/>
            <w:tcBorders>
              <w:tl2br w:val="nil"/>
              <w:tr2bl w:val="nil"/>
            </w:tcBorders>
            <w:shd w:val="clear" w:color="auto" w:fill="auto"/>
            <w:noWrap/>
            <w:vAlign w:val="center"/>
          </w:tcPr>
          <w:p>
            <w:pPr>
              <w:jc w:val="right"/>
              <w:textAlignment w:val="center"/>
              <w:rPr>
                <w:rFonts w:cs="Times New Roman"/>
                <w:sz w:val="20"/>
                <w:szCs w:val="20"/>
              </w:rPr>
            </w:pPr>
            <w:r>
              <w:rPr>
                <w:rFonts w:hint="eastAsia" w:cs="Times New Roman"/>
                <w:color w:val="000000"/>
                <w:kern w:val="0"/>
                <w:sz w:val="20"/>
                <w:szCs w:val="20"/>
              </w:rPr>
              <w:t>5</w:t>
            </w:r>
            <w:r>
              <w:rPr>
                <w:rFonts w:cs="Times New Roman"/>
                <w:color w:val="000000"/>
                <w:kern w:val="0"/>
                <w:sz w:val="20"/>
                <w:szCs w:val="20"/>
              </w:rPr>
              <w:t>,</w:t>
            </w:r>
            <w:r>
              <w:rPr>
                <w:rFonts w:hint="eastAsia" w:cs="Times New Roman"/>
                <w:color w:val="000000"/>
                <w:kern w:val="0"/>
                <w:sz w:val="20"/>
                <w:szCs w:val="20"/>
              </w:rPr>
              <w:t>426</w:t>
            </w:r>
            <w:r>
              <w:rPr>
                <w:rFonts w:cs="Times New Roman"/>
                <w:color w:val="000000"/>
                <w:kern w:val="0"/>
                <w:sz w:val="20"/>
                <w:szCs w:val="20"/>
              </w:rPr>
              <w:t>,</w:t>
            </w:r>
            <w:r>
              <w:rPr>
                <w:rFonts w:hint="eastAsia" w:cs="Times New Roman"/>
                <w:color w:val="000000"/>
                <w:kern w:val="0"/>
                <w:sz w:val="20"/>
                <w:szCs w:val="20"/>
              </w:rPr>
              <w:t>194</w:t>
            </w:r>
            <w:r>
              <w:rPr>
                <w:rFonts w:cs="Times New Roman"/>
                <w:color w:val="000000"/>
                <w:kern w:val="0"/>
                <w:sz w:val="20"/>
                <w:szCs w:val="20"/>
              </w:rPr>
              <w:t>.</w:t>
            </w:r>
            <w:r>
              <w:rPr>
                <w:rFonts w:hint="eastAsia" w:cs="Times New Roman"/>
                <w:color w:val="000000"/>
                <w:kern w:val="0"/>
                <w:sz w:val="20"/>
                <w:szCs w:val="20"/>
              </w:rPr>
              <w:t>63</w:t>
            </w:r>
          </w:p>
        </w:tc>
        <w:tc>
          <w:tcPr>
            <w:tcW w:w="1393" w:type="dxa"/>
            <w:tcBorders>
              <w:tl2br w:val="nil"/>
              <w:tr2bl w:val="nil"/>
            </w:tcBorders>
            <w:shd w:val="clear" w:color="auto" w:fill="auto"/>
            <w:noWrap/>
            <w:vAlign w:val="center"/>
          </w:tcPr>
          <w:p>
            <w:pPr>
              <w:jc w:val="center"/>
              <w:textAlignment w:val="center"/>
              <w:rPr>
                <w:rFonts w:cs="Times New Roman"/>
                <w:sz w:val="20"/>
                <w:szCs w:val="20"/>
              </w:rPr>
            </w:pPr>
            <w:r>
              <w:rPr>
                <w:rFonts w:hint="eastAsia" w:cs="Times New Roman"/>
                <w:color w:val="000000"/>
                <w:kern w:val="0"/>
                <w:sz w:val="20"/>
                <w:szCs w:val="20"/>
              </w:rPr>
              <w:t>37.22</w:t>
            </w:r>
            <w:r>
              <w:rPr>
                <w:rFonts w:cs="Times New Roman"/>
                <w:color w:val="000000"/>
                <w:kern w:val="0"/>
                <w:sz w:val="20"/>
                <w:szCs w:val="20"/>
              </w:rPr>
              <w:t>%</w:t>
            </w:r>
          </w:p>
        </w:tc>
        <w:tc>
          <w:tcPr>
            <w:tcW w:w="1393"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49.00%</w:t>
            </w:r>
          </w:p>
        </w:tc>
        <w:tc>
          <w:tcPr>
            <w:tcW w:w="1709"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75.96</w:t>
            </w:r>
            <w:r>
              <w:rPr>
                <w:rFonts w:cs="Times New Roman"/>
                <w:color w:val="000000"/>
                <w:kern w:val="0"/>
                <w:sz w:val="20"/>
                <w:szCs w:val="20"/>
              </w:rPr>
              <w:t>%</w:t>
            </w:r>
          </w:p>
        </w:tc>
        <w:tc>
          <w:tcPr>
            <w:tcW w:w="1193"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6"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2021/9/30</w:t>
            </w:r>
          </w:p>
        </w:tc>
        <w:tc>
          <w:tcPr>
            <w:tcW w:w="1653" w:type="dxa"/>
            <w:tcBorders>
              <w:tl2br w:val="nil"/>
              <w:tr2bl w:val="nil"/>
            </w:tcBorders>
            <w:shd w:val="clear" w:color="auto" w:fill="auto"/>
            <w:noWrap/>
            <w:vAlign w:val="center"/>
          </w:tcPr>
          <w:p>
            <w:pPr>
              <w:jc w:val="right"/>
              <w:textAlignment w:val="center"/>
              <w:rPr>
                <w:rFonts w:cs="Times New Roman"/>
                <w:sz w:val="20"/>
                <w:szCs w:val="20"/>
              </w:rPr>
            </w:pPr>
            <w:r>
              <w:rPr>
                <w:rFonts w:hint="eastAsia" w:cs="Times New Roman"/>
                <w:color w:val="000000"/>
                <w:kern w:val="0"/>
                <w:sz w:val="20"/>
                <w:szCs w:val="20"/>
              </w:rPr>
              <w:t>8</w:t>
            </w:r>
            <w:r>
              <w:rPr>
                <w:rFonts w:cs="Times New Roman"/>
                <w:color w:val="000000"/>
                <w:kern w:val="0"/>
                <w:sz w:val="20"/>
                <w:szCs w:val="20"/>
              </w:rPr>
              <w:t>,</w:t>
            </w:r>
            <w:r>
              <w:rPr>
                <w:rFonts w:hint="eastAsia" w:cs="Times New Roman"/>
                <w:color w:val="000000"/>
                <w:kern w:val="0"/>
                <w:sz w:val="20"/>
                <w:szCs w:val="20"/>
              </w:rPr>
              <w:t>553</w:t>
            </w:r>
            <w:r>
              <w:rPr>
                <w:rFonts w:cs="Times New Roman"/>
                <w:color w:val="000000"/>
                <w:kern w:val="0"/>
                <w:sz w:val="20"/>
                <w:szCs w:val="20"/>
              </w:rPr>
              <w:t>,</w:t>
            </w:r>
            <w:r>
              <w:rPr>
                <w:rFonts w:hint="eastAsia" w:cs="Times New Roman"/>
                <w:color w:val="000000"/>
                <w:kern w:val="0"/>
                <w:sz w:val="20"/>
                <w:szCs w:val="20"/>
              </w:rPr>
              <w:t>134</w:t>
            </w:r>
            <w:r>
              <w:rPr>
                <w:rFonts w:cs="Times New Roman"/>
                <w:color w:val="000000"/>
                <w:kern w:val="0"/>
                <w:sz w:val="20"/>
                <w:szCs w:val="20"/>
              </w:rPr>
              <w:t>.</w:t>
            </w:r>
            <w:r>
              <w:rPr>
                <w:rFonts w:hint="eastAsia" w:cs="Times New Roman"/>
                <w:color w:val="000000"/>
                <w:kern w:val="0"/>
                <w:sz w:val="20"/>
                <w:szCs w:val="20"/>
              </w:rPr>
              <w:t>32</w:t>
            </w:r>
          </w:p>
        </w:tc>
        <w:tc>
          <w:tcPr>
            <w:tcW w:w="1393" w:type="dxa"/>
            <w:tcBorders>
              <w:tl2br w:val="nil"/>
              <w:tr2bl w:val="nil"/>
            </w:tcBorders>
            <w:shd w:val="clear" w:color="auto" w:fill="auto"/>
            <w:noWrap/>
            <w:vAlign w:val="center"/>
          </w:tcPr>
          <w:p>
            <w:pPr>
              <w:jc w:val="center"/>
              <w:textAlignment w:val="center"/>
              <w:rPr>
                <w:rFonts w:cs="Times New Roman"/>
                <w:sz w:val="20"/>
                <w:szCs w:val="20"/>
              </w:rPr>
            </w:pPr>
            <w:r>
              <w:rPr>
                <w:rFonts w:hint="eastAsia" w:cs="Times New Roman"/>
                <w:color w:val="000000"/>
                <w:kern w:val="0"/>
                <w:sz w:val="20"/>
                <w:szCs w:val="20"/>
              </w:rPr>
              <w:t>58.67</w:t>
            </w:r>
            <w:r>
              <w:rPr>
                <w:rFonts w:cs="Times New Roman"/>
                <w:color w:val="000000"/>
                <w:kern w:val="0"/>
                <w:sz w:val="20"/>
                <w:szCs w:val="20"/>
              </w:rPr>
              <w:t>%</w:t>
            </w:r>
          </w:p>
        </w:tc>
        <w:tc>
          <w:tcPr>
            <w:tcW w:w="1393"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73.50%</w:t>
            </w:r>
          </w:p>
        </w:tc>
        <w:tc>
          <w:tcPr>
            <w:tcW w:w="1709"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79.82</w:t>
            </w:r>
            <w:r>
              <w:rPr>
                <w:rFonts w:cs="Times New Roman"/>
                <w:color w:val="000000"/>
                <w:kern w:val="0"/>
                <w:sz w:val="20"/>
                <w:szCs w:val="20"/>
              </w:rPr>
              <w:t>%</w:t>
            </w:r>
          </w:p>
        </w:tc>
        <w:tc>
          <w:tcPr>
            <w:tcW w:w="1193"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hint="eastAsia" w:cs="Times New Roman"/>
                <w:color w:val="000000"/>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6"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2021/12/31</w:t>
            </w:r>
          </w:p>
        </w:tc>
        <w:tc>
          <w:tcPr>
            <w:tcW w:w="1653" w:type="dxa"/>
            <w:tcBorders>
              <w:tl2br w:val="nil"/>
              <w:tr2bl w:val="nil"/>
            </w:tcBorders>
            <w:shd w:val="clear" w:color="auto" w:fill="auto"/>
            <w:noWrap/>
            <w:vAlign w:val="center"/>
          </w:tcPr>
          <w:p>
            <w:pPr>
              <w:jc w:val="right"/>
              <w:textAlignment w:val="center"/>
              <w:rPr>
                <w:rFonts w:cs="Times New Roman"/>
                <w:sz w:val="20"/>
                <w:szCs w:val="20"/>
              </w:rPr>
            </w:pPr>
            <w:r>
              <w:rPr>
                <w:rFonts w:hint="eastAsia" w:cs="Times New Roman"/>
                <w:color w:val="000000"/>
                <w:kern w:val="0"/>
                <w:sz w:val="20"/>
                <w:szCs w:val="20"/>
              </w:rPr>
              <w:t>14</w:t>
            </w:r>
            <w:r>
              <w:rPr>
                <w:rFonts w:cs="Times New Roman"/>
                <w:color w:val="000000"/>
                <w:kern w:val="0"/>
                <w:sz w:val="20"/>
                <w:szCs w:val="20"/>
              </w:rPr>
              <w:t>,</w:t>
            </w:r>
            <w:r>
              <w:rPr>
                <w:rFonts w:hint="eastAsia" w:cs="Times New Roman"/>
                <w:color w:val="000000"/>
                <w:kern w:val="0"/>
                <w:sz w:val="20"/>
                <w:szCs w:val="20"/>
              </w:rPr>
              <w:t>578</w:t>
            </w:r>
            <w:r>
              <w:rPr>
                <w:rFonts w:cs="Times New Roman"/>
                <w:color w:val="000000"/>
                <w:kern w:val="0"/>
                <w:sz w:val="20"/>
                <w:szCs w:val="20"/>
              </w:rPr>
              <w:t>,</w:t>
            </w:r>
            <w:r>
              <w:rPr>
                <w:rFonts w:hint="eastAsia" w:cs="Times New Roman"/>
                <w:color w:val="000000"/>
                <w:kern w:val="0"/>
                <w:sz w:val="20"/>
                <w:szCs w:val="20"/>
              </w:rPr>
              <w:t>938</w:t>
            </w:r>
            <w:r>
              <w:rPr>
                <w:rFonts w:cs="Times New Roman"/>
                <w:color w:val="000000"/>
                <w:kern w:val="0"/>
                <w:sz w:val="20"/>
                <w:szCs w:val="20"/>
              </w:rPr>
              <w:t>.</w:t>
            </w:r>
            <w:r>
              <w:rPr>
                <w:rFonts w:hint="eastAsia" w:cs="Times New Roman"/>
                <w:color w:val="000000"/>
                <w:kern w:val="0"/>
                <w:sz w:val="20"/>
                <w:szCs w:val="20"/>
              </w:rPr>
              <w:t>19</w:t>
            </w:r>
          </w:p>
        </w:tc>
        <w:tc>
          <w:tcPr>
            <w:tcW w:w="1393" w:type="dxa"/>
            <w:tcBorders>
              <w:tl2br w:val="nil"/>
              <w:tr2bl w:val="nil"/>
            </w:tcBorders>
            <w:shd w:val="clear" w:color="auto" w:fill="auto"/>
            <w:noWrap/>
            <w:vAlign w:val="center"/>
          </w:tcPr>
          <w:p>
            <w:pPr>
              <w:jc w:val="center"/>
              <w:textAlignment w:val="center"/>
              <w:rPr>
                <w:rFonts w:cs="Times New Roman"/>
                <w:sz w:val="20"/>
                <w:szCs w:val="20"/>
              </w:rPr>
            </w:pPr>
            <w:r>
              <w:rPr>
                <w:rFonts w:hint="eastAsia" w:cs="Times New Roman"/>
                <w:color w:val="000000"/>
                <w:kern w:val="0"/>
                <w:sz w:val="20"/>
                <w:szCs w:val="20"/>
              </w:rPr>
              <w:t>100.00</w:t>
            </w:r>
            <w:r>
              <w:rPr>
                <w:rFonts w:cs="Times New Roman"/>
                <w:color w:val="000000"/>
                <w:kern w:val="0"/>
                <w:sz w:val="20"/>
                <w:szCs w:val="20"/>
              </w:rPr>
              <w:t>%</w:t>
            </w:r>
          </w:p>
        </w:tc>
        <w:tc>
          <w:tcPr>
            <w:tcW w:w="1393"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100.00%</w:t>
            </w:r>
          </w:p>
        </w:tc>
        <w:tc>
          <w:tcPr>
            <w:tcW w:w="1709"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100.00%</w:t>
            </w:r>
          </w:p>
        </w:tc>
        <w:tc>
          <w:tcPr>
            <w:tcW w:w="1193" w:type="dxa"/>
            <w:tcBorders>
              <w:tl2br w:val="nil"/>
              <w:tr2bl w:val="nil"/>
            </w:tcBorders>
            <w:shd w:val="clear" w:color="auto" w:fill="auto"/>
            <w:noWrap/>
            <w:vAlign w:val="center"/>
          </w:tcPr>
          <w:p>
            <w:pPr>
              <w:jc w:val="center"/>
              <w:textAlignment w:val="center"/>
              <w:rPr>
                <w:rFonts w:cs="Times New Roman"/>
                <w:color w:val="000000"/>
                <w:sz w:val="20"/>
                <w:szCs w:val="20"/>
              </w:rPr>
            </w:pPr>
            <w:r>
              <w:rPr>
                <w:rFonts w:cs="Times New Roman"/>
                <w:color w:val="000000"/>
                <w:kern w:val="0"/>
                <w:sz w:val="20"/>
                <w:szCs w:val="2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524" w:type="dxa"/>
            <w:gridSpan w:val="5"/>
            <w:tcBorders>
              <w:tl2br w:val="nil"/>
              <w:tr2bl w:val="nil"/>
            </w:tcBorders>
            <w:shd w:val="clear" w:color="auto" w:fill="auto"/>
            <w:noWrap/>
            <w:vAlign w:val="center"/>
          </w:tcPr>
          <w:p>
            <w:pPr>
              <w:jc w:val="center"/>
              <w:textAlignment w:val="center"/>
              <w:rPr>
                <w:rFonts w:cs="Times New Roman"/>
                <w:b/>
                <w:bCs/>
                <w:color w:val="000000"/>
                <w:sz w:val="20"/>
                <w:szCs w:val="20"/>
              </w:rPr>
            </w:pPr>
            <w:r>
              <w:rPr>
                <w:rFonts w:hint="eastAsia"/>
                <w:b/>
                <w:bCs/>
                <w:color w:val="000000"/>
                <w:kern w:val="0"/>
                <w:sz w:val="20"/>
                <w:szCs w:val="20"/>
              </w:rPr>
              <w:t>合计</w:t>
            </w:r>
          </w:p>
        </w:tc>
        <w:tc>
          <w:tcPr>
            <w:tcW w:w="1193" w:type="dxa"/>
            <w:tcBorders>
              <w:tl2br w:val="nil"/>
              <w:tr2bl w:val="nil"/>
            </w:tcBorders>
            <w:shd w:val="clear" w:color="auto" w:fill="auto"/>
            <w:noWrap/>
            <w:vAlign w:val="center"/>
          </w:tcPr>
          <w:p>
            <w:pPr>
              <w:jc w:val="center"/>
              <w:textAlignment w:val="center"/>
              <w:rPr>
                <w:rFonts w:cs="Times New Roman"/>
                <w:b/>
                <w:bCs/>
                <w:color w:val="000000"/>
                <w:sz w:val="20"/>
                <w:szCs w:val="20"/>
              </w:rPr>
            </w:pPr>
            <w:r>
              <w:rPr>
                <w:rFonts w:hint="eastAsia" w:cs="Times New Roman"/>
                <w:b/>
                <w:bCs/>
                <w:color w:val="000000"/>
                <w:kern w:val="0"/>
                <w:sz w:val="20"/>
                <w:szCs w:val="20"/>
              </w:rPr>
              <w:t>0.5</w:t>
            </w:r>
          </w:p>
        </w:tc>
      </w:tr>
    </w:tbl>
    <w:p>
      <w:pPr>
        <w:pStyle w:val="7"/>
        <w:widowControl w:val="0"/>
        <w:spacing w:line="560" w:lineRule="exact"/>
        <w:ind w:firstLine="560" w:firstLineChars="200"/>
        <w:rPr>
          <w:rFonts w:ascii="仿宋" w:eastAsia="仿宋"/>
          <w:kern w:val="0"/>
          <w:sz w:val="28"/>
        </w:rPr>
      </w:pPr>
      <w:r>
        <w:rPr>
          <w:rFonts w:hint="eastAsia" w:ascii="仿宋" w:eastAsia="仿宋"/>
          <w:kern w:val="0"/>
          <w:sz w:val="28"/>
        </w:rPr>
        <w:t>依据评分标准“①实际支付进度完成率大于或等于100%，得0.5分；②实际支付进度完成率小于90%，得0分；③实际支付进度完成率在90%-100%之间的，在0分和0.5分之间计算确定：得分=（实际支付进度完成率－90%）/（100%-90%）×季度支付进度分值0.5分。”，该指标分值2分，得分0.5分。</w:t>
      </w:r>
    </w:p>
    <w:p>
      <w:pPr>
        <w:widowControl w:val="0"/>
        <w:spacing w:line="560" w:lineRule="exact"/>
        <w:ind w:firstLine="560" w:firstLineChars="200"/>
        <w:outlineLvl w:val="4"/>
      </w:pPr>
      <w:r>
        <w:rPr>
          <w:rFonts w:hint="eastAsia"/>
          <w:kern w:val="0"/>
        </w:rPr>
        <w:t>④</w:t>
      </w:r>
      <w:r>
        <w:rPr>
          <w:rFonts w:hint="eastAsia"/>
        </w:rPr>
        <w:t>结转结余变动率</w:t>
      </w:r>
    </w:p>
    <w:p>
      <w:pPr>
        <w:pStyle w:val="7"/>
        <w:widowControl w:val="0"/>
        <w:spacing w:line="560" w:lineRule="exact"/>
        <w:ind w:firstLine="560" w:firstLineChars="200"/>
        <w:rPr>
          <w:rFonts w:ascii="仿宋" w:eastAsia="仿宋"/>
          <w:kern w:val="0"/>
          <w:sz w:val="28"/>
        </w:rPr>
      </w:pPr>
      <w:r>
        <w:rPr>
          <w:rFonts w:hint="eastAsia" w:ascii="仿宋" w:eastAsia="仿宋"/>
          <w:kern w:val="0"/>
          <w:sz w:val="28"/>
        </w:rPr>
        <w:t>2021年部门预算资金结转结余1,006.96万元，2020年部门预算资金结转结余530.34万元，2021年末部门预算资金结转结余较2020年末增加476.63万元。结转结余变动率=89.87%，依据评分标准“结转结余变动率大于或等于50%的，得0分”，该指标分值1分，得分0分。</w:t>
      </w:r>
    </w:p>
    <w:p>
      <w:pPr>
        <w:widowControl w:val="0"/>
        <w:spacing w:line="560" w:lineRule="exact"/>
        <w:ind w:firstLine="560" w:firstLineChars="200"/>
        <w:outlineLvl w:val="4"/>
      </w:pPr>
      <w:r>
        <w:rPr>
          <w:rFonts w:hint="eastAsia"/>
        </w:rPr>
        <w:t>⑤公用经费控制率</w:t>
      </w:r>
    </w:p>
    <w:p>
      <w:pPr>
        <w:pStyle w:val="7"/>
        <w:widowControl w:val="0"/>
        <w:spacing w:line="560" w:lineRule="exact"/>
        <w:ind w:firstLine="560" w:firstLineChars="200"/>
        <w:rPr>
          <w:rFonts w:ascii="仿宋" w:eastAsia="仿宋"/>
          <w:kern w:val="0"/>
          <w:sz w:val="28"/>
        </w:rPr>
      </w:pPr>
      <w:r>
        <w:rPr>
          <w:rFonts w:hint="eastAsia" w:ascii="仿宋" w:eastAsia="仿宋"/>
          <w:kern w:val="0"/>
          <w:sz w:val="28"/>
        </w:rPr>
        <w:t>2021年部门公用经费可支配资金为154.03万元，公用经费实际支出152.53万元，公用经费控制率=（152.53/154.03）×100%=99.03%，该指标分值1分，得分1分。</w:t>
      </w:r>
    </w:p>
    <w:p>
      <w:pPr>
        <w:widowControl w:val="0"/>
        <w:spacing w:line="560" w:lineRule="exact"/>
        <w:ind w:firstLine="560" w:firstLineChars="200"/>
        <w:outlineLvl w:val="4"/>
      </w:pPr>
      <w:r>
        <w:rPr>
          <w:rFonts w:hint="eastAsia"/>
          <w:kern w:val="0"/>
        </w:rPr>
        <w:t>⑥</w:t>
      </w:r>
      <w:r>
        <w:rPr>
          <w:rFonts w:hint="eastAsia"/>
        </w:rPr>
        <w:t>“三公经费”控制率</w:t>
      </w:r>
    </w:p>
    <w:p>
      <w:pPr>
        <w:pStyle w:val="7"/>
        <w:widowControl w:val="0"/>
        <w:spacing w:line="560" w:lineRule="exact"/>
        <w:ind w:firstLine="560" w:firstLineChars="200"/>
        <w:rPr>
          <w:rFonts w:ascii="仿宋" w:eastAsia="仿宋"/>
          <w:kern w:val="0"/>
          <w:sz w:val="28"/>
        </w:rPr>
      </w:pPr>
      <w:r>
        <w:rPr>
          <w:rFonts w:hint="eastAsia" w:ascii="仿宋" w:eastAsia="仿宋"/>
          <w:kern w:val="0"/>
          <w:sz w:val="28"/>
        </w:rPr>
        <w:t>2021年度“三公经费”预算资金14.1万元，其中：因公出国(境)费用5万元、公务用车运行维护费6.5万元、公务接待费2.6万元。本年度“三公经费”支出数为3.03万元。“三公经费”</w:t>
      </w:r>
      <w:r>
        <w:rPr>
          <w:rFonts w:hint="eastAsia"/>
          <w:kern w:val="0"/>
          <w:sz w:val="28"/>
        </w:rPr>
        <w:t>控制</w:t>
      </w:r>
      <w:r>
        <w:rPr>
          <w:rFonts w:hint="eastAsia" w:ascii="仿宋" w:eastAsia="仿宋"/>
          <w:kern w:val="0"/>
          <w:sz w:val="28"/>
        </w:rPr>
        <w:t>率=</w:t>
      </w:r>
      <w:r>
        <w:rPr>
          <w:rFonts w:hint="eastAsia"/>
          <w:kern w:val="0"/>
          <w:sz w:val="28"/>
        </w:rPr>
        <w:t>(3.03</w:t>
      </w:r>
      <w:r>
        <w:rPr>
          <w:rFonts w:hint="eastAsia" w:ascii="仿宋" w:eastAsia="仿宋"/>
          <w:kern w:val="0"/>
          <w:sz w:val="28"/>
        </w:rPr>
        <w:t>/</w:t>
      </w:r>
      <w:r>
        <w:rPr>
          <w:rFonts w:hint="eastAsia" w:eastAsia="仿宋"/>
          <w:kern w:val="0"/>
          <w:sz w:val="28"/>
        </w:rPr>
        <w:t>14.1</w:t>
      </w:r>
      <w:r>
        <w:rPr>
          <w:rFonts w:hint="eastAsia"/>
          <w:kern w:val="0"/>
          <w:sz w:val="28"/>
        </w:rPr>
        <w:t>)</w:t>
      </w:r>
      <w:r>
        <w:rPr>
          <w:rFonts w:hint="eastAsia" w:ascii="仿宋" w:eastAsia="仿宋"/>
          <w:kern w:val="0"/>
          <w:sz w:val="28"/>
        </w:rPr>
        <w:t>*100%=21.49%。该指标分值1分，得分1分。</w:t>
      </w:r>
    </w:p>
    <w:p>
      <w:pPr>
        <w:pStyle w:val="7"/>
        <w:widowControl w:val="0"/>
        <w:spacing w:line="560" w:lineRule="exact"/>
        <w:ind w:firstLine="560" w:firstLineChars="200"/>
        <w:outlineLvl w:val="4"/>
        <w:rPr>
          <w:rFonts w:ascii="仿宋" w:eastAsia="仿宋"/>
          <w:sz w:val="28"/>
          <w:highlight w:val="magenta"/>
        </w:rPr>
      </w:pPr>
      <w:r>
        <w:rPr>
          <w:rFonts w:hint="eastAsia" w:ascii="仿宋" w:eastAsia="仿宋"/>
          <w:sz w:val="28"/>
        </w:rPr>
        <w:t>⑦重点支出安排率</w:t>
      </w:r>
    </w:p>
    <w:p>
      <w:pPr>
        <w:pStyle w:val="7"/>
        <w:widowControl w:val="0"/>
        <w:spacing w:line="560" w:lineRule="exact"/>
        <w:ind w:firstLine="560" w:firstLineChars="200"/>
        <w:rPr>
          <w:rFonts w:ascii="仿宋" w:eastAsia="仿宋"/>
          <w:kern w:val="0"/>
          <w:sz w:val="28"/>
        </w:rPr>
      </w:pPr>
      <w:r>
        <w:rPr>
          <w:rFonts w:hint="eastAsia" w:ascii="仿宋" w:eastAsia="仿宋"/>
          <w:sz w:val="28"/>
        </w:rPr>
        <w:t>运城市人力资源和社会保障局</w:t>
      </w:r>
      <w:r>
        <w:rPr>
          <w:rFonts w:hint="eastAsia" w:ascii="仿宋" w:eastAsia="仿宋"/>
          <w:kern w:val="0"/>
          <w:sz w:val="28"/>
        </w:rPr>
        <w:t>2021年度项目支出共计3,951.75万元。其中涉及重点项目的预算资金3,520.50万元，主要包括中等职业学校免学费、助学金等补助经费821.49万元、市社保基金财政专户拨第一批职业技能提升资金2,214.53万元。重点支出安排率=（重点项目支出/项目总支出）×100%=（3,520.50/3,951.75）×100%=89.09%。该指标分值1分，得分1分。</w:t>
      </w:r>
    </w:p>
    <w:p>
      <w:pPr>
        <w:widowControl w:val="0"/>
        <w:spacing w:line="560" w:lineRule="exact"/>
        <w:ind w:firstLine="560" w:firstLineChars="200"/>
        <w:rPr>
          <w:kern w:val="0"/>
        </w:rPr>
      </w:pPr>
      <w:r>
        <w:rPr>
          <w:rFonts w:hint="eastAsia"/>
          <w:bCs/>
        </w:rPr>
        <w:t>满分</w:t>
      </w:r>
      <w:r>
        <w:rPr>
          <w:rFonts w:hint="eastAsia"/>
          <w:bCs/>
          <w:lang w:val="en-US" w:eastAsia="zh-CN"/>
        </w:rPr>
        <w:t>9</w:t>
      </w:r>
      <w:r>
        <w:rPr>
          <w:rFonts w:hint="eastAsia"/>
          <w:bCs/>
        </w:rPr>
        <w:t>分，</w:t>
      </w:r>
      <w:r>
        <w:rPr>
          <w:rFonts w:hint="eastAsia"/>
          <w:kern w:val="0"/>
        </w:rPr>
        <w:t>根据绩效评价指标，本指标</w:t>
      </w:r>
      <w:r>
        <w:rPr>
          <w:rFonts w:hint="eastAsia"/>
          <w:bCs/>
        </w:rPr>
        <w:t>得分</w:t>
      </w:r>
      <w:r>
        <w:rPr>
          <w:rFonts w:hint="eastAsia"/>
          <w:bCs/>
          <w:lang w:val="en-US" w:eastAsia="zh-CN"/>
        </w:rPr>
        <w:t>4.07</w:t>
      </w:r>
      <w:r>
        <w:rPr>
          <w:rFonts w:hint="eastAsia"/>
          <w:bCs/>
        </w:rPr>
        <w:t>分</w:t>
      </w:r>
      <w:r>
        <w:rPr>
          <w:rFonts w:hint="eastAsia"/>
          <w:kern w:val="0"/>
        </w:rPr>
        <w:t>，得分率4</w:t>
      </w:r>
      <w:r>
        <w:rPr>
          <w:rFonts w:hint="eastAsia"/>
          <w:kern w:val="0"/>
          <w:lang w:val="en-US" w:eastAsia="zh-CN"/>
        </w:rPr>
        <w:t>5.22</w:t>
      </w:r>
      <w:r>
        <w:rPr>
          <w:rFonts w:hint="eastAsia"/>
          <w:kern w:val="0"/>
        </w:rPr>
        <w:t>%</w:t>
      </w:r>
      <w:r>
        <w:rPr>
          <w:rFonts w:hint="eastAsia"/>
          <w:bCs/>
        </w:rPr>
        <w:t>。</w:t>
      </w:r>
    </w:p>
    <w:p>
      <w:pPr>
        <w:widowControl w:val="0"/>
        <w:spacing w:line="560" w:lineRule="exact"/>
        <w:ind w:firstLine="562" w:firstLineChars="200"/>
        <w:outlineLvl w:val="3"/>
        <w:rPr>
          <w:b/>
        </w:rPr>
      </w:pPr>
      <w:r>
        <w:rPr>
          <w:rFonts w:hint="eastAsia"/>
          <w:b/>
        </w:rPr>
        <w:t>B1-3预算监督管理</w:t>
      </w:r>
    </w:p>
    <w:p>
      <w:pPr>
        <w:widowControl w:val="0"/>
        <w:spacing w:line="560" w:lineRule="exact"/>
        <w:ind w:firstLine="560" w:firstLineChars="200"/>
        <w:rPr>
          <w:bCs/>
        </w:rPr>
      </w:pPr>
      <w:r>
        <w:rPr>
          <w:rFonts w:hint="eastAsia"/>
          <w:bCs/>
        </w:rPr>
        <w:t>经核实，运城市人力资源和社会保障局2021年度预决算信息已经财政部门审核，运城市人力资源和社会保障局预算编制规范、决算支出符合相关规定，未发现不合规事项。</w:t>
      </w:r>
    </w:p>
    <w:p>
      <w:pPr>
        <w:widowControl w:val="0"/>
        <w:spacing w:line="560" w:lineRule="exact"/>
        <w:ind w:firstLine="560" w:firstLineChars="200"/>
      </w:pPr>
      <w:r>
        <w:rPr>
          <w:rFonts w:hint="eastAsia"/>
          <w:bCs/>
        </w:rPr>
        <w:t>满分1分，</w:t>
      </w:r>
      <w:r>
        <w:rPr>
          <w:rFonts w:hint="eastAsia"/>
          <w:kern w:val="0"/>
        </w:rPr>
        <w:t>根据绩效评价指标，本指标</w:t>
      </w:r>
      <w:r>
        <w:rPr>
          <w:rFonts w:hint="eastAsia"/>
          <w:bCs/>
        </w:rPr>
        <w:t>得分1分</w:t>
      </w:r>
      <w:r>
        <w:rPr>
          <w:rFonts w:hint="eastAsia"/>
          <w:kern w:val="0"/>
        </w:rPr>
        <w:t>，得分率100%</w:t>
      </w:r>
      <w:r>
        <w:rPr>
          <w:rFonts w:hint="eastAsia"/>
          <w:bCs/>
        </w:rPr>
        <w:t>。</w:t>
      </w:r>
    </w:p>
    <w:p>
      <w:pPr>
        <w:widowControl w:val="0"/>
        <w:spacing w:line="560" w:lineRule="exact"/>
        <w:ind w:firstLine="562" w:firstLineChars="200"/>
        <w:outlineLvl w:val="3"/>
        <w:rPr>
          <w:b/>
        </w:rPr>
      </w:pPr>
      <w:r>
        <w:rPr>
          <w:rFonts w:hint="eastAsia"/>
          <w:b/>
        </w:rPr>
        <w:t>B1-4预算绩效管理</w:t>
      </w:r>
    </w:p>
    <w:p>
      <w:pPr>
        <w:spacing w:line="560" w:lineRule="exact"/>
        <w:ind w:firstLine="560" w:firstLineChars="200"/>
        <w:rPr>
          <w:kern w:val="0"/>
        </w:rPr>
      </w:pPr>
      <w:r>
        <w:rPr>
          <w:rFonts w:hint="eastAsia"/>
          <w:bCs/>
        </w:rPr>
        <w:t>运城市人力资源和社会保障局</w:t>
      </w:r>
      <w:r>
        <w:rPr>
          <w:rFonts w:hint="eastAsia"/>
          <w:kern w:val="0"/>
        </w:rPr>
        <w:t>2021年度编制了年初预算涉及项目（仲裁院实体化建设项目、工资审批和人事计划年报经费、劳动监察专项经费等6个项目）绩效申报表，并未对部门整体、追加项目进行绩效申报和自评，年底编制了6个项目绩效自评报告。</w:t>
      </w:r>
    </w:p>
    <w:p>
      <w:pPr>
        <w:widowControl w:val="0"/>
        <w:adjustRightInd w:val="0"/>
        <w:snapToGrid w:val="0"/>
        <w:spacing w:line="560" w:lineRule="exact"/>
        <w:ind w:firstLine="560" w:firstLineChars="200"/>
        <w:rPr>
          <w:bCs/>
          <w:highlight w:val="yellow"/>
        </w:rPr>
      </w:pPr>
      <w:r>
        <w:rPr>
          <w:rFonts w:hint="eastAsia"/>
          <w:kern w:val="0"/>
        </w:rPr>
        <w:t>项目绩效目标申报表和自评报告存在缺陷，具体为：项目单位制定的绩效目标，仅对产出指标中的数量、成本、效益指标进行描述，未对产出质量、时效进行细化、量化，绩效目标细化量化程度欠缺；绩效自评报告未填写摘要、项目主要经验做法、存在的主要问题及管理建议，未对制度建设方面、项目管理方面、资金管理方面等进行描述分析。</w:t>
      </w:r>
    </w:p>
    <w:p>
      <w:pPr>
        <w:widowControl w:val="0"/>
        <w:spacing w:line="560" w:lineRule="exact"/>
        <w:ind w:firstLine="560" w:firstLineChars="200"/>
      </w:pPr>
      <w:r>
        <w:rPr>
          <w:rFonts w:hint="eastAsia"/>
          <w:bCs/>
        </w:rPr>
        <w:t>满分</w:t>
      </w:r>
      <w:r>
        <w:rPr>
          <w:rFonts w:hint="eastAsia"/>
          <w:bCs/>
          <w:lang w:val="en-US" w:eastAsia="zh-CN"/>
        </w:rPr>
        <w:t>4</w:t>
      </w:r>
      <w:r>
        <w:rPr>
          <w:rFonts w:hint="eastAsia"/>
          <w:bCs/>
        </w:rPr>
        <w:t>分，</w:t>
      </w:r>
      <w:r>
        <w:rPr>
          <w:rFonts w:hint="eastAsia"/>
          <w:kern w:val="0"/>
        </w:rPr>
        <w:t>根据绩效评价指标，本指标</w:t>
      </w:r>
      <w:r>
        <w:rPr>
          <w:rFonts w:hint="eastAsia"/>
          <w:bCs/>
        </w:rPr>
        <w:t>得分</w:t>
      </w:r>
      <w:r>
        <w:rPr>
          <w:rFonts w:hint="eastAsia"/>
          <w:bCs/>
          <w:lang w:val="en-US" w:eastAsia="zh-CN"/>
        </w:rPr>
        <w:t>2</w:t>
      </w:r>
      <w:r>
        <w:rPr>
          <w:rFonts w:hint="eastAsia"/>
          <w:bCs/>
        </w:rPr>
        <w:t>分</w:t>
      </w:r>
      <w:r>
        <w:rPr>
          <w:rFonts w:hint="eastAsia"/>
          <w:kern w:val="0"/>
        </w:rPr>
        <w:t>，得分率50%</w:t>
      </w:r>
      <w:r>
        <w:rPr>
          <w:rFonts w:hint="eastAsia"/>
          <w:bCs/>
        </w:rPr>
        <w:t>。</w:t>
      </w:r>
    </w:p>
    <w:p>
      <w:pPr>
        <w:widowControl w:val="0"/>
        <w:spacing w:line="560" w:lineRule="exact"/>
        <w:ind w:firstLine="562" w:firstLineChars="200"/>
        <w:outlineLvl w:val="3"/>
        <w:rPr>
          <w:b/>
        </w:rPr>
      </w:pPr>
      <w:r>
        <w:rPr>
          <w:rFonts w:hint="eastAsia"/>
          <w:b/>
        </w:rPr>
        <w:t>B2-1财务管理规范性</w:t>
      </w:r>
    </w:p>
    <w:p>
      <w:pPr>
        <w:adjustRightInd w:val="0"/>
        <w:snapToGrid w:val="0"/>
        <w:spacing w:line="560" w:lineRule="exact"/>
        <w:ind w:firstLine="560" w:firstLineChars="200"/>
      </w:pPr>
      <w:r>
        <w:rPr>
          <w:rFonts w:hint="eastAsia"/>
        </w:rPr>
        <w:t>经核实，</w:t>
      </w:r>
      <w:r>
        <w:rPr>
          <w:rFonts w:hint="eastAsia"/>
          <w:bCs/>
        </w:rPr>
        <w:t>运城市人力资源和社会保障局</w:t>
      </w:r>
      <w:r>
        <w:rPr>
          <w:rFonts w:hint="eastAsia"/>
        </w:rPr>
        <w:t>结合本单位情况制定了多项规章制度，包括预算管理制度、收支管理制度、采购管理制度、资产管理制度、财务监督管理制度等，相关制度合法完整，具体为：</w:t>
      </w:r>
    </w:p>
    <w:p>
      <w:pPr>
        <w:adjustRightInd w:val="0"/>
        <w:snapToGrid w:val="0"/>
        <w:spacing w:line="560" w:lineRule="exact"/>
        <w:ind w:firstLine="560" w:firstLineChars="200"/>
      </w:pPr>
      <w:r>
        <w:rPr>
          <w:rFonts w:hint="eastAsia"/>
        </w:rPr>
        <w:t>预算管理制度主要从预算编制及批复、预算支出管理、预算执行效果管理、决算编制、预算绩效管理、预决算公示等方面制定相关管理制度，规范部门预算管理；</w:t>
      </w:r>
    </w:p>
    <w:p>
      <w:pPr>
        <w:adjustRightInd w:val="0"/>
        <w:snapToGrid w:val="0"/>
        <w:spacing w:line="560" w:lineRule="exact"/>
        <w:ind w:firstLine="560" w:firstLineChars="200"/>
      </w:pPr>
      <w:r>
        <w:rPr>
          <w:rFonts w:hint="eastAsia"/>
        </w:rPr>
        <w:t>资产管理制度从岗位分工及授权批准、货币资金的盘点和清查、实物资产管理等方面制定相关内容，规范部门资产管理；</w:t>
      </w:r>
    </w:p>
    <w:p>
      <w:pPr>
        <w:adjustRightInd w:val="0"/>
        <w:snapToGrid w:val="0"/>
        <w:spacing w:line="560" w:lineRule="exact"/>
        <w:ind w:firstLine="560" w:firstLineChars="200"/>
      </w:pPr>
      <w:r>
        <w:rPr>
          <w:rFonts w:hint="eastAsia"/>
        </w:rPr>
        <w:t>财务监督管理制度主要从收入支出范围及标准、专用基金提取使用、资产管理措施落实、往来款项发生清算以及财务报告真实性、准确性、完整性等方面制定相关管理制度，规范本单位经济活动。</w:t>
      </w:r>
    </w:p>
    <w:p>
      <w:pPr>
        <w:widowControl w:val="0"/>
        <w:spacing w:line="560" w:lineRule="exact"/>
        <w:ind w:firstLine="560" w:firstLineChars="200"/>
      </w:pPr>
      <w:r>
        <w:rPr>
          <w:rFonts w:hint="eastAsia"/>
          <w:bCs/>
        </w:rPr>
        <w:t>满分2分，</w:t>
      </w:r>
      <w:r>
        <w:rPr>
          <w:rFonts w:hint="eastAsia"/>
          <w:kern w:val="0"/>
        </w:rPr>
        <w:t>根据绩效评价指标，本指标</w:t>
      </w:r>
      <w:r>
        <w:rPr>
          <w:rFonts w:hint="eastAsia"/>
          <w:bCs/>
        </w:rPr>
        <w:t>得分2分</w:t>
      </w:r>
      <w:r>
        <w:rPr>
          <w:rFonts w:hint="eastAsia"/>
          <w:kern w:val="0"/>
        </w:rPr>
        <w:t>，得分率100%</w:t>
      </w:r>
      <w:r>
        <w:rPr>
          <w:rFonts w:hint="eastAsia"/>
          <w:bCs/>
        </w:rPr>
        <w:t>。</w:t>
      </w:r>
    </w:p>
    <w:p>
      <w:pPr>
        <w:widowControl w:val="0"/>
        <w:spacing w:line="560" w:lineRule="exact"/>
        <w:ind w:firstLine="562" w:firstLineChars="200"/>
        <w:outlineLvl w:val="3"/>
        <w:rPr>
          <w:b/>
        </w:rPr>
      </w:pPr>
      <w:r>
        <w:rPr>
          <w:rFonts w:hint="eastAsia"/>
          <w:b/>
        </w:rPr>
        <w:t>B2-2财务管理有效性</w:t>
      </w:r>
    </w:p>
    <w:bookmarkEnd w:id="289"/>
    <w:bookmarkEnd w:id="290"/>
    <w:p>
      <w:pPr>
        <w:pStyle w:val="7"/>
        <w:widowControl w:val="0"/>
        <w:spacing w:line="560" w:lineRule="exact"/>
        <w:ind w:firstLine="560" w:firstLineChars="200"/>
        <w:rPr>
          <w:rFonts w:ascii="仿宋" w:eastAsia="仿宋"/>
          <w:sz w:val="28"/>
          <w:highlight w:val="yellow"/>
        </w:rPr>
      </w:pPr>
      <w:r>
        <w:rPr>
          <w:rFonts w:hint="eastAsia" w:ascii="仿宋" w:eastAsia="仿宋"/>
          <w:sz w:val="28"/>
        </w:rPr>
        <w:t>经核实运</w:t>
      </w:r>
      <w:r>
        <w:rPr>
          <w:rFonts w:hint="eastAsia" w:ascii="仿宋" w:eastAsia="仿宋"/>
          <w:kern w:val="0"/>
          <w:sz w:val="28"/>
        </w:rPr>
        <w:t>城市人力资源和社会保障局</w:t>
      </w:r>
      <w:r>
        <w:rPr>
          <w:rFonts w:hint="eastAsia" w:ascii="仿宋" w:eastAsia="仿宋"/>
          <w:sz w:val="28"/>
        </w:rPr>
        <w:t>财务报表、总账、明细账、记账凭证、原始单据等资料，</w:t>
      </w:r>
      <w:r>
        <w:rPr>
          <w:rFonts w:hint="eastAsia" w:ascii="仿宋" w:eastAsia="仿宋"/>
          <w:kern w:val="0"/>
          <w:sz w:val="28"/>
        </w:rPr>
        <w:t>单位资金使用符合部门预算批复的用途，未发现截留、挤占、挪用、虚列支出等情况，资金使用较为合规。</w:t>
      </w:r>
    </w:p>
    <w:p>
      <w:pPr>
        <w:widowControl w:val="0"/>
        <w:spacing w:line="560" w:lineRule="exact"/>
        <w:ind w:firstLine="560" w:firstLineChars="200"/>
      </w:pPr>
      <w:r>
        <w:rPr>
          <w:rFonts w:hint="eastAsia"/>
          <w:bCs/>
        </w:rPr>
        <w:t>满分</w:t>
      </w:r>
      <w:r>
        <w:rPr>
          <w:rFonts w:hint="eastAsia"/>
          <w:bCs/>
          <w:lang w:val="en-US" w:eastAsia="zh-CN"/>
        </w:rPr>
        <w:t>3</w:t>
      </w:r>
      <w:r>
        <w:rPr>
          <w:rFonts w:hint="eastAsia"/>
          <w:bCs/>
        </w:rPr>
        <w:t>分，</w:t>
      </w:r>
      <w:r>
        <w:rPr>
          <w:rFonts w:hint="eastAsia"/>
          <w:kern w:val="0"/>
        </w:rPr>
        <w:t>根据绩效评价指标，本指标</w:t>
      </w:r>
      <w:r>
        <w:rPr>
          <w:rFonts w:hint="eastAsia"/>
          <w:bCs/>
        </w:rPr>
        <w:t>得分</w:t>
      </w:r>
      <w:r>
        <w:rPr>
          <w:rFonts w:hint="eastAsia"/>
          <w:bCs/>
          <w:lang w:val="en-US" w:eastAsia="zh-CN"/>
        </w:rPr>
        <w:t>3</w:t>
      </w:r>
      <w:r>
        <w:rPr>
          <w:rFonts w:hint="eastAsia"/>
          <w:bCs/>
        </w:rPr>
        <w:t>分</w:t>
      </w:r>
      <w:r>
        <w:rPr>
          <w:rFonts w:hint="eastAsia"/>
          <w:kern w:val="0"/>
        </w:rPr>
        <w:t>，得分率100%</w:t>
      </w:r>
      <w:r>
        <w:rPr>
          <w:rFonts w:hint="eastAsia"/>
          <w:bCs/>
        </w:rPr>
        <w:t>。</w:t>
      </w:r>
    </w:p>
    <w:p>
      <w:pPr>
        <w:widowControl w:val="0"/>
        <w:spacing w:line="560" w:lineRule="exact"/>
        <w:ind w:firstLine="562" w:firstLineChars="200"/>
        <w:outlineLvl w:val="3"/>
        <w:rPr>
          <w:b/>
          <w:bCs/>
          <w:kern w:val="0"/>
        </w:rPr>
      </w:pPr>
      <w:r>
        <w:rPr>
          <w:rFonts w:hint="eastAsia"/>
          <w:b/>
          <w:bCs/>
          <w:kern w:val="0"/>
        </w:rPr>
        <w:t>B3-1资产管理规范性</w:t>
      </w:r>
    </w:p>
    <w:p>
      <w:pPr>
        <w:pStyle w:val="7"/>
        <w:autoSpaceDE w:val="0"/>
        <w:spacing w:line="580" w:lineRule="exact"/>
        <w:ind w:firstLine="560" w:firstLineChars="200"/>
        <w:jc w:val="left"/>
        <w:rPr>
          <w:rFonts w:ascii="仿宋" w:eastAsia="仿宋"/>
          <w:sz w:val="28"/>
        </w:rPr>
      </w:pPr>
      <w:r>
        <w:rPr>
          <w:rFonts w:hint="eastAsia" w:ascii="仿宋" w:eastAsia="仿宋"/>
          <w:sz w:val="28"/>
        </w:rPr>
        <w:t>项目单位根据本部门特点制定了完整、规范的资产管理制度，包括货币资金管理制度、实物资产管理制度。实物资产管理制度包括资产配置、使用、处置、评估、产权界定、产权纠纷调处、产权登记、资产清查、资产统计报告方面，实现对实物资产全过程监督管理。</w:t>
      </w:r>
    </w:p>
    <w:p>
      <w:pPr>
        <w:pStyle w:val="7"/>
        <w:autoSpaceDE w:val="0"/>
        <w:spacing w:line="560" w:lineRule="exact"/>
        <w:ind w:firstLine="560" w:firstLineChars="200"/>
        <w:rPr>
          <w:rFonts w:ascii="仿宋" w:eastAsia="仿宋"/>
          <w:sz w:val="28"/>
        </w:rPr>
      </w:pPr>
      <w:r>
        <w:rPr>
          <w:rFonts w:hint="eastAsia" w:ascii="仿宋" w:eastAsia="仿宋"/>
          <w:sz w:val="28"/>
        </w:rPr>
        <w:t>通过查看运城市人力资源和社会保障局资产账簿、资产卡片台账等资料以及对固定资产进行实地抽查盘点，发现存在以下问题：</w:t>
      </w:r>
    </w:p>
    <w:p>
      <w:pPr>
        <w:adjustRightInd w:val="0"/>
        <w:snapToGrid w:val="0"/>
        <w:spacing w:line="560" w:lineRule="exact"/>
        <w:ind w:firstLine="560" w:firstLineChars="200"/>
      </w:pPr>
      <w:r>
        <w:rPr>
          <w:rFonts w:hint="eastAsia"/>
          <w:kern w:val="0"/>
        </w:rPr>
        <w:t>①在制度执行过程中，该单位未按制度规定对固定资产每年清查一次，2021年年末也未对实物资产进行盘点，资产盘点制度执行不到位；固定资产实物上未粘贴《固定资产卡片》。</w:t>
      </w:r>
    </w:p>
    <w:p>
      <w:pPr>
        <w:pStyle w:val="7"/>
        <w:autoSpaceDE w:val="0"/>
        <w:spacing w:line="560" w:lineRule="exact"/>
        <w:ind w:firstLine="560" w:firstLineChars="200"/>
        <w:rPr>
          <w:rFonts w:ascii="仿宋" w:eastAsia="仿宋"/>
          <w:kern w:val="0"/>
          <w:sz w:val="28"/>
          <w:highlight w:val="yellow"/>
        </w:rPr>
      </w:pPr>
      <w:r>
        <w:rPr>
          <w:rFonts w:hint="eastAsia" w:ascii="仿宋" w:eastAsia="仿宋"/>
          <w:kern w:val="0"/>
          <w:sz w:val="28"/>
        </w:rPr>
        <w:t>②</w:t>
      </w:r>
      <w:r>
        <w:rPr>
          <w:rFonts w:hint="eastAsia" w:ascii="仿宋" w:eastAsia="仿宋"/>
          <w:sz w:val="28"/>
        </w:rPr>
        <w:t>该单位未严格执行资产管理制度，</w:t>
      </w:r>
      <w:r>
        <w:rPr>
          <w:rFonts w:hint="eastAsia" w:ascii="仿宋" w:eastAsia="仿宋"/>
          <w:kern w:val="0"/>
          <w:sz w:val="28"/>
        </w:rPr>
        <w:t>部分资产卡片信息不完整，部分未录入资产使用部门、使用人和存放地点；</w:t>
      </w:r>
    </w:p>
    <w:p>
      <w:pPr>
        <w:widowControl w:val="0"/>
        <w:spacing w:line="560" w:lineRule="exact"/>
        <w:ind w:firstLine="560" w:firstLineChars="200"/>
      </w:pPr>
      <w:r>
        <w:rPr>
          <w:rFonts w:hint="eastAsia"/>
          <w:bCs/>
        </w:rPr>
        <w:t>满分4分，</w:t>
      </w:r>
      <w:r>
        <w:rPr>
          <w:rFonts w:hint="eastAsia"/>
          <w:kern w:val="0"/>
        </w:rPr>
        <w:t>根据绩效评价指标，本指标</w:t>
      </w:r>
      <w:r>
        <w:rPr>
          <w:rFonts w:hint="eastAsia"/>
          <w:bCs/>
        </w:rPr>
        <w:t>得分3分</w:t>
      </w:r>
      <w:r>
        <w:rPr>
          <w:rFonts w:hint="eastAsia"/>
          <w:kern w:val="0"/>
        </w:rPr>
        <w:t>，得分率75%</w:t>
      </w:r>
      <w:r>
        <w:rPr>
          <w:rFonts w:hint="eastAsia"/>
          <w:bCs/>
        </w:rPr>
        <w:t>。</w:t>
      </w:r>
    </w:p>
    <w:p>
      <w:pPr>
        <w:widowControl w:val="0"/>
        <w:spacing w:line="560" w:lineRule="exact"/>
        <w:ind w:firstLine="562" w:firstLineChars="200"/>
        <w:outlineLvl w:val="3"/>
        <w:rPr>
          <w:b/>
          <w:bCs/>
          <w:kern w:val="0"/>
        </w:rPr>
      </w:pPr>
      <w:r>
        <w:rPr>
          <w:rFonts w:hint="eastAsia"/>
          <w:b/>
          <w:bCs/>
          <w:kern w:val="0"/>
        </w:rPr>
        <w:t>B3-2固定资产利用率</w:t>
      </w:r>
    </w:p>
    <w:p>
      <w:pPr>
        <w:pStyle w:val="7"/>
        <w:spacing w:line="560" w:lineRule="exact"/>
        <w:ind w:firstLine="560" w:firstLineChars="200"/>
        <w:rPr>
          <w:rFonts w:ascii="仿宋" w:eastAsia="仿宋"/>
          <w:sz w:val="28"/>
        </w:rPr>
      </w:pPr>
      <w:r>
        <w:rPr>
          <w:rFonts w:hint="eastAsia" w:ascii="仿宋" w:eastAsia="仿宋"/>
          <w:sz w:val="28"/>
        </w:rPr>
        <w:t>经评价组核实，</w:t>
      </w:r>
      <w:r>
        <w:rPr>
          <w:rFonts w:hint="eastAsia" w:ascii="仿宋" w:eastAsia="仿宋"/>
          <w:kern w:val="0"/>
          <w:sz w:val="28"/>
        </w:rPr>
        <w:t>截止</w:t>
      </w:r>
      <w:r>
        <w:rPr>
          <w:rFonts w:hint="eastAsia" w:ascii="仿宋" w:eastAsia="仿宋"/>
          <w:sz w:val="28"/>
        </w:rPr>
        <w:t>2021年12月31日运城市人力资源和社会保障局资产共1287项，资产原值共计795.43万元</w:t>
      </w:r>
      <w:r>
        <w:rPr>
          <w:rFonts w:hint="eastAsia" w:ascii="仿宋" w:eastAsia="仿宋"/>
          <w:kern w:val="0"/>
          <w:sz w:val="28"/>
        </w:rPr>
        <w:t>（固定资产1282项原值604.90万元，无形资产5项原值190.53万元）</w:t>
      </w:r>
      <w:r>
        <w:rPr>
          <w:rFonts w:hint="eastAsia" w:ascii="仿宋" w:eastAsia="仿宋"/>
          <w:sz w:val="28"/>
        </w:rPr>
        <w:t>。</w:t>
      </w:r>
      <w:r>
        <w:rPr>
          <w:rFonts w:hint="eastAsia" w:ascii="仿宋" w:eastAsia="仿宋"/>
          <w:kern w:val="0"/>
          <w:sz w:val="28"/>
        </w:rPr>
        <w:t>实际在用资产总额</w:t>
      </w:r>
      <w:r>
        <w:rPr>
          <w:rFonts w:hint="eastAsia" w:ascii="仿宋" w:eastAsia="仿宋"/>
          <w:sz w:val="28"/>
        </w:rPr>
        <w:t>795.43</w:t>
      </w:r>
      <w:r>
        <w:rPr>
          <w:rFonts w:hint="eastAsia" w:ascii="仿宋" w:eastAsia="仿宋"/>
          <w:kern w:val="0"/>
          <w:sz w:val="28"/>
        </w:rPr>
        <w:t>万元，</w:t>
      </w:r>
      <w:r>
        <w:rPr>
          <w:rFonts w:hint="eastAsia" w:ascii="仿宋" w:eastAsia="仿宋"/>
          <w:sz w:val="28"/>
        </w:rPr>
        <w:t>固定资产利用率为100%。</w:t>
      </w:r>
    </w:p>
    <w:p>
      <w:pPr>
        <w:widowControl w:val="0"/>
        <w:spacing w:line="560" w:lineRule="exact"/>
        <w:ind w:firstLine="560" w:firstLineChars="200"/>
        <w:rPr>
          <w:b/>
          <w:bCs/>
          <w:kern w:val="0"/>
        </w:rPr>
      </w:pPr>
      <w:r>
        <w:rPr>
          <w:rFonts w:hint="eastAsia"/>
          <w:bCs/>
        </w:rPr>
        <w:t>满分</w:t>
      </w:r>
      <w:r>
        <w:rPr>
          <w:rFonts w:hint="eastAsia"/>
          <w:bCs/>
          <w:lang w:val="en-US" w:eastAsia="zh-CN"/>
        </w:rPr>
        <w:t>1</w:t>
      </w:r>
      <w:r>
        <w:rPr>
          <w:rFonts w:hint="eastAsia"/>
          <w:bCs/>
        </w:rPr>
        <w:t>分，</w:t>
      </w:r>
      <w:r>
        <w:rPr>
          <w:rFonts w:hint="eastAsia"/>
          <w:kern w:val="0"/>
        </w:rPr>
        <w:t>根据绩效评价指标，本指标</w:t>
      </w:r>
      <w:r>
        <w:rPr>
          <w:rFonts w:hint="eastAsia"/>
          <w:bCs/>
        </w:rPr>
        <w:t>得分</w:t>
      </w:r>
      <w:r>
        <w:rPr>
          <w:rFonts w:hint="eastAsia"/>
          <w:bCs/>
          <w:lang w:val="en-US" w:eastAsia="zh-CN"/>
        </w:rPr>
        <w:t>1</w:t>
      </w:r>
      <w:r>
        <w:rPr>
          <w:rFonts w:hint="eastAsia"/>
          <w:bCs/>
        </w:rPr>
        <w:t>分</w:t>
      </w:r>
      <w:r>
        <w:rPr>
          <w:rFonts w:hint="eastAsia"/>
          <w:kern w:val="0"/>
        </w:rPr>
        <w:t>，得分率100%</w:t>
      </w:r>
      <w:r>
        <w:rPr>
          <w:rFonts w:hint="eastAsia"/>
          <w:bCs/>
        </w:rPr>
        <w:t>。</w:t>
      </w:r>
    </w:p>
    <w:p>
      <w:pPr>
        <w:widowControl w:val="0"/>
        <w:spacing w:line="560" w:lineRule="exact"/>
        <w:ind w:firstLine="562" w:firstLineChars="200"/>
        <w:outlineLvl w:val="3"/>
        <w:rPr>
          <w:b/>
          <w:bCs/>
          <w:kern w:val="0"/>
        </w:rPr>
      </w:pPr>
      <w:r>
        <w:rPr>
          <w:rFonts w:hint="eastAsia"/>
          <w:b/>
          <w:bCs/>
          <w:kern w:val="0"/>
        </w:rPr>
        <w:t>B4-1政府采购管理</w:t>
      </w:r>
    </w:p>
    <w:p>
      <w:pPr>
        <w:pStyle w:val="7"/>
        <w:autoSpaceDE w:val="0"/>
        <w:spacing w:line="560" w:lineRule="exact"/>
        <w:ind w:firstLine="560" w:firstLineChars="200"/>
        <w:rPr>
          <w:rFonts w:ascii="仿宋" w:eastAsia="仿宋"/>
          <w:sz w:val="28"/>
        </w:rPr>
      </w:pPr>
      <w:r>
        <w:rPr>
          <w:rFonts w:hint="eastAsia" w:ascii="仿宋" w:eastAsia="仿宋"/>
          <w:kern w:val="0"/>
          <w:sz w:val="28"/>
        </w:rPr>
        <w:t>经核实，运城市人力资源和社会保障局政府采购执行率为</w:t>
      </w:r>
      <w:r>
        <w:rPr>
          <w:rFonts w:hint="eastAsia" w:ascii="仿宋" w:eastAsia="仿宋"/>
          <w:sz w:val="28"/>
        </w:rPr>
        <w:t>87.26%</w:t>
      </w:r>
      <w:r>
        <w:rPr>
          <w:rFonts w:hint="eastAsia" w:ascii="仿宋" w:eastAsia="仿宋"/>
          <w:kern w:val="0"/>
          <w:sz w:val="28"/>
        </w:rPr>
        <w:t>，具体为：</w:t>
      </w:r>
      <w:r>
        <w:rPr>
          <w:rFonts w:hint="eastAsia" w:ascii="仿宋" w:eastAsia="仿宋"/>
          <w:sz w:val="28"/>
        </w:rPr>
        <w:t xml:space="preserve"> </w:t>
      </w:r>
    </w:p>
    <w:p>
      <w:pPr>
        <w:pStyle w:val="7"/>
        <w:spacing w:line="560" w:lineRule="exact"/>
        <w:ind w:firstLine="560" w:firstLineChars="200"/>
        <w:rPr>
          <w:rFonts w:ascii="仿宋" w:eastAsia="仿宋"/>
          <w:sz w:val="28"/>
        </w:rPr>
      </w:pPr>
      <w:r>
        <w:rPr>
          <w:rFonts w:hint="eastAsia" w:ascii="仿宋" w:eastAsia="仿宋"/>
          <w:sz w:val="28"/>
        </w:rPr>
        <w:t>2021年度运城市人力资源和社会保障局政府采购预算总额55.58万元，其中，政府采购货物预算23.08万元；政府采购工程预算23万元；政府采购服务预算9.5万元。</w:t>
      </w:r>
    </w:p>
    <w:p>
      <w:pPr>
        <w:pStyle w:val="7"/>
        <w:spacing w:line="560" w:lineRule="exact"/>
        <w:ind w:firstLine="560" w:firstLineChars="200"/>
        <w:rPr>
          <w:rFonts w:ascii="仿宋" w:eastAsia="仿宋"/>
          <w:sz w:val="28"/>
          <w:highlight w:val="yellow"/>
        </w:rPr>
      </w:pPr>
      <w:r>
        <w:rPr>
          <w:rFonts w:hint="eastAsia" w:ascii="仿宋" w:eastAsia="仿宋"/>
          <w:sz w:val="28"/>
        </w:rPr>
        <w:t>2021年度实际执行采购支出总额48.50万元，其中：政府采购货物支出27.90万元、政府采购工程支出17.81万元、政府采购服务支出2.79万元。</w:t>
      </w:r>
    </w:p>
    <w:p>
      <w:pPr>
        <w:widowControl w:val="0"/>
        <w:spacing w:line="560" w:lineRule="exact"/>
        <w:ind w:left="560" w:leftChars="200"/>
        <w:outlineLvl w:val="3"/>
        <w:rPr>
          <w:bCs/>
        </w:rPr>
      </w:pPr>
      <w:r>
        <w:rPr>
          <w:rFonts w:hint="eastAsia"/>
          <w:bCs/>
        </w:rPr>
        <w:t>满分1分，</w:t>
      </w:r>
      <w:r>
        <w:rPr>
          <w:rFonts w:hint="eastAsia"/>
          <w:kern w:val="0"/>
        </w:rPr>
        <w:t>根据绩效评价指标，本指标</w:t>
      </w:r>
      <w:r>
        <w:rPr>
          <w:rFonts w:hint="eastAsia"/>
          <w:bCs/>
        </w:rPr>
        <w:t>得分1分</w:t>
      </w:r>
      <w:r>
        <w:rPr>
          <w:rFonts w:hint="eastAsia"/>
          <w:kern w:val="0"/>
        </w:rPr>
        <w:t>，得分率100%</w:t>
      </w:r>
      <w:r>
        <w:rPr>
          <w:rFonts w:hint="eastAsia"/>
          <w:bCs/>
        </w:rPr>
        <w:t>。</w:t>
      </w:r>
    </w:p>
    <w:p>
      <w:pPr>
        <w:widowControl w:val="0"/>
        <w:spacing w:line="560" w:lineRule="exact"/>
        <w:ind w:left="560" w:leftChars="200"/>
        <w:outlineLvl w:val="3"/>
        <w:rPr>
          <w:b/>
          <w:bCs/>
          <w:kern w:val="0"/>
        </w:rPr>
      </w:pPr>
      <w:r>
        <w:rPr>
          <w:rFonts w:hint="eastAsia"/>
          <w:b/>
          <w:bCs/>
          <w:kern w:val="0"/>
        </w:rPr>
        <w:t>B4-2预决算信息公开</w:t>
      </w:r>
    </w:p>
    <w:p>
      <w:pPr>
        <w:pStyle w:val="7"/>
        <w:widowControl w:val="0"/>
        <w:spacing w:line="560" w:lineRule="exact"/>
        <w:ind w:firstLine="560" w:firstLineChars="200"/>
        <w:rPr>
          <w:rFonts w:ascii="仿宋" w:eastAsia="仿宋"/>
          <w:kern w:val="0"/>
          <w:sz w:val="28"/>
        </w:rPr>
      </w:pPr>
      <w:r>
        <w:rPr>
          <w:rFonts w:hint="eastAsia" w:ascii="仿宋" w:eastAsia="仿宋"/>
          <w:kern w:val="0"/>
          <w:sz w:val="28"/>
        </w:rPr>
        <w:t>预算信息公开：2021年3月3日，运城市财政局批复了运城市人力资源和社会保障局2021年度部门预算，依据《财政部关于印发〈地方预决算公开操作规程〉的通知》及运城市财政局的相关要求，运城市人力资源和社会保障局应于预算批复日起20日内公开部门预算。经核实，运城市人力资源和社会保障局于2021年3月15日在运城市人民政府网站上公开其部门预算，包括：部门主要职责、部门预算单位机构设置情况、部门预算收支情况说明（2021年预算收入、支出比2020年增减情况、“三公经费”预算、机关运行经费情况、政府采购预算情况）等，符合相关要求。</w:t>
      </w:r>
    </w:p>
    <w:p>
      <w:pPr>
        <w:pStyle w:val="7"/>
        <w:widowControl w:val="0"/>
        <w:spacing w:line="560" w:lineRule="exact"/>
        <w:ind w:firstLine="560" w:firstLineChars="200"/>
        <w:rPr>
          <w:rFonts w:ascii="仿宋" w:eastAsia="仿宋"/>
          <w:kern w:val="0"/>
          <w:sz w:val="28"/>
        </w:rPr>
      </w:pPr>
      <w:r>
        <w:rPr>
          <w:rFonts w:hint="eastAsia" w:ascii="仿宋" w:eastAsia="仿宋"/>
          <w:kern w:val="0"/>
          <w:sz w:val="28"/>
        </w:rPr>
        <w:t>决算信息公开：由于监管部门未对各单位2021年度决算进行批复，故导致运城市人力资源和社会保障局2021年度部门决算信息未在运城市人民政府网站上公开</w:t>
      </w:r>
      <w:r>
        <w:rPr>
          <w:rStyle w:val="25"/>
          <w:rFonts w:hint="eastAsia" w:ascii="仿宋" w:eastAsia="仿宋"/>
        </w:rPr>
        <w:t>。</w:t>
      </w:r>
    </w:p>
    <w:p>
      <w:pPr>
        <w:widowControl w:val="0"/>
        <w:spacing w:line="560" w:lineRule="exact"/>
        <w:ind w:firstLine="560" w:firstLineChars="200"/>
        <w:rPr>
          <w:kern w:val="0"/>
        </w:rPr>
      </w:pPr>
      <w:r>
        <w:rPr>
          <w:rFonts w:hint="eastAsia"/>
          <w:bCs/>
        </w:rPr>
        <w:t>满分1分，</w:t>
      </w:r>
      <w:r>
        <w:rPr>
          <w:rFonts w:hint="eastAsia"/>
          <w:kern w:val="0"/>
        </w:rPr>
        <w:t>根据绩效评价指标，本指标</w:t>
      </w:r>
      <w:r>
        <w:rPr>
          <w:rFonts w:hint="eastAsia"/>
          <w:bCs/>
        </w:rPr>
        <w:t>得分1分</w:t>
      </w:r>
      <w:r>
        <w:rPr>
          <w:rFonts w:hint="eastAsia"/>
          <w:kern w:val="0"/>
        </w:rPr>
        <w:t>，得分率100%</w:t>
      </w:r>
      <w:r>
        <w:rPr>
          <w:rFonts w:hint="eastAsia"/>
          <w:bCs/>
        </w:rPr>
        <w:t>。</w:t>
      </w:r>
    </w:p>
    <w:p>
      <w:pPr>
        <w:spacing w:line="560" w:lineRule="exact"/>
        <w:ind w:firstLine="560" w:firstLineChars="200"/>
      </w:pPr>
      <w:bookmarkStart w:id="291" w:name="_Toc2463"/>
      <w:bookmarkStart w:id="292" w:name="_Toc21035"/>
      <w:bookmarkStart w:id="293" w:name="_Toc20089"/>
      <w:bookmarkStart w:id="294" w:name="_Toc13762_WPSOffice_Level2"/>
      <w:bookmarkStart w:id="295" w:name="_Toc2283"/>
      <w:bookmarkStart w:id="296" w:name="_Toc11120"/>
      <w:bookmarkStart w:id="297" w:name="_Toc32382"/>
      <w:r>
        <w:rPr>
          <w:rFonts w:hint="eastAsia"/>
        </w:rPr>
        <w:t>3、社会效应分析</w:t>
      </w:r>
      <w:bookmarkEnd w:id="291"/>
      <w:bookmarkEnd w:id="292"/>
    </w:p>
    <w:p>
      <w:pPr>
        <w:widowControl w:val="0"/>
        <w:spacing w:line="560" w:lineRule="exact"/>
        <w:ind w:firstLine="560" w:firstLineChars="200"/>
      </w:pPr>
      <w:r>
        <w:rPr>
          <w:rFonts w:hint="eastAsia"/>
        </w:rPr>
        <w:t>社会效应分别从经济社会影响、社会满意两个方面进行分析，共设置2个二级指标6个三级指标。社会效应指标分值20分，实际得分19.86分，得分率99.30%。各分项指标得分情况如下表4-3所示：</w:t>
      </w:r>
    </w:p>
    <w:p>
      <w:pPr>
        <w:widowControl w:val="0"/>
        <w:spacing w:after="76" w:afterLines="20" w:line="560" w:lineRule="exact"/>
        <w:jc w:val="center"/>
        <w:rPr>
          <w:b/>
        </w:rPr>
      </w:pPr>
      <w:r>
        <w:rPr>
          <w:rFonts w:hint="eastAsia"/>
          <w:b/>
        </w:rPr>
        <w:t>表4-3 社会效应指标得分情况</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3279"/>
        <w:gridCol w:w="1099"/>
        <w:gridCol w:w="912"/>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139"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二级指标</w:t>
            </w:r>
          </w:p>
        </w:tc>
        <w:tc>
          <w:tcPr>
            <w:tcW w:w="3279"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三级指标</w:t>
            </w:r>
          </w:p>
        </w:tc>
        <w:tc>
          <w:tcPr>
            <w:tcW w:w="1099"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分值</w:t>
            </w:r>
          </w:p>
        </w:tc>
        <w:tc>
          <w:tcPr>
            <w:tcW w:w="912"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得分</w:t>
            </w:r>
          </w:p>
        </w:tc>
        <w:tc>
          <w:tcPr>
            <w:tcW w:w="1093" w:type="dxa"/>
            <w:shd w:val="clear" w:color="000000" w:fill="FFFFFF"/>
            <w:vAlign w:val="center"/>
          </w:tcPr>
          <w:p>
            <w:pPr>
              <w:pStyle w:val="71"/>
              <w:spacing w:before="0" w:after="0" w:line="360" w:lineRule="auto"/>
              <w:rPr>
                <w:rFonts w:ascii="仿宋" w:hAnsi="仿宋" w:eastAsia="仿宋"/>
                <w:szCs w:val="24"/>
              </w:rPr>
            </w:pPr>
            <w:r>
              <w:rPr>
                <w:rFonts w:hint="eastAsia" w:ascii="仿宋" w:hAnsi="仿宋" w:eastAsia="仿宋"/>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restart"/>
            <w:vAlign w:val="center"/>
          </w:tcPr>
          <w:p>
            <w:pPr>
              <w:pStyle w:val="71"/>
              <w:spacing w:before="0" w:after="0" w:line="360" w:lineRule="auto"/>
              <w:rPr>
                <w:rFonts w:ascii="仿宋" w:hAnsi="仿宋" w:eastAsia="仿宋"/>
                <w:b w:val="0"/>
                <w:color w:val="000000"/>
                <w:szCs w:val="24"/>
              </w:rPr>
            </w:pPr>
            <w:r>
              <w:rPr>
                <w:rFonts w:hint="eastAsia" w:ascii="仿宋" w:hAnsi="仿宋" w:eastAsia="仿宋"/>
                <w:b w:val="0"/>
                <w:bCs/>
                <w:color w:val="000000"/>
                <w:szCs w:val="24"/>
              </w:rPr>
              <w:t>经济社会影响</w:t>
            </w: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C1-1提高群众就业水平</w:t>
            </w:r>
          </w:p>
        </w:tc>
        <w:tc>
          <w:tcPr>
            <w:tcW w:w="1099" w:type="dxa"/>
            <w:vAlign w:val="center"/>
          </w:tcPr>
          <w:p>
            <w:pPr>
              <w:jc w:val="center"/>
              <w:textAlignment w:val="center"/>
              <w:rPr>
                <w:color w:val="000000"/>
                <w:kern w:val="0"/>
                <w:sz w:val="24"/>
                <w:szCs w:val="24"/>
              </w:rPr>
            </w:pPr>
            <w:r>
              <w:rPr>
                <w:rFonts w:hint="eastAsia"/>
                <w:color w:val="000000"/>
                <w:kern w:val="0"/>
                <w:sz w:val="24"/>
                <w:szCs w:val="24"/>
              </w:rPr>
              <w:t>3</w:t>
            </w:r>
          </w:p>
        </w:tc>
        <w:tc>
          <w:tcPr>
            <w:tcW w:w="912" w:type="dxa"/>
            <w:vAlign w:val="center"/>
          </w:tcPr>
          <w:p>
            <w:pPr>
              <w:jc w:val="center"/>
              <w:textAlignment w:val="center"/>
              <w:rPr>
                <w:color w:val="000000"/>
                <w:kern w:val="0"/>
                <w:sz w:val="24"/>
                <w:szCs w:val="24"/>
              </w:rPr>
            </w:pPr>
            <w:r>
              <w:rPr>
                <w:rFonts w:hint="eastAsia"/>
                <w:color w:val="000000"/>
                <w:kern w:val="0"/>
                <w:sz w:val="24"/>
                <w:szCs w:val="24"/>
              </w:rPr>
              <w:t>3</w:t>
            </w:r>
          </w:p>
        </w:tc>
        <w:tc>
          <w:tcPr>
            <w:tcW w:w="1093" w:type="dxa"/>
            <w:vAlign w:val="center"/>
          </w:tcPr>
          <w:p>
            <w:pPr>
              <w:jc w:val="center"/>
              <w:textAlignment w:val="center"/>
              <w:rPr>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9" w:type="dxa"/>
            <w:vMerge w:val="continue"/>
          </w:tcPr>
          <w:p>
            <w:pPr>
              <w:pStyle w:val="71"/>
              <w:spacing w:before="0" w:after="0" w:line="360" w:lineRule="auto"/>
              <w:rPr>
                <w:rFonts w:ascii="仿宋" w:hAnsi="仿宋" w:eastAsia="仿宋"/>
                <w:b w:val="0"/>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C1-2推进人事人才建设</w:t>
            </w:r>
          </w:p>
        </w:tc>
        <w:tc>
          <w:tcPr>
            <w:tcW w:w="1099" w:type="dxa"/>
            <w:vAlign w:val="center"/>
          </w:tcPr>
          <w:p>
            <w:pPr>
              <w:jc w:val="center"/>
              <w:textAlignment w:val="center"/>
              <w:rPr>
                <w:color w:val="000000"/>
                <w:kern w:val="0"/>
                <w:sz w:val="24"/>
                <w:szCs w:val="24"/>
              </w:rPr>
            </w:pPr>
            <w:r>
              <w:rPr>
                <w:rFonts w:hint="eastAsia"/>
                <w:color w:val="000000"/>
                <w:kern w:val="0"/>
                <w:sz w:val="24"/>
                <w:szCs w:val="24"/>
              </w:rPr>
              <w:t>3</w:t>
            </w:r>
          </w:p>
        </w:tc>
        <w:tc>
          <w:tcPr>
            <w:tcW w:w="912" w:type="dxa"/>
            <w:vAlign w:val="center"/>
          </w:tcPr>
          <w:p>
            <w:pPr>
              <w:jc w:val="center"/>
              <w:textAlignment w:val="center"/>
              <w:rPr>
                <w:color w:val="000000"/>
                <w:kern w:val="0"/>
                <w:sz w:val="24"/>
                <w:szCs w:val="24"/>
              </w:rPr>
            </w:pPr>
            <w:r>
              <w:rPr>
                <w:rFonts w:hint="eastAsia"/>
                <w:color w:val="000000"/>
                <w:kern w:val="0"/>
                <w:sz w:val="24"/>
                <w:szCs w:val="24"/>
              </w:rPr>
              <w:t>3</w:t>
            </w:r>
          </w:p>
        </w:tc>
        <w:tc>
          <w:tcPr>
            <w:tcW w:w="1093" w:type="dxa"/>
            <w:vAlign w:val="center"/>
          </w:tcPr>
          <w:p>
            <w:pPr>
              <w:jc w:val="center"/>
              <w:textAlignment w:val="center"/>
              <w:rPr>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9" w:type="dxa"/>
            <w:vMerge w:val="continue"/>
          </w:tcPr>
          <w:p>
            <w:pPr>
              <w:pStyle w:val="71"/>
              <w:spacing w:before="0" w:after="0" w:line="360" w:lineRule="auto"/>
              <w:rPr>
                <w:rFonts w:ascii="仿宋" w:hAnsi="仿宋" w:eastAsia="仿宋"/>
                <w:b w:val="0"/>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C1-3提高社会保障水平</w:t>
            </w:r>
          </w:p>
        </w:tc>
        <w:tc>
          <w:tcPr>
            <w:tcW w:w="1099" w:type="dxa"/>
            <w:vAlign w:val="center"/>
          </w:tcPr>
          <w:p>
            <w:pPr>
              <w:jc w:val="center"/>
              <w:textAlignment w:val="center"/>
              <w:rPr>
                <w:color w:val="000000"/>
                <w:kern w:val="0"/>
                <w:sz w:val="24"/>
                <w:szCs w:val="24"/>
              </w:rPr>
            </w:pPr>
            <w:r>
              <w:rPr>
                <w:rFonts w:hint="eastAsia"/>
                <w:color w:val="000000"/>
                <w:kern w:val="0"/>
                <w:sz w:val="24"/>
                <w:szCs w:val="24"/>
              </w:rPr>
              <w:t>3</w:t>
            </w:r>
          </w:p>
        </w:tc>
        <w:tc>
          <w:tcPr>
            <w:tcW w:w="912" w:type="dxa"/>
            <w:vAlign w:val="center"/>
          </w:tcPr>
          <w:p>
            <w:pPr>
              <w:jc w:val="center"/>
              <w:textAlignment w:val="center"/>
              <w:rPr>
                <w:color w:val="000000"/>
                <w:kern w:val="0"/>
                <w:sz w:val="24"/>
                <w:szCs w:val="24"/>
              </w:rPr>
            </w:pPr>
            <w:r>
              <w:rPr>
                <w:rFonts w:hint="eastAsia"/>
                <w:color w:val="000000"/>
                <w:kern w:val="0"/>
                <w:sz w:val="24"/>
                <w:szCs w:val="24"/>
              </w:rPr>
              <w:t>3</w:t>
            </w:r>
          </w:p>
        </w:tc>
        <w:tc>
          <w:tcPr>
            <w:tcW w:w="1093" w:type="dxa"/>
            <w:vAlign w:val="center"/>
          </w:tcPr>
          <w:p>
            <w:pPr>
              <w:jc w:val="center"/>
              <w:textAlignment w:val="center"/>
              <w:rPr>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continue"/>
          </w:tcPr>
          <w:p>
            <w:pPr>
              <w:pStyle w:val="71"/>
              <w:spacing w:before="0" w:after="0" w:line="360" w:lineRule="auto"/>
              <w:rPr>
                <w:rFonts w:ascii="仿宋" w:hAnsi="仿宋" w:eastAsia="仿宋"/>
                <w:b w:val="0"/>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C1-4促进劳动关系和谐稳定</w:t>
            </w:r>
          </w:p>
        </w:tc>
        <w:tc>
          <w:tcPr>
            <w:tcW w:w="1099" w:type="dxa"/>
            <w:vAlign w:val="center"/>
          </w:tcPr>
          <w:p>
            <w:pPr>
              <w:jc w:val="center"/>
              <w:textAlignment w:val="center"/>
              <w:rPr>
                <w:color w:val="000000"/>
                <w:kern w:val="0"/>
                <w:sz w:val="24"/>
                <w:szCs w:val="24"/>
              </w:rPr>
            </w:pPr>
            <w:r>
              <w:rPr>
                <w:rFonts w:hint="eastAsia"/>
                <w:color w:val="000000"/>
                <w:kern w:val="0"/>
                <w:sz w:val="24"/>
                <w:szCs w:val="24"/>
              </w:rPr>
              <w:t>3</w:t>
            </w:r>
          </w:p>
        </w:tc>
        <w:tc>
          <w:tcPr>
            <w:tcW w:w="912" w:type="dxa"/>
            <w:vAlign w:val="center"/>
          </w:tcPr>
          <w:p>
            <w:pPr>
              <w:jc w:val="center"/>
              <w:textAlignment w:val="center"/>
              <w:rPr>
                <w:color w:val="000000"/>
                <w:kern w:val="0"/>
                <w:sz w:val="24"/>
                <w:szCs w:val="24"/>
              </w:rPr>
            </w:pPr>
            <w:r>
              <w:rPr>
                <w:rFonts w:hint="eastAsia"/>
                <w:color w:val="000000"/>
                <w:kern w:val="0"/>
                <w:sz w:val="24"/>
                <w:szCs w:val="24"/>
              </w:rPr>
              <w:t>3</w:t>
            </w:r>
          </w:p>
        </w:tc>
        <w:tc>
          <w:tcPr>
            <w:tcW w:w="1093" w:type="dxa"/>
            <w:vAlign w:val="center"/>
          </w:tcPr>
          <w:p>
            <w:pPr>
              <w:jc w:val="center"/>
              <w:textAlignment w:val="center"/>
              <w:rPr>
                <w:color w:val="000000"/>
                <w:kern w:val="0"/>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restart"/>
            <w:vAlign w:val="center"/>
          </w:tcPr>
          <w:p>
            <w:pPr>
              <w:pStyle w:val="71"/>
              <w:spacing w:before="0" w:after="0" w:line="360" w:lineRule="auto"/>
              <w:rPr>
                <w:rFonts w:ascii="仿宋" w:hAnsi="仿宋" w:eastAsia="仿宋"/>
                <w:b w:val="0"/>
                <w:color w:val="000000"/>
                <w:szCs w:val="24"/>
              </w:rPr>
            </w:pPr>
            <w:r>
              <w:rPr>
                <w:rFonts w:hint="eastAsia" w:ascii="仿宋" w:hAnsi="仿宋" w:eastAsia="仿宋"/>
                <w:b w:val="0"/>
                <w:bCs/>
                <w:color w:val="000000"/>
                <w:szCs w:val="24"/>
              </w:rPr>
              <w:t>社会满意</w:t>
            </w: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C2-1服务对象满意度</w:t>
            </w:r>
          </w:p>
        </w:tc>
        <w:tc>
          <w:tcPr>
            <w:tcW w:w="1099" w:type="dxa"/>
            <w:vAlign w:val="center"/>
          </w:tcPr>
          <w:p>
            <w:pPr>
              <w:jc w:val="center"/>
              <w:textAlignment w:val="center"/>
              <w:rPr>
                <w:color w:val="000000"/>
                <w:kern w:val="0"/>
                <w:sz w:val="24"/>
                <w:szCs w:val="24"/>
              </w:rPr>
            </w:pPr>
            <w:r>
              <w:rPr>
                <w:rFonts w:hint="eastAsia"/>
                <w:color w:val="000000"/>
                <w:kern w:val="0"/>
                <w:sz w:val="24"/>
                <w:szCs w:val="24"/>
              </w:rPr>
              <w:t>4</w:t>
            </w:r>
          </w:p>
        </w:tc>
        <w:tc>
          <w:tcPr>
            <w:tcW w:w="912" w:type="dxa"/>
            <w:vAlign w:val="center"/>
          </w:tcPr>
          <w:p>
            <w:pPr>
              <w:jc w:val="center"/>
              <w:textAlignment w:val="center"/>
              <w:rPr>
                <w:color w:val="000000"/>
                <w:kern w:val="0"/>
                <w:sz w:val="24"/>
                <w:szCs w:val="24"/>
              </w:rPr>
            </w:pPr>
            <w:r>
              <w:rPr>
                <w:rFonts w:hint="eastAsia"/>
                <w:color w:val="000000"/>
                <w:kern w:val="0"/>
                <w:sz w:val="24"/>
                <w:szCs w:val="24"/>
              </w:rPr>
              <w:t>3.91</w:t>
            </w:r>
          </w:p>
        </w:tc>
        <w:tc>
          <w:tcPr>
            <w:tcW w:w="1093" w:type="dxa"/>
            <w:vAlign w:val="center"/>
          </w:tcPr>
          <w:p>
            <w:pPr>
              <w:jc w:val="center"/>
              <w:textAlignment w:val="center"/>
              <w:rPr>
                <w:sz w:val="24"/>
                <w:szCs w:val="24"/>
              </w:rPr>
            </w:pPr>
            <w:r>
              <w:rPr>
                <w:rFonts w:hint="eastAsia"/>
                <w:sz w:val="24"/>
                <w:szCs w:val="24"/>
              </w:rPr>
              <w:t>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continue"/>
            <w:vAlign w:val="center"/>
          </w:tcPr>
          <w:p>
            <w:pPr>
              <w:pStyle w:val="71"/>
              <w:spacing w:before="0" w:after="0" w:line="360" w:lineRule="auto"/>
              <w:rPr>
                <w:rFonts w:ascii="仿宋" w:hAnsi="仿宋" w:eastAsia="仿宋"/>
                <w:b w:val="0"/>
                <w:bCs/>
                <w:color w:val="000000"/>
                <w:szCs w:val="24"/>
              </w:rPr>
            </w:pPr>
          </w:p>
        </w:tc>
        <w:tc>
          <w:tcPr>
            <w:tcW w:w="3279" w:type="dxa"/>
            <w:vAlign w:val="center"/>
          </w:tcPr>
          <w:p>
            <w:pPr>
              <w:pStyle w:val="71"/>
              <w:spacing w:before="0" w:after="0" w:line="360" w:lineRule="auto"/>
              <w:jc w:val="left"/>
              <w:rPr>
                <w:rFonts w:ascii="仿宋" w:hAnsi="仿宋" w:eastAsia="仿宋"/>
                <w:b w:val="0"/>
                <w:color w:val="000000"/>
                <w:szCs w:val="24"/>
              </w:rPr>
            </w:pPr>
            <w:r>
              <w:rPr>
                <w:rFonts w:hint="eastAsia" w:ascii="仿宋" w:hAnsi="仿宋" w:eastAsia="仿宋"/>
                <w:b w:val="0"/>
                <w:color w:val="000000"/>
                <w:szCs w:val="24"/>
              </w:rPr>
              <w:t>C2-2管理对象满意度</w:t>
            </w:r>
          </w:p>
        </w:tc>
        <w:tc>
          <w:tcPr>
            <w:tcW w:w="1099" w:type="dxa"/>
            <w:vAlign w:val="center"/>
          </w:tcPr>
          <w:p>
            <w:pPr>
              <w:jc w:val="center"/>
              <w:textAlignment w:val="center"/>
              <w:rPr>
                <w:color w:val="000000"/>
                <w:kern w:val="0"/>
                <w:sz w:val="24"/>
                <w:szCs w:val="24"/>
              </w:rPr>
            </w:pPr>
            <w:r>
              <w:rPr>
                <w:rFonts w:hint="eastAsia"/>
                <w:color w:val="000000"/>
                <w:kern w:val="0"/>
                <w:sz w:val="24"/>
                <w:szCs w:val="24"/>
              </w:rPr>
              <w:t>4</w:t>
            </w:r>
          </w:p>
        </w:tc>
        <w:tc>
          <w:tcPr>
            <w:tcW w:w="912" w:type="dxa"/>
            <w:vAlign w:val="center"/>
          </w:tcPr>
          <w:p>
            <w:pPr>
              <w:jc w:val="center"/>
              <w:textAlignment w:val="center"/>
              <w:rPr>
                <w:color w:val="000000"/>
                <w:kern w:val="0"/>
                <w:sz w:val="24"/>
                <w:szCs w:val="24"/>
              </w:rPr>
            </w:pPr>
            <w:r>
              <w:rPr>
                <w:rFonts w:hint="eastAsia"/>
                <w:color w:val="000000"/>
                <w:kern w:val="0"/>
                <w:sz w:val="24"/>
                <w:szCs w:val="24"/>
              </w:rPr>
              <w:t>3.95</w:t>
            </w:r>
          </w:p>
        </w:tc>
        <w:tc>
          <w:tcPr>
            <w:tcW w:w="1093" w:type="dxa"/>
            <w:vAlign w:val="center"/>
          </w:tcPr>
          <w:p>
            <w:pPr>
              <w:jc w:val="center"/>
              <w:textAlignment w:val="center"/>
              <w:rPr>
                <w:sz w:val="24"/>
                <w:szCs w:val="24"/>
              </w:rPr>
            </w:pPr>
            <w:r>
              <w:rPr>
                <w:rFonts w:hint="eastAsia"/>
                <w:sz w:val="24"/>
                <w:szCs w:val="24"/>
              </w:rPr>
              <w:t>98.75%</w:t>
            </w:r>
          </w:p>
        </w:tc>
      </w:tr>
      <w:bookmarkEnd w:id="293"/>
      <w:bookmarkEnd w:id="294"/>
      <w:bookmarkEnd w:id="295"/>
      <w:bookmarkEnd w:id="296"/>
      <w:bookmarkEnd w:id="297"/>
    </w:tbl>
    <w:p>
      <w:pPr>
        <w:pStyle w:val="7"/>
        <w:spacing w:line="560" w:lineRule="exact"/>
        <w:ind w:firstLine="562" w:firstLineChars="200"/>
        <w:outlineLvl w:val="3"/>
        <w:rPr>
          <w:rFonts w:ascii="仿宋" w:eastAsia="仿宋"/>
          <w:b/>
          <w:sz w:val="28"/>
        </w:rPr>
      </w:pPr>
      <w:r>
        <w:rPr>
          <w:rFonts w:hint="eastAsia" w:ascii="仿宋" w:eastAsia="仿宋"/>
          <w:b/>
          <w:sz w:val="28"/>
        </w:rPr>
        <w:t>C1-1</w:t>
      </w:r>
      <w:r>
        <w:rPr>
          <w:rFonts w:hint="eastAsia" w:ascii="仿宋" w:eastAsia="仿宋"/>
          <w:color w:val="000000"/>
          <w:szCs w:val="24"/>
        </w:rPr>
        <w:t>提高群众就业水平</w:t>
      </w:r>
    </w:p>
    <w:p>
      <w:pPr>
        <w:widowControl w:val="0"/>
        <w:spacing w:line="560" w:lineRule="exact"/>
        <w:ind w:firstLine="560" w:firstLineChars="200"/>
        <w:rPr>
          <w:bCs/>
        </w:rPr>
      </w:pPr>
      <w:r>
        <w:rPr>
          <w:rFonts w:hint="eastAsia"/>
          <w:bCs/>
        </w:rPr>
        <w:t>项目单位实施深化高校合作、推动基地建设、打造劳务品牌、推进就业帮扶行动等多项措施，在促进群众就业方面起到积极作用，具体为：</w:t>
      </w:r>
    </w:p>
    <w:p>
      <w:pPr>
        <w:widowControl w:val="0"/>
        <w:spacing w:line="560" w:lineRule="exact"/>
        <w:ind w:firstLine="560" w:firstLineChars="200"/>
        <w:rPr>
          <w:bCs/>
        </w:rPr>
      </w:pPr>
      <w:r>
        <w:rPr>
          <w:rFonts w:hint="eastAsia"/>
          <w:bCs/>
        </w:rPr>
        <w:t>（1）打造三个技能服务人才培养基地示范点和两个大学生就业创业基地示范点，分别是“永济好面”、“关乡家嫂”、“爱之桥月嫂”和理想创业基地、华曦广场创新创业基地，带动就业1000余人；成立了市校合作班，深入推动市校合作，与武汉大学、西安电子科技大学等50所高校签署合作协议；开展市直事业单位引进高素质青年专业人才工作，共选拔了139名高素质青年人才，引进硕士以上高校毕业生186人。</w:t>
      </w:r>
    </w:p>
    <w:p>
      <w:pPr>
        <w:widowControl w:val="0"/>
        <w:spacing w:line="560" w:lineRule="exact"/>
        <w:ind w:firstLine="560" w:firstLineChars="200"/>
        <w:rPr>
          <w:bCs/>
        </w:rPr>
      </w:pPr>
      <w:r>
        <w:rPr>
          <w:rFonts w:hint="eastAsia"/>
          <w:bCs/>
        </w:rPr>
        <w:t>（2）持续推进大学生就业创业“春雨行动”，为院校、企业牵线搭桥，服务大学生回运就业创业10024人，开展了119场现场招聘会，提供就业岗位75700个，开展了560场网络招聘会，提供岗位65105个，初步达成就业意向共25846人；截至目前，组织高校大学生创业培训12110人，为21个院校4798名毕业生发放求职创业补贴479.8万元。</w:t>
      </w:r>
    </w:p>
    <w:p>
      <w:pPr>
        <w:widowControl w:val="0"/>
        <w:spacing w:line="560" w:lineRule="exact"/>
        <w:ind w:firstLine="560" w:firstLineChars="200"/>
        <w:rPr>
          <w:bCs/>
        </w:rPr>
      </w:pPr>
      <w:r>
        <w:rPr>
          <w:rFonts w:hint="eastAsia"/>
          <w:bCs/>
        </w:rPr>
        <w:t>（3）落实就业帮扶政策，累计扶持22家符合条件的小微企业，享受一次性吸纳就业补助46.9万元；开展就业帮扶线上、线下专场招聘活动20余场次，帮助贫困户、已脱贫人口、因灾因疫影响的100余名援助对象实现就业，进一步巩固拓展脱贫攻坚成果；落实社保补贴工作，市直65名困难人员、1名残疾人、2家单位10人享受了社保补贴；确定239个重点社区（村），向4.3万重点帮扶对象提供职业介绍、职业培训、创业帮扶等公共就业服务。</w:t>
      </w:r>
    </w:p>
    <w:p>
      <w:pPr>
        <w:widowControl w:val="0"/>
        <w:spacing w:line="560" w:lineRule="exact"/>
        <w:ind w:firstLine="560" w:firstLineChars="200"/>
        <w:rPr>
          <w:bCs/>
        </w:rPr>
      </w:pPr>
      <w:r>
        <w:rPr>
          <w:rFonts w:hint="eastAsia"/>
          <w:bCs/>
        </w:rPr>
        <w:t>（4）2021年完成城镇新增就业6.21万人，农村劳动力转移就业16.65万人，城镇登记失业率1.72%，低于省定控制指标。</w:t>
      </w:r>
    </w:p>
    <w:p>
      <w:pPr>
        <w:widowControl w:val="0"/>
        <w:spacing w:line="560" w:lineRule="exact"/>
        <w:ind w:firstLine="560" w:firstLineChars="200"/>
      </w:pPr>
      <w:r>
        <w:rPr>
          <w:rFonts w:hint="eastAsia"/>
        </w:rPr>
        <w:t>满分3分，根据绩效评价指标</w:t>
      </w:r>
      <w:r>
        <w:rPr>
          <w:rFonts w:hint="eastAsia"/>
          <w:kern w:val="0"/>
        </w:rPr>
        <w:t>，本指标</w:t>
      </w:r>
      <w:r>
        <w:rPr>
          <w:rFonts w:hint="eastAsia"/>
          <w:bCs/>
        </w:rPr>
        <w:t>得分3分</w:t>
      </w:r>
      <w:r>
        <w:rPr>
          <w:rFonts w:hint="eastAsia"/>
          <w:kern w:val="0"/>
        </w:rPr>
        <w:t>，得分率100%</w:t>
      </w:r>
      <w:r>
        <w:rPr>
          <w:rFonts w:hint="eastAsia"/>
          <w:bCs/>
        </w:rPr>
        <w:t>。</w:t>
      </w:r>
    </w:p>
    <w:p>
      <w:pPr>
        <w:widowControl w:val="0"/>
        <w:spacing w:line="560" w:lineRule="exact"/>
        <w:ind w:firstLine="562" w:firstLineChars="200"/>
        <w:rPr>
          <w:b/>
          <w:bCs/>
        </w:rPr>
      </w:pPr>
      <w:r>
        <w:rPr>
          <w:rFonts w:hint="eastAsia"/>
          <w:b/>
          <w:bCs/>
        </w:rPr>
        <w:t>C1-2推进人事人才建设</w:t>
      </w:r>
    </w:p>
    <w:p>
      <w:pPr>
        <w:widowControl w:val="0"/>
        <w:spacing w:line="560" w:lineRule="exact"/>
        <w:ind w:firstLine="560" w:firstLineChars="200"/>
      </w:pPr>
      <w:r>
        <w:rPr>
          <w:rFonts w:hint="eastAsia"/>
        </w:rPr>
        <w:t>项目单位通过实施疫情防控、生态保护等工作，在推进运城市人事人才建设方面起到积极作用，具体为：</w:t>
      </w:r>
    </w:p>
    <w:p>
      <w:pPr>
        <w:widowControl w:val="0"/>
        <w:spacing w:line="560" w:lineRule="exact"/>
        <w:ind w:firstLine="560" w:firstLineChars="200"/>
      </w:pPr>
      <w:r>
        <w:rPr>
          <w:rFonts w:hint="eastAsia"/>
        </w:rPr>
        <w:t>（1）全市事业单位公开招聘2327人，持续实施“三支一扶”计划，向基层输送各类人才93名，大学生村官招聘732人。</w:t>
      </w:r>
    </w:p>
    <w:p>
      <w:pPr>
        <w:widowControl w:val="0"/>
        <w:spacing w:line="560" w:lineRule="exact"/>
        <w:ind w:firstLine="560" w:firstLineChars="200"/>
      </w:pPr>
      <w:r>
        <w:rPr>
          <w:rFonts w:hint="eastAsia"/>
        </w:rPr>
        <w:t>（2）开展“技能运城”建设工作，建立“技能运城”信息平台，畅通“线上+线下”信息渠道，完善培训和就业需求信息采集、分析、研判、反馈、发布综合服务体系，实施企业职工培训全覆盖和重点群体专项培训计划，全市2021年开展各类职业技能培训21.35万人，新增技能人才7.67万人，新增高技能人才1.37万人。</w:t>
      </w:r>
    </w:p>
    <w:p>
      <w:pPr>
        <w:widowControl w:val="0"/>
        <w:spacing w:line="560" w:lineRule="exact"/>
        <w:ind w:firstLine="560" w:firstLineChars="200"/>
        <w:rPr>
          <w:bCs/>
        </w:rPr>
      </w:pPr>
      <w:r>
        <w:rPr>
          <w:rFonts w:hint="eastAsia"/>
          <w:bCs/>
        </w:rPr>
        <w:t>满分3分，根据绩效评价指标，本指标得分3分，得分率100%。</w:t>
      </w:r>
    </w:p>
    <w:p>
      <w:pPr>
        <w:widowControl w:val="0"/>
        <w:spacing w:line="560" w:lineRule="exact"/>
        <w:ind w:firstLine="562" w:firstLineChars="200"/>
        <w:rPr>
          <w:b/>
        </w:rPr>
      </w:pPr>
      <w:r>
        <w:rPr>
          <w:rFonts w:hint="eastAsia"/>
          <w:b/>
        </w:rPr>
        <w:t>C1-3提高社会保障水平</w:t>
      </w:r>
    </w:p>
    <w:p>
      <w:pPr>
        <w:widowControl w:val="0"/>
        <w:spacing w:line="560" w:lineRule="exact"/>
        <w:ind w:firstLine="560" w:firstLineChars="200"/>
        <w:rPr>
          <w:bCs/>
        </w:rPr>
      </w:pPr>
      <w:r>
        <w:rPr>
          <w:rFonts w:hint="eastAsia"/>
          <w:bCs/>
        </w:rPr>
        <w:t xml:space="preserve">项目单位通过落实全民参保、补充养老保险工作推进、退休人员待遇调整和审核等工作，在提高社会保障水平方面起到积极作用，具体为： </w:t>
      </w:r>
    </w:p>
    <w:p>
      <w:pPr>
        <w:widowControl w:val="0"/>
        <w:spacing w:line="560" w:lineRule="exact"/>
        <w:ind w:firstLine="560" w:firstLineChars="200"/>
        <w:rPr>
          <w:bCs/>
        </w:rPr>
      </w:pPr>
      <w:r>
        <w:rPr>
          <w:rFonts w:hint="eastAsia"/>
          <w:bCs/>
        </w:rPr>
        <w:t>（1）项目单位落实全民参保工作计划，大力推进各项保险扩面参保，积极与公安、市场监管局等部门建立信息共享机制，实现了全民参保数据的集中和动态监管，截止2021年底，全市基本养老保险参保人数367.26万人（城镇职工基本养老保险80.72万人、城乡居民基本养老保险286.54万人），失业保险参保人数38.06万人，工伤保险参保人数70.98万人。</w:t>
      </w:r>
    </w:p>
    <w:p>
      <w:pPr>
        <w:widowControl w:val="0"/>
        <w:spacing w:line="560" w:lineRule="exact"/>
        <w:ind w:firstLine="560" w:firstLineChars="200"/>
        <w:rPr>
          <w:bCs/>
        </w:rPr>
      </w:pPr>
      <w:r>
        <w:rPr>
          <w:rFonts w:hint="eastAsia"/>
          <w:bCs/>
        </w:rPr>
        <w:t>（2）项目单位组织工作人员集中下乡促宣传，市县联动齐发力，有效扩大了城乡居民补充养老保险政策宣传和覆盖面。截止2021年底，全市城乡居民补充养老保险参保277.54万人，征缴人数134.7万人，征缴率60.35%。</w:t>
      </w:r>
    </w:p>
    <w:p>
      <w:pPr>
        <w:widowControl w:val="0"/>
        <w:spacing w:line="560" w:lineRule="exact"/>
        <w:ind w:firstLine="560" w:firstLineChars="200"/>
        <w:rPr>
          <w:bCs/>
        </w:rPr>
      </w:pPr>
      <w:r>
        <w:rPr>
          <w:rFonts w:hint="eastAsia"/>
          <w:bCs/>
        </w:rPr>
        <w:t>（3）按照晋人社厅发[2021]32号文件要求，积极落实退休人员待遇调整和审核工作，为全市140536名企业退休人员调整了基本养老金，月人均增加养老金148.38元。</w:t>
      </w:r>
    </w:p>
    <w:p>
      <w:pPr>
        <w:widowControl w:val="0"/>
        <w:spacing w:line="560" w:lineRule="exact"/>
        <w:ind w:firstLine="560" w:firstLineChars="200"/>
      </w:pPr>
      <w:r>
        <w:rPr>
          <w:rFonts w:hint="eastAsia"/>
          <w:bCs/>
        </w:rPr>
        <w:t>满分3分，根据绩效评价指标，本指标得分3分，得分率100%。</w:t>
      </w:r>
    </w:p>
    <w:p>
      <w:pPr>
        <w:widowControl w:val="0"/>
        <w:spacing w:line="560" w:lineRule="exact"/>
        <w:ind w:firstLine="562" w:firstLineChars="200"/>
        <w:rPr>
          <w:b/>
        </w:rPr>
      </w:pPr>
      <w:r>
        <w:rPr>
          <w:rFonts w:hint="eastAsia"/>
          <w:b/>
        </w:rPr>
        <w:t>C1-4促进劳动关系和谐稳定</w:t>
      </w:r>
    </w:p>
    <w:p>
      <w:pPr>
        <w:widowControl w:val="0"/>
        <w:spacing w:line="560" w:lineRule="exact"/>
        <w:ind w:firstLine="560" w:firstLineChars="200"/>
        <w:rPr>
          <w:bCs/>
        </w:rPr>
      </w:pPr>
      <w:r>
        <w:rPr>
          <w:rFonts w:hint="eastAsia"/>
          <w:bCs/>
        </w:rPr>
        <w:t>项目单位通过加大根治欠薪舆论宣传，强化根治欠薪制度措施落实培训，开展工程建设项目根治欠薪制度措施落实情况专项检查，在促进劳动关系和谐稳定方面起到积极作用。具体为：</w:t>
      </w:r>
    </w:p>
    <w:p>
      <w:pPr>
        <w:widowControl w:val="0"/>
        <w:spacing w:line="560" w:lineRule="exact"/>
        <w:ind w:firstLine="560" w:firstLineChars="200"/>
        <w:rPr>
          <w:bCs/>
        </w:rPr>
      </w:pPr>
      <w:r>
        <w:rPr>
          <w:rFonts w:hint="eastAsia"/>
          <w:bCs/>
        </w:rPr>
        <w:t>（1）开展《保障农民工工资支付条例》施行一周年集中宣传月活动，发放彩页、挂图、《条例》单行本等宣传材料7000余份，现场解答咨询200余人次；2021年4月对全市352个在建工程项目约400余名劳资专管员进行了工资支付监控预警平台数据采集培训和在建工程项目保障农民工工资支付制度措施落实专题培训。</w:t>
      </w:r>
    </w:p>
    <w:p>
      <w:pPr>
        <w:widowControl w:val="0"/>
        <w:spacing w:line="560" w:lineRule="exact"/>
        <w:ind w:firstLine="560" w:firstLineChars="200"/>
        <w:rPr>
          <w:bCs/>
        </w:rPr>
      </w:pPr>
      <w:r>
        <w:rPr>
          <w:rFonts w:hint="eastAsia"/>
          <w:bCs/>
        </w:rPr>
        <w:t>（2）积极组织人社部门与银行等金融机构，对全市工资保证金现金缴存以及保函情况进行分类梳理汇总，厘清底数，全面落实工资保证金保函替代、转存、返还制度，推进工程建设领域欠薪源头治理，运城市现金存储1011个项目中，保函替代270个，完工返还524个，转存217个，共计释放企业资金4.79亿元。</w:t>
      </w:r>
    </w:p>
    <w:p>
      <w:pPr>
        <w:widowControl w:val="0"/>
        <w:spacing w:line="560" w:lineRule="exact"/>
        <w:ind w:firstLine="560" w:firstLineChars="200"/>
        <w:rPr>
          <w:bCs/>
        </w:rPr>
      </w:pPr>
      <w:r>
        <w:rPr>
          <w:rFonts w:hint="eastAsia"/>
          <w:bCs/>
        </w:rPr>
        <w:t>（3）由人社、公安、住建等部门联合查处欠薪案件，集中限期解决欠薪问题，及时消除隐患风险，2021年运城市共接收欠薪线索案件2010件，其中：全国根治欠薪线索反映平台转欠薪线1761件，省转欠薪线索249件，目前全部案件已办结。</w:t>
      </w:r>
    </w:p>
    <w:p>
      <w:pPr>
        <w:widowControl w:val="0"/>
        <w:spacing w:line="560" w:lineRule="exact"/>
        <w:ind w:firstLine="560" w:firstLineChars="200"/>
      </w:pPr>
      <w:r>
        <w:rPr>
          <w:rFonts w:hint="eastAsia"/>
          <w:bCs/>
        </w:rPr>
        <w:t>满分3分，</w:t>
      </w:r>
      <w:r>
        <w:rPr>
          <w:rFonts w:hint="eastAsia"/>
          <w:kern w:val="0"/>
        </w:rPr>
        <w:t>根据绩效评价指标，本指标</w:t>
      </w:r>
      <w:r>
        <w:rPr>
          <w:rFonts w:hint="eastAsia"/>
          <w:bCs/>
        </w:rPr>
        <w:t>得分3分</w:t>
      </w:r>
      <w:r>
        <w:rPr>
          <w:rFonts w:hint="eastAsia"/>
          <w:kern w:val="0"/>
        </w:rPr>
        <w:t>，得分率100%</w:t>
      </w:r>
      <w:r>
        <w:rPr>
          <w:rFonts w:hint="eastAsia"/>
          <w:bCs/>
        </w:rPr>
        <w:t>。</w:t>
      </w:r>
    </w:p>
    <w:p>
      <w:pPr>
        <w:widowControl w:val="0"/>
        <w:spacing w:line="560" w:lineRule="exact"/>
        <w:ind w:firstLine="562" w:firstLineChars="200"/>
        <w:rPr>
          <w:b/>
          <w:bCs/>
          <w:color w:val="000000"/>
          <w:szCs w:val="24"/>
        </w:rPr>
      </w:pPr>
      <w:r>
        <w:rPr>
          <w:rFonts w:hint="eastAsia"/>
          <w:b/>
          <w:bCs/>
          <w:color w:val="000000"/>
          <w:szCs w:val="24"/>
        </w:rPr>
        <w:t>C2-1服务对象满意度</w:t>
      </w:r>
    </w:p>
    <w:p>
      <w:pPr>
        <w:adjustRightInd w:val="0"/>
        <w:snapToGrid w:val="0"/>
        <w:spacing w:line="560" w:lineRule="exact"/>
        <w:ind w:firstLine="560" w:firstLineChars="200"/>
      </w:pPr>
      <w:r>
        <w:rPr>
          <w:rFonts w:hint="eastAsia"/>
        </w:rPr>
        <w:t>评价组共发放200份，实际收回200份。根据运城市人力资源和社会保障局服务对象满意度调查问卷数据信息统计显示，6个题目的总得分为97.79分，受益对象的满意度为97.79%。满意度得分情况如下：</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8"/>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178" w:type="dxa"/>
            <w:vAlign w:val="center"/>
          </w:tcPr>
          <w:p>
            <w:pPr>
              <w:jc w:val="center"/>
              <w:rPr>
                <w:b/>
                <w:kern w:val="0"/>
                <w:sz w:val="24"/>
                <w:szCs w:val="24"/>
              </w:rPr>
            </w:pPr>
            <w:r>
              <w:rPr>
                <w:rFonts w:hint="eastAsia"/>
                <w:b/>
                <w:kern w:val="0"/>
                <w:sz w:val="24"/>
                <w:szCs w:val="24"/>
              </w:rPr>
              <w:t>满意度评价内容</w:t>
            </w:r>
          </w:p>
        </w:tc>
        <w:tc>
          <w:tcPr>
            <w:tcW w:w="1539" w:type="dxa"/>
            <w:vAlign w:val="center"/>
          </w:tcPr>
          <w:p>
            <w:pPr>
              <w:jc w:val="center"/>
              <w:rPr>
                <w:b/>
                <w:kern w:val="0"/>
                <w:sz w:val="24"/>
                <w:szCs w:val="24"/>
              </w:rPr>
            </w:pPr>
            <w:r>
              <w:rPr>
                <w:rFonts w:hint="eastAsia"/>
                <w:b/>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178" w:type="dxa"/>
            <w:vAlign w:val="center"/>
          </w:tcPr>
          <w:p>
            <w:pPr>
              <w:rPr>
                <w:kern w:val="0"/>
                <w:sz w:val="24"/>
                <w:szCs w:val="24"/>
              </w:rPr>
            </w:pPr>
            <w:r>
              <w:rPr>
                <w:rFonts w:hint="eastAsia"/>
                <w:sz w:val="24"/>
                <w:szCs w:val="24"/>
              </w:rPr>
              <w:t>1.您对市人社局开展的技能培训及就业帮扶工作是否满意</w:t>
            </w:r>
          </w:p>
        </w:tc>
        <w:tc>
          <w:tcPr>
            <w:tcW w:w="1539" w:type="dxa"/>
            <w:vAlign w:val="center"/>
          </w:tcPr>
          <w:p>
            <w:pPr>
              <w:jc w:val="center"/>
              <w:rPr>
                <w:rFonts w:cs="宋体"/>
                <w:color w:val="000000"/>
                <w:sz w:val="24"/>
                <w:szCs w:val="24"/>
              </w:rPr>
            </w:pPr>
            <w:r>
              <w:rPr>
                <w:rFonts w:hint="eastAsia" w:cs="宋体"/>
                <w:color w:val="000000"/>
                <w:sz w:val="24"/>
                <w:szCs w:val="24"/>
              </w:rPr>
              <w:t>98.38%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178" w:type="dxa"/>
            <w:vAlign w:val="center"/>
          </w:tcPr>
          <w:p>
            <w:pPr>
              <w:rPr>
                <w:kern w:val="0"/>
                <w:sz w:val="24"/>
                <w:szCs w:val="24"/>
              </w:rPr>
            </w:pPr>
            <w:r>
              <w:rPr>
                <w:rFonts w:hint="eastAsia"/>
                <w:kern w:val="0"/>
                <w:sz w:val="24"/>
                <w:szCs w:val="24"/>
              </w:rPr>
              <w:t>2.您对市人社局开展的人才建设服务工作方面是否满意</w:t>
            </w:r>
          </w:p>
        </w:tc>
        <w:tc>
          <w:tcPr>
            <w:tcW w:w="1539" w:type="dxa"/>
            <w:vAlign w:val="center"/>
          </w:tcPr>
          <w:p>
            <w:pPr>
              <w:jc w:val="center"/>
              <w:rPr>
                <w:rFonts w:cs="宋体"/>
                <w:color w:val="000000"/>
                <w:sz w:val="24"/>
                <w:szCs w:val="24"/>
              </w:rPr>
            </w:pPr>
            <w:r>
              <w:rPr>
                <w:rFonts w:hint="eastAsia" w:cs="宋体"/>
                <w:color w:val="000000"/>
                <w:sz w:val="24"/>
                <w:szCs w:val="24"/>
              </w:rPr>
              <w:t>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8" w:type="dxa"/>
            <w:vAlign w:val="center"/>
          </w:tcPr>
          <w:p>
            <w:pPr>
              <w:rPr>
                <w:kern w:val="0"/>
                <w:sz w:val="24"/>
                <w:szCs w:val="24"/>
              </w:rPr>
            </w:pPr>
            <w:r>
              <w:rPr>
                <w:rFonts w:hint="eastAsia"/>
                <w:kern w:val="0"/>
                <w:sz w:val="24"/>
                <w:szCs w:val="24"/>
              </w:rPr>
              <w:t>3.您对市人社局开展的社保宣传工作否满意</w:t>
            </w:r>
          </w:p>
        </w:tc>
        <w:tc>
          <w:tcPr>
            <w:tcW w:w="1539" w:type="dxa"/>
            <w:vAlign w:val="center"/>
          </w:tcPr>
          <w:p>
            <w:pPr>
              <w:jc w:val="center"/>
              <w:rPr>
                <w:rFonts w:cs="宋体"/>
                <w:color w:val="000000"/>
                <w:sz w:val="24"/>
                <w:szCs w:val="24"/>
              </w:rPr>
            </w:pPr>
            <w:r>
              <w:rPr>
                <w:rFonts w:hint="eastAsia" w:cs="宋体"/>
                <w:color w:val="000000"/>
                <w:sz w:val="24"/>
                <w:szCs w:val="24"/>
              </w:rPr>
              <w:t>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178" w:type="dxa"/>
            <w:vAlign w:val="center"/>
          </w:tcPr>
          <w:p>
            <w:pPr>
              <w:rPr>
                <w:kern w:val="0"/>
                <w:sz w:val="24"/>
                <w:szCs w:val="24"/>
              </w:rPr>
            </w:pPr>
            <w:r>
              <w:rPr>
                <w:rFonts w:hint="eastAsia"/>
                <w:kern w:val="0"/>
                <w:sz w:val="24"/>
                <w:szCs w:val="24"/>
              </w:rPr>
              <w:t>4.您对市人社局社保办理工作服务态度及效率是否满意</w:t>
            </w:r>
          </w:p>
        </w:tc>
        <w:tc>
          <w:tcPr>
            <w:tcW w:w="1539" w:type="dxa"/>
            <w:vAlign w:val="center"/>
          </w:tcPr>
          <w:p>
            <w:pPr>
              <w:jc w:val="center"/>
              <w:rPr>
                <w:rFonts w:cs="宋体"/>
                <w:color w:val="000000"/>
                <w:sz w:val="24"/>
                <w:szCs w:val="24"/>
              </w:rPr>
            </w:pPr>
            <w:r>
              <w:rPr>
                <w:rFonts w:hint="eastAsia" w:cs="宋体"/>
                <w:color w:val="000000"/>
                <w:sz w:val="24"/>
                <w:szCs w:val="24"/>
              </w:rPr>
              <w:t>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8" w:type="dxa"/>
            <w:vAlign w:val="center"/>
          </w:tcPr>
          <w:p>
            <w:pPr>
              <w:rPr>
                <w:kern w:val="0"/>
                <w:sz w:val="24"/>
                <w:szCs w:val="24"/>
              </w:rPr>
            </w:pPr>
            <w:r>
              <w:rPr>
                <w:rFonts w:hint="eastAsia"/>
                <w:kern w:val="0"/>
                <w:sz w:val="24"/>
                <w:szCs w:val="24"/>
              </w:rPr>
              <w:t>5.您对市人社局劳动争议及仲裁工作是否满意</w:t>
            </w:r>
          </w:p>
        </w:tc>
        <w:tc>
          <w:tcPr>
            <w:tcW w:w="1539" w:type="dxa"/>
            <w:vAlign w:val="center"/>
          </w:tcPr>
          <w:p>
            <w:pPr>
              <w:jc w:val="center"/>
              <w:rPr>
                <w:rFonts w:cs="宋体"/>
                <w:color w:val="000000"/>
                <w:sz w:val="24"/>
                <w:szCs w:val="24"/>
              </w:rPr>
            </w:pPr>
            <w:r>
              <w:rPr>
                <w:rFonts w:hint="eastAsia" w:cs="宋体"/>
                <w:color w:val="000000"/>
                <w:sz w:val="24"/>
                <w:szCs w:val="24"/>
              </w:rPr>
              <w:t>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8" w:type="dxa"/>
            <w:vAlign w:val="center"/>
          </w:tcPr>
          <w:p>
            <w:pPr>
              <w:rPr>
                <w:b/>
                <w:kern w:val="0"/>
                <w:sz w:val="24"/>
                <w:szCs w:val="24"/>
              </w:rPr>
            </w:pPr>
            <w:r>
              <w:rPr>
                <w:rFonts w:hint="eastAsia"/>
                <w:kern w:val="0"/>
                <w:sz w:val="24"/>
                <w:szCs w:val="24"/>
              </w:rPr>
              <w:t>6.您对市人社局窗口环境及各项设施是否满意</w:t>
            </w:r>
          </w:p>
        </w:tc>
        <w:tc>
          <w:tcPr>
            <w:tcW w:w="1539" w:type="dxa"/>
            <w:vAlign w:val="center"/>
          </w:tcPr>
          <w:p>
            <w:pPr>
              <w:jc w:val="center"/>
              <w:rPr>
                <w:rFonts w:cs="宋体"/>
                <w:b/>
                <w:bCs/>
                <w:color w:val="000000"/>
                <w:sz w:val="24"/>
                <w:szCs w:val="24"/>
              </w:rPr>
            </w:pPr>
            <w:r>
              <w:rPr>
                <w:rFonts w:hint="eastAsia" w:cs="宋体"/>
                <w:color w:val="000000"/>
                <w:sz w:val="24"/>
                <w:szCs w:val="24"/>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8" w:type="dxa"/>
            <w:vAlign w:val="center"/>
          </w:tcPr>
          <w:p>
            <w:pPr>
              <w:jc w:val="center"/>
              <w:rPr>
                <w:b/>
                <w:kern w:val="0"/>
                <w:sz w:val="24"/>
                <w:szCs w:val="24"/>
              </w:rPr>
            </w:pPr>
            <w:r>
              <w:rPr>
                <w:rFonts w:hint="eastAsia"/>
                <w:b/>
                <w:kern w:val="0"/>
                <w:sz w:val="24"/>
                <w:szCs w:val="24"/>
              </w:rPr>
              <w:t>综合满意度</w:t>
            </w:r>
          </w:p>
        </w:tc>
        <w:tc>
          <w:tcPr>
            <w:tcW w:w="1539" w:type="dxa"/>
            <w:vAlign w:val="center"/>
          </w:tcPr>
          <w:p>
            <w:pPr>
              <w:jc w:val="center"/>
              <w:rPr>
                <w:rFonts w:cs="宋体"/>
                <w:b/>
                <w:bCs/>
                <w:color w:val="000000"/>
                <w:sz w:val="24"/>
                <w:szCs w:val="24"/>
              </w:rPr>
            </w:pPr>
            <w:r>
              <w:rPr>
                <w:rFonts w:hint="eastAsia" w:cs="宋体"/>
                <w:b/>
                <w:bCs/>
                <w:color w:val="000000"/>
                <w:sz w:val="24"/>
                <w:szCs w:val="24"/>
              </w:rPr>
              <w:t>97.79%</w:t>
            </w:r>
          </w:p>
        </w:tc>
      </w:tr>
    </w:tbl>
    <w:p>
      <w:pPr>
        <w:widowControl w:val="0"/>
        <w:spacing w:line="560" w:lineRule="exact"/>
        <w:ind w:firstLine="560" w:firstLineChars="200"/>
        <w:rPr>
          <w:bCs/>
        </w:rPr>
      </w:pPr>
      <w:r>
        <w:rPr>
          <w:rFonts w:hint="eastAsia"/>
          <w:bCs/>
        </w:rPr>
        <w:t>满分4分，</w:t>
      </w:r>
      <w:r>
        <w:rPr>
          <w:rFonts w:hint="eastAsia"/>
          <w:kern w:val="0"/>
        </w:rPr>
        <w:t>根据绩效评价指标，本指标</w:t>
      </w:r>
      <w:r>
        <w:rPr>
          <w:rFonts w:hint="eastAsia"/>
          <w:bCs/>
        </w:rPr>
        <w:t>得分3.91分</w:t>
      </w:r>
      <w:r>
        <w:rPr>
          <w:rFonts w:hint="eastAsia"/>
          <w:kern w:val="0"/>
        </w:rPr>
        <w:t>，得分率97.75%</w:t>
      </w:r>
      <w:r>
        <w:rPr>
          <w:rFonts w:hint="eastAsia"/>
          <w:bCs/>
        </w:rPr>
        <w:t>。</w:t>
      </w:r>
    </w:p>
    <w:p>
      <w:pPr>
        <w:widowControl w:val="0"/>
        <w:spacing w:line="560" w:lineRule="exact"/>
        <w:ind w:firstLine="562" w:firstLineChars="200"/>
        <w:rPr>
          <w:b/>
          <w:bCs/>
          <w:color w:val="000000"/>
          <w:szCs w:val="24"/>
        </w:rPr>
      </w:pPr>
      <w:bookmarkStart w:id="298" w:name="_Toc27528"/>
      <w:r>
        <w:rPr>
          <w:rFonts w:hint="eastAsia"/>
          <w:b/>
          <w:bCs/>
          <w:color w:val="000000"/>
          <w:szCs w:val="24"/>
        </w:rPr>
        <w:t>C2-2管理对象满意度</w:t>
      </w:r>
    </w:p>
    <w:p>
      <w:pPr>
        <w:adjustRightInd w:val="0"/>
        <w:snapToGrid w:val="0"/>
        <w:spacing w:line="560" w:lineRule="exact"/>
        <w:ind w:firstLine="560" w:firstLineChars="200"/>
      </w:pPr>
      <w:r>
        <w:rPr>
          <w:rFonts w:hint="eastAsia"/>
        </w:rPr>
        <w:t>评价组共发放82份，实际收回82份。根据运城市人力资源和社会保障局管理对象满意度调查问卷数据信息统计显示，4个题目的总得分为98.86分，受益对象的满意度为98.86%。满意度得分情况如下：</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8"/>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178" w:type="dxa"/>
            <w:vAlign w:val="center"/>
          </w:tcPr>
          <w:p>
            <w:pPr>
              <w:jc w:val="center"/>
              <w:rPr>
                <w:b/>
                <w:kern w:val="0"/>
                <w:sz w:val="24"/>
                <w:szCs w:val="24"/>
              </w:rPr>
            </w:pPr>
            <w:r>
              <w:rPr>
                <w:rFonts w:hint="eastAsia"/>
                <w:b/>
                <w:kern w:val="0"/>
                <w:sz w:val="24"/>
                <w:szCs w:val="24"/>
              </w:rPr>
              <w:t>满意度评价内容</w:t>
            </w:r>
          </w:p>
        </w:tc>
        <w:tc>
          <w:tcPr>
            <w:tcW w:w="1539" w:type="dxa"/>
            <w:vAlign w:val="center"/>
          </w:tcPr>
          <w:p>
            <w:pPr>
              <w:jc w:val="center"/>
              <w:rPr>
                <w:b/>
                <w:kern w:val="0"/>
                <w:sz w:val="24"/>
                <w:szCs w:val="24"/>
              </w:rPr>
            </w:pPr>
            <w:r>
              <w:rPr>
                <w:rFonts w:hint="eastAsia"/>
                <w:b/>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8" w:type="dxa"/>
            <w:vAlign w:val="center"/>
          </w:tcPr>
          <w:p>
            <w:pPr>
              <w:rPr>
                <w:b/>
                <w:kern w:val="0"/>
                <w:sz w:val="24"/>
                <w:szCs w:val="24"/>
              </w:rPr>
            </w:pPr>
            <w:r>
              <w:rPr>
                <w:rFonts w:hint="eastAsia"/>
                <w:kern w:val="0"/>
                <w:sz w:val="24"/>
                <w:szCs w:val="24"/>
              </w:rPr>
              <w:t>1.您对单位金保工程“一卡通”信息化使用效果是否满意</w:t>
            </w:r>
          </w:p>
        </w:tc>
        <w:tc>
          <w:tcPr>
            <w:tcW w:w="1539" w:type="dxa"/>
            <w:vAlign w:val="center"/>
          </w:tcPr>
          <w:p>
            <w:pPr>
              <w:jc w:val="center"/>
              <w:rPr>
                <w:rFonts w:cs="宋体"/>
                <w:b/>
                <w:bCs/>
                <w:color w:val="000000"/>
                <w:sz w:val="24"/>
                <w:szCs w:val="24"/>
                <w:highlight w:val="yellow"/>
              </w:rPr>
            </w:pPr>
            <w:r>
              <w:rPr>
                <w:rFonts w:hint="eastAsia"/>
                <w:kern w:val="0"/>
                <w:sz w:val="24"/>
                <w:szCs w:val="24"/>
              </w:rPr>
              <w:t>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8" w:type="dxa"/>
            <w:vAlign w:val="center"/>
          </w:tcPr>
          <w:p>
            <w:pPr>
              <w:rPr>
                <w:b/>
                <w:kern w:val="0"/>
                <w:sz w:val="24"/>
                <w:szCs w:val="24"/>
              </w:rPr>
            </w:pPr>
            <w:r>
              <w:rPr>
                <w:rFonts w:hint="eastAsia"/>
                <w:kern w:val="0"/>
                <w:sz w:val="24"/>
                <w:szCs w:val="24"/>
              </w:rPr>
              <w:t>2.对单位内部业务办理流程是否满意</w:t>
            </w:r>
          </w:p>
        </w:tc>
        <w:tc>
          <w:tcPr>
            <w:tcW w:w="1539" w:type="dxa"/>
            <w:vAlign w:val="center"/>
          </w:tcPr>
          <w:p>
            <w:pPr>
              <w:jc w:val="center"/>
              <w:rPr>
                <w:rFonts w:cs="宋体"/>
                <w:b/>
                <w:bCs/>
                <w:color w:val="000000"/>
                <w:sz w:val="24"/>
                <w:szCs w:val="24"/>
                <w:highlight w:val="yellow"/>
              </w:rPr>
            </w:pPr>
            <w:r>
              <w:rPr>
                <w:rFonts w:hint="eastAsia"/>
                <w:kern w:val="0"/>
                <w:sz w:val="24"/>
                <w:szCs w:val="24"/>
              </w:rPr>
              <w:t>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8" w:type="dxa"/>
            <w:vAlign w:val="center"/>
          </w:tcPr>
          <w:p>
            <w:pPr>
              <w:rPr>
                <w:kern w:val="0"/>
                <w:sz w:val="24"/>
                <w:szCs w:val="24"/>
              </w:rPr>
            </w:pPr>
            <w:r>
              <w:rPr>
                <w:rFonts w:hint="eastAsia"/>
                <w:kern w:val="0"/>
                <w:sz w:val="24"/>
                <w:szCs w:val="24"/>
              </w:rPr>
              <w:t>3.您对单位开展的知识培训及工作能力提升工作是否满意</w:t>
            </w:r>
          </w:p>
        </w:tc>
        <w:tc>
          <w:tcPr>
            <w:tcW w:w="1539" w:type="dxa"/>
            <w:vAlign w:val="center"/>
          </w:tcPr>
          <w:p>
            <w:pPr>
              <w:jc w:val="center"/>
              <w:rPr>
                <w:rFonts w:cs="宋体"/>
                <w:color w:val="000000"/>
                <w:sz w:val="24"/>
                <w:szCs w:val="24"/>
                <w:highlight w:val="yellow"/>
              </w:rPr>
            </w:pPr>
            <w:r>
              <w:rPr>
                <w:rFonts w:hint="eastAsia"/>
                <w:kern w:val="0"/>
                <w:sz w:val="24"/>
                <w:szCs w:val="24"/>
              </w:rPr>
              <w:t>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8" w:type="dxa"/>
            <w:vAlign w:val="center"/>
          </w:tcPr>
          <w:p>
            <w:pPr>
              <w:rPr>
                <w:kern w:val="0"/>
                <w:sz w:val="24"/>
                <w:szCs w:val="24"/>
              </w:rPr>
            </w:pPr>
            <w:r>
              <w:rPr>
                <w:rFonts w:hint="eastAsia"/>
                <w:kern w:val="0"/>
                <w:sz w:val="24"/>
                <w:szCs w:val="24"/>
              </w:rPr>
              <w:t>4.您对单位办公环境整体效果是否满意</w:t>
            </w:r>
          </w:p>
        </w:tc>
        <w:tc>
          <w:tcPr>
            <w:tcW w:w="1539" w:type="dxa"/>
            <w:vAlign w:val="center"/>
          </w:tcPr>
          <w:p>
            <w:pPr>
              <w:jc w:val="center"/>
              <w:rPr>
                <w:rFonts w:cs="宋体"/>
                <w:color w:val="000000"/>
                <w:sz w:val="24"/>
                <w:szCs w:val="24"/>
                <w:highlight w:val="yellow"/>
              </w:rPr>
            </w:pPr>
            <w:r>
              <w:rPr>
                <w:rFonts w:hint="eastAsia"/>
                <w:kern w:val="0"/>
                <w:sz w:val="24"/>
                <w:szCs w:val="24"/>
              </w:rPr>
              <w:t>97.26%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8" w:type="dxa"/>
            <w:vAlign w:val="center"/>
          </w:tcPr>
          <w:p>
            <w:pPr>
              <w:jc w:val="center"/>
              <w:rPr>
                <w:b/>
                <w:kern w:val="0"/>
                <w:sz w:val="24"/>
                <w:szCs w:val="24"/>
              </w:rPr>
            </w:pPr>
            <w:r>
              <w:rPr>
                <w:rFonts w:hint="eastAsia"/>
                <w:b/>
                <w:kern w:val="0"/>
                <w:sz w:val="24"/>
                <w:szCs w:val="24"/>
              </w:rPr>
              <w:t>综合满意度</w:t>
            </w:r>
          </w:p>
        </w:tc>
        <w:tc>
          <w:tcPr>
            <w:tcW w:w="1539" w:type="dxa"/>
            <w:vAlign w:val="center"/>
          </w:tcPr>
          <w:p>
            <w:pPr>
              <w:jc w:val="center"/>
              <w:rPr>
                <w:rFonts w:cs="宋体"/>
                <w:b/>
                <w:bCs/>
                <w:color w:val="000000"/>
                <w:sz w:val="24"/>
                <w:szCs w:val="24"/>
                <w:highlight w:val="yellow"/>
              </w:rPr>
            </w:pPr>
            <w:r>
              <w:rPr>
                <w:rFonts w:hint="eastAsia" w:cs="宋体"/>
                <w:b/>
                <w:bCs/>
                <w:color w:val="000000"/>
                <w:sz w:val="24"/>
                <w:szCs w:val="24"/>
              </w:rPr>
              <w:t>98.86%</w:t>
            </w:r>
          </w:p>
        </w:tc>
      </w:tr>
    </w:tbl>
    <w:p>
      <w:pPr>
        <w:widowControl w:val="0"/>
        <w:spacing w:line="560" w:lineRule="exact"/>
        <w:ind w:firstLine="560" w:firstLineChars="200"/>
        <w:rPr>
          <w:bCs/>
        </w:rPr>
      </w:pPr>
      <w:r>
        <w:rPr>
          <w:rFonts w:hint="eastAsia"/>
          <w:bCs/>
        </w:rPr>
        <w:t>满分4分，</w:t>
      </w:r>
      <w:r>
        <w:rPr>
          <w:rFonts w:hint="eastAsia"/>
          <w:kern w:val="0"/>
        </w:rPr>
        <w:t>根据绩效评价指标，本指标</w:t>
      </w:r>
      <w:r>
        <w:rPr>
          <w:rFonts w:hint="eastAsia"/>
          <w:bCs/>
        </w:rPr>
        <w:t>得分3.95分</w:t>
      </w:r>
      <w:r>
        <w:rPr>
          <w:rFonts w:hint="eastAsia"/>
          <w:kern w:val="0"/>
        </w:rPr>
        <w:t>，得分率98.75%</w:t>
      </w:r>
      <w:r>
        <w:rPr>
          <w:rFonts w:hint="eastAsia"/>
          <w:bCs/>
        </w:rPr>
        <w:t>。</w:t>
      </w:r>
    </w:p>
    <w:p>
      <w:pPr>
        <w:spacing w:line="560" w:lineRule="exact"/>
        <w:ind w:firstLine="560" w:firstLineChars="200"/>
      </w:pPr>
      <w:r>
        <w:rPr>
          <w:rFonts w:hint="eastAsia"/>
        </w:rPr>
        <w:t>4、可持续性分析</w:t>
      </w:r>
      <w:bookmarkEnd w:id="298"/>
    </w:p>
    <w:p>
      <w:pPr>
        <w:widowControl w:val="0"/>
        <w:spacing w:line="560" w:lineRule="exact"/>
        <w:ind w:firstLine="560" w:firstLineChars="200"/>
      </w:pPr>
      <w:r>
        <w:rPr>
          <w:rFonts w:hint="eastAsia"/>
        </w:rPr>
        <w:t>可持续性分别从体制机制改革、干部队伍建设2个方面进行分析，共设置2个二级指标2个三级指标。可持续性指标分值10分，实际得分10分，得分率100%。各分项指标得分情况如下表4-4所示：</w:t>
      </w:r>
    </w:p>
    <w:p>
      <w:pPr>
        <w:widowControl w:val="0"/>
        <w:spacing w:after="76" w:afterLines="20" w:line="560" w:lineRule="exact"/>
        <w:jc w:val="center"/>
        <w:rPr>
          <w:b/>
        </w:rPr>
      </w:pPr>
      <w:r>
        <w:rPr>
          <w:rFonts w:hint="eastAsia"/>
          <w:b/>
        </w:rPr>
        <w:t>表4-4 可持续性指标得分情况</w:t>
      </w:r>
    </w:p>
    <w:tbl>
      <w:tblPr>
        <w:tblStyle w:val="19"/>
        <w:tblW w:w="4998" w:type="pct"/>
        <w:tblInd w:w="0" w:type="dxa"/>
        <w:tblLayout w:type="autofit"/>
        <w:tblCellMar>
          <w:top w:w="0" w:type="dxa"/>
          <w:left w:w="108" w:type="dxa"/>
          <w:bottom w:w="0" w:type="dxa"/>
          <w:right w:w="108" w:type="dxa"/>
        </w:tblCellMar>
      </w:tblPr>
      <w:tblGrid>
        <w:gridCol w:w="1955"/>
        <w:gridCol w:w="3865"/>
        <w:gridCol w:w="996"/>
        <w:gridCol w:w="820"/>
        <w:gridCol w:w="1081"/>
      </w:tblGrid>
      <w:tr>
        <w:tblPrEx>
          <w:tblCellMar>
            <w:top w:w="0" w:type="dxa"/>
            <w:left w:w="108" w:type="dxa"/>
            <w:bottom w:w="0" w:type="dxa"/>
            <w:right w:w="108" w:type="dxa"/>
          </w:tblCellMar>
        </w:tblPrEx>
        <w:trPr>
          <w:trHeight w:val="454" w:hRule="atLeast"/>
          <w:tblHeader/>
        </w:trPr>
        <w:tc>
          <w:tcPr>
            <w:tcW w:w="11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4"/>
                <w:szCs w:val="24"/>
              </w:rPr>
            </w:pPr>
            <w:r>
              <w:rPr>
                <w:rFonts w:hint="eastAsia"/>
                <w:b/>
                <w:bCs/>
                <w:color w:val="000000"/>
                <w:kern w:val="0"/>
                <w:sz w:val="24"/>
                <w:szCs w:val="24"/>
              </w:rPr>
              <w:t>二级指标</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4"/>
                <w:szCs w:val="24"/>
              </w:rPr>
            </w:pPr>
            <w:r>
              <w:rPr>
                <w:rFonts w:hint="eastAsia"/>
                <w:b/>
                <w:bCs/>
                <w:color w:val="000000"/>
                <w:kern w:val="0"/>
                <w:sz w:val="24"/>
                <w:szCs w:val="24"/>
              </w:rPr>
              <w:t>三级指标</w:t>
            </w: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4"/>
                <w:szCs w:val="24"/>
              </w:rPr>
            </w:pPr>
            <w:r>
              <w:rPr>
                <w:rFonts w:hint="eastAsia"/>
                <w:b/>
                <w:bCs/>
                <w:color w:val="000000"/>
                <w:kern w:val="0"/>
                <w:sz w:val="24"/>
                <w:szCs w:val="24"/>
              </w:rPr>
              <w:t>分值</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4"/>
                <w:szCs w:val="24"/>
              </w:rPr>
            </w:pPr>
            <w:r>
              <w:rPr>
                <w:rFonts w:hint="eastAsia"/>
                <w:b/>
                <w:bCs/>
                <w:color w:val="000000"/>
                <w:kern w:val="0"/>
                <w:sz w:val="24"/>
                <w:szCs w:val="24"/>
              </w:rPr>
              <w:t>得分</w:t>
            </w:r>
          </w:p>
        </w:tc>
        <w:tc>
          <w:tcPr>
            <w:tcW w:w="62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b/>
                <w:bCs/>
                <w:color w:val="000000"/>
                <w:sz w:val="24"/>
                <w:szCs w:val="24"/>
              </w:rPr>
            </w:pPr>
            <w:r>
              <w:rPr>
                <w:rFonts w:hint="eastAsia"/>
                <w:b/>
                <w:bCs/>
                <w:color w:val="000000"/>
                <w:kern w:val="0"/>
                <w:sz w:val="24"/>
                <w:szCs w:val="24"/>
              </w:rPr>
              <w:t>得分率</w:t>
            </w:r>
          </w:p>
        </w:tc>
      </w:tr>
      <w:tr>
        <w:tblPrEx>
          <w:tblCellMar>
            <w:top w:w="0" w:type="dxa"/>
            <w:left w:w="108" w:type="dxa"/>
            <w:bottom w:w="0" w:type="dxa"/>
            <w:right w:w="108" w:type="dxa"/>
          </w:tblCellMar>
        </w:tblPrEx>
        <w:trPr>
          <w:trHeight w:val="454" w:hRule="atLeast"/>
        </w:trPr>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color w:val="000000"/>
                <w:sz w:val="24"/>
                <w:szCs w:val="24"/>
              </w:rPr>
            </w:pPr>
            <w:r>
              <w:rPr>
                <w:rFonts w:hint="eastAsia"/>
                <w:color w:val="000000"/>
                <w:kern w:val="0"/>
                <w:sz w:val="24"/>
                <w:szCs w:val="24"/>
              </w:rPr>
              <w:t>D1体制机制改革</w:t>
            </w:r>
          </w:p>
        </w:tc>
        <w:tc>
          <w:tcPr>
            <w:tcW w:w="2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color w:val="000000"/>
                <w:sz w:val="24"/>
                <w:szCs w:val="24"/>
              </w:rPr>
            </w:pPr>
            <w:r>
              <w:rPr>
                <w:rFonts w:hint="eastAsia"/>
                <w:color w:val="000000"/>
                <w:kern w:val="0"/>
                <w:sz w:val="24"/>
                <w:szCs w:val="24"/>
              </w:rPr>
              <w:t>D1-1推进部门管理体制改革</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4"/>
                <w:szCs w:val="24"/>
              </w:rPr>
            </w:pPr>
            <w:r>
              <w:rPr>
                <w:rFonts w:hint="eastAsia"/>
                <w:color w:val="000000"/>
                <w:kern w:val="0"/>
                <w:sz w:val="24"/>
                <w:szCs w:val="24"/>
              </w:rPr>
              <w:t>5</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4"/>
                <w:szCs w:val="24"/>
              </w:rPr>
            </w:pPr>
            <w:r>
              <w:rPr>
                <w:rFonts w:hint="eastAsia"/>
                <w:color w:val="000000"/>
                <w:kern w:val="0"/>
                <w:sz w:val="24"/>
                <w:szCs w:val="24"/>
              </w:rPr>
              <w:t>5</w:t>
            </w:r>
          </w:p>
        </w:tc>
        <w:tc>
          <w:tcPr>
            <w:tcW w:w="620" w:type="pct"/>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color w:val="000000"/>
                <w:sz w:val="24"/>
                <w:szCs w:val="24"/>
              </w:rPr>
            </w:pPr>
            <w:r>
              <w:rPr>
                <w:rFonts w:hint="eastAsia"/>
                <w:color w:val="000000"/>
                <w:kern w:val="0"/>
                <w:sz w:val="24"/>
                <w:szCs w:val="24"/>
              </w:rPr>
              <w:t>100%</w:t>
            </w:r>
          </w:p>
        </w:tc>
      </w:tr>
      <w:tr>
        <w:tblPrEx>
          <w:tblCellMar>
            <w:top w:w="0" w:type="dxa"/>
            <w:left w:w="108" w:type="dxa"/>
            <w:bottom w:w="0" w:type="dxa"/>
            <w:right w:w="108" w:type="dxa"/>
          </w:tblCellMar>
        </w:tblPrEx>
        <w:trPr>
          <w:trHeight w:val="454" w:hRule="atLeast"/>
        </w:trPr>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color w:val="000000"/>
                <w:sz w:val="24"/>
                <w:szCs w:val="24"/>
              </w:rPr>
            </w:pPr>
            <w:r>
              <w:rPr>
                <w:rFonts w:hint="eastAsia"/>
                <w:color w:val="000000"/>
                <w:kern w:val="0"/>
                <w:sz w:val="24"/>
                <w:szCs w:val="24"/>
              </w:rPr>
              <w:t>D2干部队伍建设</w:t>
            </w:r>
          </w:p>
        </w:tc>
        <w:tc>
          <w:tcPr>
            <w:tcW w:w="2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color w:val="000000"/>
                <w:sz w:val="24"/>
                <w:szCs w:val="24"/>
              </w:rPr>
            </w:pPr>
            <w:r>
              <w:rPr>
                <w:rFonts w:hint="eastAsia"/>
                <w:color w:val="000000"/>
                <w:kern w:val="0"/>
                <w:sz w:val="24"/>
                <w:szCs w:val="24"/>
              </w:rPr>
              <w:t>D2-1人力资源建设保障程度</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4"/>
                <w:szCs w:val="24"/>
              </w:rPr>
            </w:pPr>
            <w:r>
              <w:rPr>
                <w:rFonts w:hint="eastAsia"/>
                <w:color w:val="000000"/>
                <w:sz w:val="24"/>
                <w:szCs w:val="24"/>
              </w:rPr>
              <w:t>5</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4"/>
                <w:szCs w:val="24"/>
              </w:rPr>
            </w:pPr>
            <w:r>
              <w:rPr>
                <w:rFonts w:hint="eastAsia"/>
                <w:color w:val="000000"/>
                <w:sz w:val="24"/>
                <w:szCs w:val="24"/>
              </w:rPr>
              <w:t>5</w:t>
            </w:r>
          </w:p>
        </w:tc>
        <w:tc>
          <w:tcPr>
            <w:tcW w:w="620" w:type="pct"/>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color w:val="000000"/>
                <w:sz w:val="24"/>
                <w:szCs w:val="24"/>
              </w:rPr>
            </w:pPr>
            <w:r>
              <w:rPr>
                <w:rFonts w:hint="eastAsia"/>
                <w:color w:val="000000"/>
                <w:kern w:val="0"/>
                <w:sz w:val="24"/>
                <w:szCs w:val="24"/>
              </w:rPr>
              <w:t>100%</w:t>
            </w:r>
          </w:p>
        </w:tc>
      </w:tr>
    </w:tbl>
    <w:p>
      <w:pPr>
        <w:widowControl w:val="0"/>
        <w:spacing w:line="560" w:lineRule="exact"/>
        <w:ind w:firstLine="562" w:firstLineChars="200"/>
        <w:outlineLvl w:val="3"/>
        <w:rPr>
          <w:b/>
        </w:rPr>
      </w:pPr>
      <w:r>
        <w:rPr>
          <w:rFonts w:hint="eastAsia"/>
          <w:b/>
        </w:rPr>
        <w:t>D1-1</w:t>
      </w:r>
      <w:r>
        <w:rPr>
          <w:rFonts w:hint="eastAsia"/>
          <w:b/>
          <w:bCs/>
          <w:kern w:val="0"/>
        </w:rPr>
        <w:t>推进部门管理体制改革</w:t>
      </w:r>
    </w:p>
    <w:p>
      <w:pPr>
        <w:widowControl w:val="0"/>
        <w:adjustRightInd w:val="0"/>
        <w:snapToGrid w:val="0"/>
        <w:spacing w:line="560" w:lineRule="exact"/>
        <w:ind w:firstLine="560" w:firstLineChars="200"/>
        <w:rPr>
          <w:bCs/>
        </w:rPr>
      </w:pPr>
      <w:r>
        <w:rPr>
          <w:rFonts w:hint="eastAsia"/>
          <w:bCs/>
        </w:rPr>
        <w:t>项目单位在推动部门管理体制改革（如：建立信息共享机制、引进智慧就业服务系统、跨区域劳务合作等方面）、促进部门科学管理、优化组织结构和行政运行机制方面起到积极作用，具体为：</w:t>
      </w:r>
    </w:p>
    <w:p>
      <w:pPr>
        <w:widowControl w:val="0"/>
        <w:adjustRightInd w:val="0"/>
        <w:snapToGrid w:val="0"/>
        <w:spacing w:line="560" w:lineRule="exact"/>
        <w:ind w:firstLine="560" w:firstLineChars="200"/>
        <w:rPr>
          <w:bCs/>
        </w:rPr>
      </w:pPr>
      <w:r>
        <w:rPr>
          <w:rFonts w:hint="eastAsia"/>
          <w:bCs/>
        </w:rPr>
        <w:t>（1）积极与公安、市场监管局等部门建立信息共享机制，实现全民参保数据的集中和动态监管，全力推进各项保险扩面参保。</w:t>
      </w:r>
    </w:p>
    <w:p>
      <w:pPr>
        <w:widowControl w:val="0"/>
        <w:adjustRightInd w:val="0"/>
        <w:snapToGrid w:val="0"/>
        <w:spacing w:line="560" w:lineRule="exact"/>
        <w:ind w:firstLine="560" w:firstLineChars="200"/>
        <w:rPr>
          <w:bCs/>
        </w:rPr>
      </w:pPr>
      <w:r>
        <w:rPr>
          <w:rFonts w:hint="eastAsia"/>
          <w:bCs/>
        </w:rPr>
        <w:t>（2）引进全省领先智慧就业服务系统，推出“零工之家”网络登录平台，劳动者求职、企业招聘实现精准匹配，精准对接。采集零工求职信息6000余条，举办16场现场招聘活动。</w:t>
      </w:r>
    </w:p>
    <w:p>
      <w:pPr>
        <w:widowControl w:val="0"/>
        <w:adjustRightInd w:val="0"/>
        <w:snapToGrid w:val="0"/>
        <w:spacing w:line="560" w:lineRule="exact"/>
        <w:ind w:firstLine="560" w:firstLineChars="200"/>
        <w:rPr>
          <w:bCs/>
        </w:rPr>
      </w:pPr>
      <w:r>
        <w:rPr>
          <w:rFonts w:hint="eastAsia"/>
          <w:bCs/>
        </w:rPr>
        <w:t>（3）开展“点对点”劳务输送，把农民工从“家门口”送到“厂门口”，2021年完成城镇新增就业6.21万人，农村劳动力转移就业16.65万人。</w:t>
      </w:r>
    </w:p>
    <w:p>
      <w:pPr>
        <w:widowControl w:val="0"/>
        <w:adjustRightInd w:val="0"/>
        <w:snapToGrid w:val="0"/>
        <w:spacing w:line="560" w:lineRule="exact"/>
        <w:ind w:firstLine="560" w:firstLineChars="200"/>
        <w:rPr>
          <w:bCs/>
        </w:rPr>
      </w:pPr>
      <w:r>
        <w:rPr>
          <w:rFonts w:hint="eastAsia"/>
          <w:bCs/>
        </w:rPr>
        <w:t>（4）筹备成立了运城市人力资源协会，通过跨区域劳务合作，推动了区域间人力资源合理流动、优势互补，实现共同发展。具体为：组织召开了江苏南通市、陕西渭南市、河南三门峡市、山西临汾市、运城市四省五市2021年“春风行动”区域劳务合作座谈会；运城·昆山人力资源合作对接座谈会；山西运城、浙江衢州、山东垦利人力资源合作座谈会等。</w:t>
      </w:r>
    </w:p>
    <w:p>
      <w:pPr>
        <w:widowControl w:val="0"/>
        <w:adjustRightInd w:val="0"/>
        <w:snapToGrid w:val="0"/>
        <w:spacing w:line="560" w:lineRule="exact"/>
        <w:ind w:firstLine="560" w:firstLineChars="200"/>
        <w:rPr>
          <w:bCs/>
        </w:rPr>
      </w:pPr>
      <w:r>
        <w:rPr>
          <w:rFonts w:hint="eastAsia"/>
          <w:bCs/>
        </w:rPr>
        <w:t>满分5分，根据绩效评价指标，本指标得分5分，得分率100%。</w:t>
      </w:r>
    </w:p>
    <w:p>
      <w:pPr>
        <w:pStyle w:val="7"/>
        <w:widowControl w:val="0"/>
        <w:spacing w:line="560" w:lineRule="exact"/>
        <w:ind w:firstLine="562" w:firstLineChars="200"/>
        <w:outlineLvl w:val="3"/>
        <w:rPr>
          <w:rFonts w:ascii="仿宋" w:eastAsia="仿宋"/>
          <w:kern w:val="0"/>
          <w:sz w:val="28"/>
        </w:rPr>
      </w:pPr>
      <w:r>
        <w:rPr>
          <w:rFonts w:hint="eastAsia" w:ascii="仿宋" w:eastAsia="仿宋"/>
          <w:b/>
          <w:bCs/>
          <w:sz w:val="28"/>
        </w:rPr>
        <w:t>D2-1人力资源建设保障程度</w:t>
      </w:r>
    </w:p>
    <w:p>
      <w:pPr>
        <w:widowControl w:val="0"/>
        <w:autoSpaceDE w:val="0"/>
        <w:autoSpaceDN w:val="0"/>
        <w:adjustRightInd w:val="0"/>
        <w:spacing w:line="560" w:lineRule="exact"/>
        <w:ind w:firstLine="560" w:firstLineChars="200"/>
      </w:pPr>
      <w:r>
        <w:rPr>
          <w:rFonts w:hint="eastAsia"/>
        </w:rPr>
        <w:t>项目单位在干部队伍建设和人才培养、干部和人员培训，对促进运城市人社局部门工作有效开展起到积极作用。具体为：</w:t>
      </w:r>
    </w:p>
    <w:p>
      <w:pPr>
        <w:widowControl w:val="0"/>
        <w:autoSpaceDE w:val="0"/>
        <w:autoSpaceDN w:val="0"/>
        <w:adjustRightInd w:val="0"/>
        <w:spacing w:line="560" w:lineRule="exact"/>
        <w:ind w:firstLine="560" w:firstLineChars="200"/>
      </w:pPr>
      <w:r>
        <w:rPr>
          <w:rFonts w:hint="eastAsia"/>
        </w:rPr>
        <w:t>（1）2021年全市安置高校毕业生13309人，其中面向全国公开引进高素质青年人才457人，事业单位公开招聘2327人，大学生村官招聘732人，持续实施“三支一扶”计划，向基层输送各类人才93人。</w:t>
      </w:r>
    </w:p>
    <w:p>
      <w:pPr>
        <w:widowControl w:val="0"/>
        <w:autoSpaceDE w:val="0"/>
        <w:autoSpaceDN w:val="0"/>
        <w:adjustRightInd w:val="0"/>
        <w:spacing w:line="560" w:lineRule="exact"/>
        <w:ind w:firstLine="560" w:firstLineChars="200"/>
      </w:pPr>
      <w:r>
        <w:rPr>
          <w:rFonts w:hint="eastAsia"/>
        </w:rPr>
        <w:t>（2）项目单位于2021年4月22日向各县人社局、经济技术开发区人力资源部、市局各科室、各单位下达《关于做好2021年人社干部教育培训工作的通知》，培训对象为全市人社系统在编在岗干部，具体培训内容为：</w:t>
      </w:r>
    </w:p>
    <w:p>
      <w:pPr>
        <w:widowControl w:val="0"/>
        <w:autoSpaceDE w:val="0"/>
        <w:autoSpaceDN w:val="0"/>
        <w:adjustRightInd w:val="0"/>
        <w:spacing w:line="560" w:lineRule="exact"/>
        <w:ind w:firstLine="560" w:firstLineChars="200"/>
      </w:pPr>
      <w:r>
        <w:rPr>
          <w:rFonts w:hint="eastAsia"/>
        </w:rPr>
        <w:t>①强化政治理论教育及党性教育，每月开展“党支部“6+”主题党日”活动，完成“山西干部在线学院”学习（全年学时数达到50学时），加强干部的思想政治素质、业务素质和健康素质的培养。</w:t>
      </w:r>
    </w:p>
    <w:p>
      <w:pPr>
        <w:widowControl w:val="0"/>
        <w:autoSpaceDE w:val="0"/>
        <w:autoSpaceDN w:val="0"/>
        <w:adjustRightInd w:val="0"/>
        <w:spacing w:line="560" w:lineRule="exact"/>
        <w:ind w:firstLine="560" w:firstLineChars="200"/>
      </w:pPr>
      <w:r>
        <w:rPr>
          <w:rFonts w:hint="eastAsia"/>
        </w:rPr>
        <w:t>②集中开展人社干部专业能力培训，依托“全国人社干部在线学习平台”，加强人社干部业务培训和能力提升，全年在线学时不少于20学时；组织人社窗口单位开展业务技能练兵比武活动，依托全国人社窗口单位业务技能练兵比武在线学习答题平台，开展“日日学、周周练、月月比”常态化学习，积极参与平台组织的各类答题活动，组织开展时机选拔赛，组建代表队参加全省赛比武活动。</w:t>
      </w:r>
    </w:p>
    <w:p>
      <w:pPr>
        <w:pStyle w:val="7"/>
        <w:widowControl w:val="0"/>
        <w:spacing w:line="560" w:lineRule="exact"/>
        <w:ind w:firstLine="560" w:firstLineChars="200"/>
        <w:rPr>
          <w:rFonts w:ascii="仿宋" w:eastAsia="仿宋"/>
          <w:kern w:val="0"/>
          <w:sz w:val="28"/>
        </w:rPr>
      </w:pPr>
      <w:r>
        <w:rPr>
          <w:rFonts w:hint="eastAsia" w:ascii="仿宋" w:eastAsia="仿宋"/>
          <w:kern w:val="0"/>
          <w:sz w:val="28"/>
        </w:rPr>
        <w:t>满分5分，根据绩效评价指标，本指标得分5分，得分率100%。</w:t>
      </w:r>
    </w:p>
    <w:p>
      <w:pPr>
        <w:pStyle w:val="3"/>
        <w:keepNext w:val="0"/>
        <w:keepLines w:val="0"/>
        <w:widowControl w:val="0"/>
        <w:spacing w:before="0" w:after="0" w:line="560" w:lineRule="exact"/>
        <w:ind w:firstLine="562" w:firstLineChars="200"/>
        <w:rPr>
          <w:sz w:val="28"/>
        </w:rPr>
      </w:pPr>
      <w:bookmarkStart w:id="299" w:name="_Toc2338"/>
      <w:r>
        <w:rPr>
          <w:rFonts w:hint="eastAsia"/>
          <w:sz w:val="28"/>
        </w:rPr>
        <w:t>四、绩效评价结果应用建议</w:t>
      </w:r>
      <w:bookmarkEnd w:id="299"/>
    </w:p>
    <w:p>
      <w:pPr>
        <w:pStyle w:val="7"/>
        <w:widowControl w:val="0"/>
        <w:spacing w:line="560" w:lineRule="exact"/>
        <w:ind w:firstLine="560" w:firstLineChars="200"/>
        <w:rPr>
          <w:rFonts w:ascii="仿宋" w:eastAsia="仿宋"/>
          <w:kern w:val="0"/>
          <w:sz w:val="28"/>
        </w:rPr>
      </w:pPr>
      <w:r>
        <w:rPr>
          <w:rFonts w:hint="eastAsia" w:ascii="仿宋" w:eastAsia="仿宋"/>
          <w:kern w:val="0"/>
          <w:sz w:val="28"/>
        </w:rPr>
        <w:t>（一）加强督促问题整改。将绩效评价结果及时反馈被评价单位，对绩效评价单位下达整改通知书，督促单位对存在的问题及时整改，并反馈整改情况，对整改情况进行跟踪调查。</w:t>
      </w:r>
    </w:p>
    <w:p>
      <w:pPr>
        <w:pStyle w:val="7"/>
        <w:widowControl w:val="0"/>
        <w:spacing w:line="560" w:lineRule="exact"/>
        <w:ind w:firstLine="560" w:firstLineChars="200"/>
        <w:rPr>
          <w:rFonts w:ascii="仿宋" w:eastAsia="仿宋"/>
          <w:kern w:val="0"/>
          <w:sz w:val="28"/>
        </w:rPr>
      </w:pPr>
      <w:r>
        <w:rPr>
          <w:rFonts w:hint="eastAsia" w:ascii="仿宋" w:eastAsia="仿宋"/>
          <w:kern w:val="0"/>
          <w:sz w:val="28"/>
        </w:rPr>
        <w:t>（二）及时公开评价结果。将绩效评价报告在财政局门户网站上向社会公开，接受社会监督。</w:t>
      </w:r>
    </w:p>
    <w:bookmarkEnd w:id="243"/>
    <w:bookmarkEnd w:id="244"/>
    <w:bookmarkEnd w:id="245"/>
    <w:bookmarkEnd w:id="273"/>
    <w:bookmarkEnd w:id="274"/>
    <w:bookmarkEnd w:id="275"/>
    <w:bookmarkEnd w:id="276"/>
    <w:p>
      <w:pPr>
        <w:pStyle w:val="3"/>
        <w:keepNext w:val="0"/>
        <w:keepLines w:val="0"/>
        <w:widowControl w:val="0"/>
        <w:spacing w:before="0" w:after="0" w:line="560" w:lineRule="exact"/>
        <w:ind w:firstLine="562" w:firstLineChars="200"/>
        <w:rPr>
          <w:sz w:val="28"/>
        </w:rPr>
      </w:pPr>
      <w:bookmarkStart w:id="300" w:name="_Toc7991"/>
      <w:bookmarkStart w:id="301" w:name="_Toc14033"/>
      <w:bookmarkStart w:id="302" w:name="_Toc7188"/>
      <w:bookmarkStart w:id="303" w:name="_Toc21101"/>
      <w:bookmarkStart w:id="304" w:name="_Toc26000"/>
      <w:bookmarkStart w:id="305" w:name="_Toc14090"/>
      <w:bookmarkStart w:id="306" w:name="_Toc1480"/>
      <w:bookmarkStart w:id="307" w:name="_Toc24959"/>
      <w:bookmarkStart w:id="308" w:name="_Toc32070"/>
      <w:r>
        <w:rPr>
          <w:rFonts w:hint="eastAsia"/>
          <w:sz w:val="28"/>
        </w:rPr>
        <w:t>五、主要做法、存在的问题和建议</w:t>
      </w:r>
      <w:bookmarkEnd w:id="300"/>
    </w:p>
    <w:p>
      <w:pPr>
        <w:pStyle w:val="4"/>
        <w:keepNext w:val="0"/>
        <w:keepLines w:val="0"/>
        <w:widowControl w:val="0"/>
        <w:spacing w:before="0" w:after="0" w:line="560" w:lineRule="exact"/>
        <w:ind w:firstLine="560" w:firstLineChars="200"/>
        <w:rPr>
          <w:rFonts w:ascii="仿宋" w:hAnsi="仿宋" w:eastAsia="仿宋"/>
          <w:b w:val="0"/>
          <w:bCs/>
          <w:sz w:val="28"/>
        </w:rPr>
      </w:pPr>
      <w:bookmarkStart w:id="309" w:name="_Toc4305"/>
      <w:r>
        <w:rPr>
          <w:rFonts w:hint="eastAsia" w:ascii="仿宋" w:hAnsi="仿宋" w:eastAsia="仿宋"/>
          <w:b w:val="0"/>
          <w:bCs/>
          <w:sz w:val="28"/>
        </w:rPr>
        <w:t>（一）主要经验和做法</w:t>
      </w:r>
      <w:bookmarkEnd w:id="309"/>
    </w:p>
    <w:p>
      <w:pPr>
        <w:widowControl w:val="0"/>
        <w:spacing w:line="560" w:lineRule="exact"/>
        <w:ind w:firstLine="560" w:firstLineChars="200"/>
      </w:pPr>
      <w:r>
        <w:t>1</w:t>
      </w:r>
      <w:r>
        <w:rPr>
          <w:rFonts w:hint="eastAsia"/>
        </w:rPr>
        <w:t>、强化制度建设，夯实管理基础。</w:t>
      </w:r>
    </w:p>
    <w:p>
      <w:pPr>
        <w:widowControl w:val="0"/>
        <w:spacing w:line="560" w:lineRule="exact"/>
        <w:ind w:firstLine="560" w:firstLineChars="200"/>
      </w:pPr>
      <w:r>
        <w:rPr>
          <w:rFonts w:hint="eastAsia"/>
        </w:rPr>
        <w:t xml:space="preserve">运城市人力资源和社会保障局内控制度较为健全，为加强预算管理，制定了相对完善的管理制度，包括政府采购、预决算管理、资产管理、工程建设、财务收支管理等业务和财务管理制度，推动各项工作有序开展。  </w:t>
      </w:r>
    </w:p>
    <w:p>
      <w:pPr>
        <w:widowControl w:val="0"/>
        <w:spacing w:line="560" w:lineRule="exact"/>
        <w:ind w:firstLine="560" w:firstLineChars="200"/>
      </w:pPr>
      <w:r>
        <w:rPr>
          <w:rFonts w:hint="eastAsia"/>
        </w:rPr>
        <w:t>2、规范工程建设程序，提高建设工程透明度。</w:t>
      </w:r>
    </w:p>
    <w:p>
      <w:pPr>
        <w:widowControl w:val="0"/>
        <w:spacing w:line="560" w:lineRule="exact"/>
        <w:ind w:firstLine="560" w:firstLineChars="200"/>
      </w:pPr>
      <w:r>
        <w:rPr>
          <w:rFonts w:hint="eastAsia"/>
        </w:rPr>
        <w:t xml:space="preserve">严格履行项目招投标手续，对建设工程进行招投标；委托专业监理公司，对施工过程进行全程监理；严格履行财政资金评审制度，将项目预算报财政投资评审中心进行评审。 </w:t>
      </w:r>
    </w:p>
    <w:p>
      <w:pPr>
        <w:widowControl w:val="0"/>
        <w:spacing w:line="560" w:lineRule="exact"/>
        <w:ind w:firstLine="560" w:firstLineChars="200"/>
      </w:pPr>
      <w:r>
        <w:rPr>
          <w:rFonts w:hint="eastAsia"/>
        </w:rPr>
        <w:t>3、</w:t>
      </w:r>
      <w:r>
        <w:t>突出作风抓党建，以身作则从严治党。</w:t>
      </w:r>
    </w:p>
    <w:p>
      <w:pPr>
        <w:widowControl w:val="0"/>
        <w:spacing w:line="560" w:lineRule="exact"/>
        <w:ind w:firstLine="560" w:firstLineChars="200"/>
      </w:pPr>
      <w:r>
        <w:t>全面推进党风廉政建设向纵深发展，</w:t>
      </w:r>
      <w:r>
        <w:rPr>
          <w:rFonts w:hint="eastAsia"/>
        </w:rPr>
        <w:t>班子成员</w:t>
      </w:r>
      <w:r>
        <w:t>严以律己，以身作则，严格落实中央八项规定精神，认真开展集体廉政谈话，严肃查处违反和破坏基层党建工作的党员干部，努力营造风清气正、干事创业的政治生态。</w:t>
      </w:r>
    </w:p>
    <w:p>
      <w:pPr>
        <w:pStyle w:val="4"/>
        <w:keepNext w:val="0"/>
        <w:keepLines w:val="0"/>
        <w:widowControl w:val="0"/>
        <w:spacing w:before="0" w:after="0" w:line="550" w:lineRule="exact"/>
        <w:ind w:firstLine="560" w:firstLineChars="200"/>
        <w:rPr>
          <w:rFonts w:ascii="仿宋" w:hAnsi="仿宋" w:eastAsia="仿宋"/>
          <w:b w:val="0"/>
          <w:bCs/>
          <w:sz w:val="28"/>
        </w:rPr>
      </w:pPr>
      <w:bookmarkStart w:id="310" w:name="_Toc3494"/>
      <w:r>
        <w:rPr>
          <w:rFonts w:hint="eastAsia" w:ascii="仿宋" w:hAnsi="仿宋" w:eastAsia="仿宋"/>
          <w:b w:val="0"/>
          <w:bCs/>
          <w:sz w:val="28"/>
        </w:rPr>
        <w:t>（二）存在的问题及建议</w:t>
      </w:r>
      <w:bookmarkEnd w:id="310"/>
    </w:p>
    <w:bookmarkEnd w:id="301"/>
    <w:bookmarkEnd w:id="302"/>
    <w:bookmarkEnd w:id="303"/>
    <w:bookmarkEnd w:id="304"/>
    <w:bookmarkEnd w:id="305"/>
    <w:bookmarkEnd w:id="306"/>
    <w:bookmarkEnd w:id="307"/>
    <w:bookmarkEnd w:id="308"/>
    <w:p>
      <w:pPr>
        <w:widowControl w:val="0"/>
        <w:spacing w:line="560" w:lineRule="exact"/>
        <w:ind w:firstLine="560" w:firstLineChars="200"/>
      </w:pPr>
      <w:r>
        <w:rPr>
          <w:rFonts w:hint="eastAsia"/>
        </w:rPr>
        <w:t>1、运城市人力资源和社会保障局</w:t>
      </w:r>
      <w:r>
        <w:rPr>
          <w:rFonts w:hint="eastAsia"/>
          <w:kern w:val="0"/>
        </w:rPr>
        <w:t>仲裁院实体化建设项目、工资审批和人事计划年报经费、劳动监察专项经费等6个项目</w:t>
      </w:r>
      <w:r>
        <w:rPr>
          <w:rFonts w:hint="eastAsia"/>
        </w:rPr>
        <w:t>绩效目标申报表未细化、量化产出、效益等指标，指标值不清晰，可衡量性不强；绩效自评报告填写不完整（摘要、项目主要经验做法、存在的主要问题及管理建议等未进行描述分析），不利于对项目实施情况进行有效监督和评价。</w:t>
      </w:r>
    </w:p>
    <w:p>
      <w:pPr>
        <w:widowControl w:val="0"/>
        <w:spacing w:line="560" w:lineRule="exact"/>
        <w:ind w:firstLine="560" w:firstLineChars="200"/>
      </w:pPr>
      <w:r>
        <w:rPr>
          <w:rFonts w:hint="eastAsia"/>
        </w:rPr>
        <w:t>建议：</w:t>
      </w:r>
    </w:p>
    <w:p>
      <w:pPr>
        <w:widowControl w:val="0"/>
        <w:spacing w:line="560" w:lineRule="exact"/>
        <w:ind w:firstLine="560" w:firstLineChars="200"/>
      </w:pPr>
      <w:r>
        <w:rPr>
          <w:rFonts w:hint="eastAsia"/>
        </w:rPr>
        <w:t>运城市人力资源和社会保障局要重视绩效管理工作，制定绩效管理制度，根据业务特点制定切实可行的绩效目标，并对照绩效目标总要求，进一步细化分解项目绩效目标，以目标为方向、制度为依据，切实用好财政资金，经济高效地完成项目工作。</w:t>
      </w:r>
    </w:p>
    <w:p>
      <w:pPr>
        <w:widowControl w:val="0"/>
        <w:spacing w:line="560" w:lineRule="exact"/>
        <w:ind w:firstLine="560" w:firstLineChars="200"/>
      </w:pPr>
      <w:r>
        <w:rPr>
          <w:rFonts w:hint="eastAsia"/>
        </w:rPr>
        <w:t>项目完成后，及时编制绩效自评报告，详细完整描述项目实施情况、主要产出和效益、项目主要经验、存在问题及改进措施等。</w:t>
      </w:r>
    </w:p>
    <w:p>
      <w:pPr>
        <w:widowControl w:val="0"/>
        <w:spacing w:line="560" w:lineRule="exact"/>
        <w:ind w:firstLine="560" w:firstLineChars="200"/>
      </w:pPr>
      <w:r>
        <w:rPr>
          <w:rFonts w:hint="eastAsia"/>
        </w:rPr>
        <w:t>2、项目单位资产管理存在不规范事项，具体为：</w:t>
      </w:r>
    </w:p>
    <w:p>
      <w:pPr>
        <w:widowControl w:val="0"/>
        <w:spacing w:line="560" w:lineRule="exact"/>
        <w:ind w:firstLine="560" w:firstLineChars="200"/>
      </w:pPr>
      <w:r>
        <w:rPr>
          <w:rFonts w:hint="eastAsia"/>
        </w:rPr>
        <w:t>（</w:t>
      </w:r>
      <w:r>
        <w:t>1</w:t>
      </w:r>
      <w:r>
        <w:rPr>
          <w:rFonts w:hint="eastAsia"/>
        </w:rPr>
        <w:t>）在制度执行过程中，该单位及局属事业单位未按制度规定对固定资产每年度进行一次全面清查盘点，年底盘点时未保留纸质盘点记录，固定资产实物上未粘贴《固定资产卡片》，资产盘点制度执行不到位。</w:t>
      </w:r>
    </w:p>
    <w:p>
      <w:pPr>
        <w:widowControl w:val="0"/>
        <w:spacing w:line="560" w:lineRule="exact"/>
        <w:ind w:firstLine="560" w:firstLineChars="200"/>
      </w:pPr>
      <w:r>
        <w:rPr>
          <w:rFonts w:hint="eastAsia"/>
        </w:rPr>
        <w:t>（2）该单位部分资产卡片信息不完整，部分资产未录入使用部门和存放地点等。</w:t>
      </w:r>
    </w:p>
    <w:p>
      <w:pPr>
        <w:widowControl w:val="0"/>
        <w:spacing w:line="560" w:lineRule="exact"/>
        <w:ind w:firstLine="560" w:firstLineChars="200"/>
      </w:pPr>
      <w:r>
        <w:rPr>
          <w:rFonts w:hint="eastAsia"/>
        </w:rPr>
        <w:t>建议：对固定资产进行编码登记，规范固定资产标签管理，核实固定资产存放位置，定期对固定资产进行盘点并分析差异原因；完善固定资产划拨手续，及时进行账务处理，纳入固定资产账簿管理，确保资产管理数据真实、完整、准确，避免国有资产流失。</w:t>
      </w:r>
    </w:p>
    <w:p>
      <w:pPr>
        <w:widowControl w:val="0"/>
        <w:spacing w:line="560" w:lineRule="exact"/>
        <w:ind w:firstLine="560" w:firstLineChars="200"/>
      </w:pPr>
      <w:r>
        <w:rPr>
          <w:rFonts w:hint="eastAsia"/>
        </w:rPr>
        <w:t>3、实际使用资金低于年初预算资金总额，预算执行率不高，具体为：</w:t>
      </w:r>
    </w:p>
    <w:p>
      <w:pPr>
        <w:widowControl w:val="0"/>
        <w:spacing w:line="560" w:lineRule="exact"/>
        <w:ind w:firstLine="560" w:firstLineChars="200"/>
      </w:pPr>
      <w:r>
        <w:rPr>
          <w:rFonts w:hint="eastAsia"/>
          <w:kern w:val="0"/>
        </w:rPr>
        <w:t>2021年运城市人力资源和社会保障局可支配资金5,916.61万元（不含欠薪应急周转金500万元），实际支出5,409.65万元，预算执行率91.43%。</w:t>
      </w:r>
      <w:r>
        <w:rPr>
          <w:rFonts w:hint="eastAsia"/>
        </w:rPr>
        <w:t>经分析，预算执行率较低主要原因为：由于职业技能培训机构未及时提交补贴资料，导致预算资金无法支付，市社保基金（职业技能提升资金）年末结转496.51万元。</w:t>
      </w:r>
    </w:p>
    <w:p>
      <w:pPr>
        <w:widowControl w:val="0"/>
        <w:spacing w:line="560" w:lineRule="exact"/>
        <w:ind w:firstLine="560" w:firstLineChars="200"/>
      </w:pPr>
      <w:r>
        <w:rPr>
          <w:rFonts w:hint="eastAsia"/>
        </w:rPr>
        <w:t>建议：</w:t>
      </w:r>
    </w:p>
    <w:p>
      <w:pPr>
        <w:widowControl w:val="0"/>
        <w:spacing w:line="560" w:lineRule="exact"/>
        <w:ind w:firstLine="560" w:firstLineChars="200"/>
      </w:pPr>
      <w:r>
        <w:rPr>
          <w:rFonts w:hint="eastAsia"/>
        </w:rPr>
        <w:t>项目单位要转变管理模式，建立培训机构工作限时办结制度，要求培训机构限时提交培训审核资料，避免工作拖沓影响资金支付进度，造成预算资金长期结转。对于不能在规定时间提交审核资料的培训机构，按照制度给予相应处罚。</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rPr>
        <w:sectPr>
          <w:headerReference r:id="rId8" w:type="first"/>
          <w:footerReference r:id="rId10" w:type="first"/>
          <w:headerReference r:id="rId7" w:type="default"/>
          <w:footerReference r:id="rId9" w:type="default"/>
          <w:pgSz w:w="11906" w:h="16838"/>
          <w:pgMar w:top="1247" w:right="1701" w:bottom="1247" w:left="1701" w:header="851" w:footer="850" w:gutter="0"/>
          <w:cols w:space="720" w:num="1"/>
          <w:titlePg/>
          <w:docGrid w:type="lines" w:linePitch="381" w:charSpace="0"/>
        </w:sectPr>
      </w:pPr>
    </w:p>
    <w:p>
      <w:pPr>
        <w:spacing w:after="190" w:afterLines="50" w:line="560" w:lineRule="exact"/>
        <w:outlineLvl w:val="0"/>
        <w:rPr>
          <w:b/>
        </w:rPr>
      </w:pPr>
      <w:bookmarkStart w:id="311" w:name="_Toc6828"/>
      <w:r>
        <w:rPr>
          <w:rFonts w:hint="eastAsia"/>
          <w:b/>
        </w:rPr>
        <w:t>附件1：                                   项目支出资金一览表</w:t>
      </w:r>
      <w:bookmarkEnd w:id="311"/>
    </w:p>
    <w:tbl>
      <w:tblPr>
        <w:tblStyle w:val="19"/>
        <w:tblW w:w="0" w:type="auto"/>
        <w:tblInd w:w="96" w:type="dxa"/>
        <w:tblLayout w:type="fixed"/>
        <w:tblCellMar>
          <w:top w:w="0" w:type="dxa"/>
          <w:left w:w="108" w:type="dxa"/>
          <w:bottom w:w="0" w:type="dxa"/>
          <w:right w:w="108" w:type="dxa"/>
        </w:tblCellMar>
      </w:tblPr>
      <w:tblGrid>
        <w:gridCol w:w="4766"/>
        <w:gridCol w:w="1493"/>
        <w:gridCol w:w="1440"/>
        <w:gridCol w:w="1600"/>
        <w:gridCol w:w="1467"/>
        <w:gridCol w:w="1360"/>
        <w:gridCol w:w="1352"/>
        <w:gridCol w:w="778"/>
      </w:tblGrid>
      <w:tr>
        <w:tblPrEx>
          <w:tblCellMar>
            <w:top w:w="0" w:type="dxa"/>
            <w:left w:w="108" w:type="dxa"/>
            <w:bottom w:w="0" w:type="dxa"/>
            <w:right w:w="108" w:type="dxa"/>
          </w:tblCellMar>
        </w:tblPrEx>
        <w:trPr>
          <w:trHeight w:val="397" w:hRule="atLeast"/>
          <w:tblHeader/>
        </w:trPr>
        <w:tc>
          <w:tcPr>
            <w:tcW w:w="4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b/>
                <w:bCs/>
                <w:color w:val="000000"/>
                <w:kern w:val="0"/>
                <w:sz w:val="20"/>
                <w:szCs w:val="20"/>
                <w:lang w:bidi="ar"/>
              </w:rPr>
              <w:t>项目</w:t>
            </w: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b/>
                <w:bCs/>
                <w:color w:val="000000"/>
                <w:kern w:val="0"/>
                <w:sz w:val="20"/>
                <w:szCs w:val="20"/>
                <w:lang w:bidi="ar"/>
              </w:rPr>
              <w:t>资金来源</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本年支出</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年末结余</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备注</w:t>
            </w:r>
          </w:p>
        </w:tc>
      </w:tr>
      <w:tr>
        <w:tblPrEx>
          <w:tblCellMar>
            <w:top w:w="0" w:type="dxa"/>
            <w:left w:w="108" w:type="dxa"/>
            <w:bottom w:w="0" w:type="dxa"/>
            <w:right w:w="108" w:type="dxa"/>
          </w:tblCellMar>
        </w:tblPrEx>
        <w:trPr>
          <w:trHeight w:val="397" w:hRule="atLeast"/>
          <w:tblHeader/>
        </w:trPr>
        <w:tc>
          <w:tcPr>
            <w:tcW w:w="4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b/>
                <w:bCs/>
                <w:color w:val="000000"/>
                <w:kern w:val="0"/>
                <w:sz w:val="20"/>
                <w:szCs w:val="20"/>
                <w:lang w:bidi="ar"/>
              </w:rPr>
              <w:t>合计</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年初结转和结余</w:t>
            </w:r>
          </w:p>
        </w:tc>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本年收入</w:t>
            </w: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r>
      <w:tr>
        <w:tblPrEx>
          <w:tblCellMar>
            <w:top w:w="0" w:type="dxa"/>
            <w:left w:w="108" w:type="dxa"/>
            <w:bottom w:w="0" w:type="dxa"/>
            <w:right w:w="108" w:type="dxa"/>
          </w:tblCellMar>
        </w:tblPrEx>
        <w:trPr>
          <w:trHeight w:val="397" w:hRule="atLeast"/>
          <w:tblHeader/>
        </w:trPr>
        <w:tc>
          <w:tcPr>
            <w:tcW w:w="4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财政拨款预算收入</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其他收入</w:t>
            </w: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总</w:t>
            </w:r>
            <w:r>
              <w:rPr>
                <w:rFonts w:ascii="Arial Narrow" w:hAnsi="Arial Narrow" w:eastAsia="Arial Narrow" w:cs="Arial Narrow"/>
                <w:b/>
                <w:bCs/>
                <w:color w:val="000000"/>
                <w:kern w:val="0"/>
                <w:sz w:val="20"/>
                <w:szCs w:val="20"/>
                <w:lang w:bidi="ar"/>
              </w:rPr>
              <w:t xml:space="preserve">  </w:t>
            </w:r>
            <w:r>
              <w:rPr>
                <w:rFonts w:hint="eastAsia"/>
                <w:b/>
                <w:bCs/>
                <w:color w:val="000000"/>
                <w:kern w:val="0"/>
                <w:sz w:val="20"/>
                <w:szCs w:val="20"/>
                <w:lang w:bidi="ar"/>
              </w:rPr>
              <w:t>计</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64,166,066.61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5,303,400.42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29,535,765.30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29,326,900.89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54,096,448.55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10,069,618.06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bCs/>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基本支出（合计）</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14,593,846.25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115,200.42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14,463,194.94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15,450.89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14,578,938.19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14,908.06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工资部分</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13,053,589.68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13,053,589.68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13,053,589.68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公用经费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1,540,256.57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115,200.42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1,409,605.26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15,450.89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1,525,348.51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14,908.06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b/>
                <w:bCs/>
                <w:color w:val="000000"/>
                <w:sz w:val="20"/>
                <w:szCs w:val="20"/>
              </w:rPr>
            </w:pPr>
            <w:r>
              <w:rPr>
                <w:rFonts w:hint="eastAsia"/>
                <w:b/>
                <w:bCs/>
                <w:color w:val="000000"/>
                <w:kern w:val="0"/>
                <w:sz w:val="20"/>
                <w:szCs w:val="20"/>
                <w:lang w:bidi="ar"/>
              </w:rPr>
              <w:t>项目支出（合计）</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49,572,220.36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5,188,200.00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15,072,570.36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29,311,450.00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39,517,510.36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10,054,710.00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  </w:t>
            </w:r>
            <w:r>
              <w:rPr>
                <w:rFonts w:hint="eastAsia"/>
                <w:b/>
                <w:bCs/>
                <w:color w:val="000000"/>
                <w:kern w:val="0"/>
                <w:sz w:val="20"/>
                <w:szCs w:val="20"/>
                <w:lang w:bidi="ar"/>
              </w:rPr>
              <w:t>本级财力小计</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17,185,170.36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2,112,600.00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15,072,570.36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17,185,170.36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    </w:t>
            </w:r>
            <w:r>
              <w:rPr>
                <w:rFonts w:hint="eastAsia"/>
                <w:b/>
                <w:bCs/>
                <w:color w:val="000000"/>
                <w:kern w:val="0"/>
                <w:sz w:val="20"/>
                <w:szCs w:val="20"/>
                <w:lang w:bidi="ar"/>
              </w:rPr>
              <w:t>年初预算小计</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1,847,106.99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1,847,106.99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1,847,106.99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     </w:t>
            </w:r>
            <w:r>
              <w:rPr>
                <w:b/>
                <w:bCs/>
                <w:color w:val="000000"/>
                <w:kern w:val="0"/>
                <w:sz w:val="20"/>
                <w:szCs w:val="20"/>
                <w:lang w:bidi="ar"/>
              </w:rPr>
              <w:t>其中：</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劳动监察专项经费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149,682.04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149,682.04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149,682.04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金保工程</w:t>
            </w:r>
            <w:r>
              <w:rPr>
                <w:rFonts w:ascii="Arial Narrow" w:hAnsi="Arial Narrow" w:eastAsia="Arial Narrow" w:cs="Arial Narrow"/>
                <w:color w:val="000000"/>
                <w:kern w:val="0"/>
                <w:sz w:val="20"/>
                <w:szCs w:val="20"/>
                <w:lang w:bidi="ar"/>
              </w:rPr>
              <w:t>“</w:t>
            </w:r>
            <w:r>
              <w:rPr>
                <w:rFonts w:hint="eastAsia"/>
                <w:color w:val="000000"/>
                <w:kern w:val="0"/>
                <w:sz w:val="20"/>
                <w:szCs w:val="20"/>
                <w:lang w:bidi="ar"/>
              </w:rPr>
              <w:t>一卡通</w:t>
            </w:r>
            <w:r>
              <w:rPr>
                <w:rFonts w:ascii="Arial Narrow" w:hAnsi="Arial Narrow" w:eastAsia="Arial Narrow" w:cs="Arial Narrow"/>
                <w:color w:val="000000"/>
                <w:kern w:val="0"/>
                <w:sz w:val="20"/>
                <w:szCs w:val="20"/>
                <w:lang w:bidi="ar"/>
              </w:rPr>
              <w:t>”</w:t>
            </w:r>
            <w:r>
              <w:rPr>
                <w:rFonts w:hint="eastAsia"/>
                <w:color w:val="000000"/>
                <w:kern w:val="0"/>
                <w:sz w:val="20"/>
                <w:szCs w:val="20"/>
                <w:lang w:bidi="ar"/>
              </w:rPr>
              <w:t>专项经费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1,413,361.11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1,413,361.11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1,413,361.11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仲裁专项经费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75,623.24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75,623.24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75,623.24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仲裁院实体化建设</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96,402.00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96,402.00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96,402.00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工资审批、人事计划年报经费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18,088.60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18,088.60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18,088.60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三支一扶</w:t>
            </w:r>
            <w:r>
              <w:rPr>
                <w:rFonts w:ascii="Arial Narrow" w:hAnsi="Arial Narrow" w:eastAsia="Arial Narrow" w:cs="Arial Narrow"/>
                <w:color w:val="000000"/>
                <w:kern w:val="0"/>
                <w:sz w:val="20"/>
                <w:szCs w:val="20"/>
                <w:lang w:bidi="ar"/>
              </w:rPr>
              <w:t>”</w:t>
            </w:r>
            <w:r>
              <w:rPr>
                <w:rFonts w:hint="eastAsia"/>
                <w:color w:val="000000"/>
                <w:kern w:val="0"/>
                <w:sz w:val="20"/>
                <w:szCs w:val="20"/>
                <w:lang w:bidi="ar"/>
              </w:rPr>
              <w:t>工作经费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93,950.00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93,950.00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93,950.00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    </w:t>
            </w:r>
            <w:r>
              <w:rPr>
                <w:rFonts w:hint="eastAsia"/>
                <w:b/>
                <w:bCs/>
                <w:color w:val="000000"/>
                <w:kern w:val="0"/>
                <w:sz w:val="20"/>
                <w:szCs w:val="20"/>
                <w:lang w:bidi="ar"/>
              </w:rPr>
              <w:t>追加预算小计</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15,338,063.37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2,112,600.00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13,225,463.37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15,338,063.37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     </w:t>
            </w:r>
            <w:r>
              <w:rPr>
                <w:rFonts w:hint="eastAsia"/>
                <w:b/>
                <w:bCs/>
                <w:color w:val="000000"/>
                <w:kern w:val="0"/>
                <w:sz w:val="20"/>
                <w:szCs w:val="20"/>
                <w:lang w:bidi="ar"/>
              </w:rPr>
              <w:t>其中：</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引进高素质青年人才租房补贴资金</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5,000.00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5,000.00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5,000.00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精神文明奖</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813,453.82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813,453.82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813,453.82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600" w:hanging="600" w:hangingChars="300"/>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学生资助补助经费（中职助学金、中职免学费、国家助学金）</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8,214,850.00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8,214,850.00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8,214,850.00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保障农民工工资支付考核专项经费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183,639.00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183,639.00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183,639.00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引进高素质青年人才考务费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292,040.50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292,040.50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292,040.50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省职业技能鉴定中心转拨资格审查费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112,600.00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112,600.00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112,600.00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就业和创业专项资金</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800,000.00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800,000.00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800,000.00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运城市</w:t>
            </w:r>
            <w:r>
              <w:rPr>
                <w:rFonts w:ascii="Arial Narrow" w:hAnsi="Arial Narrow" w:eastAsia="Arial Narrow" w:cs="Arial Narrow"/>
                <w:color w:val="000000"/>
                <w:kern w:val="0"/>
                <w:sz w:val="20"/>
                <w:szCs w:val="20"/>
                <w:lang w:bidi="ar"/>
              </w:rPr>
              <w:t>“</w:t>
            </w:r>
            <w:r>
              <w:rPr>
                <w:rFonts w:hint="eastAsia"/>
                <w:color w:val="000000"/>
                <w:kern w:val="0"/>
                <w:sz w:val="20"/>
                <w:szCs w:val="20"/>
                <w:lang w:bidi="ar"/>
              </w:rPr>
              <w:t>十四五</w:t>
            </w:r>
            <w:r>
              <w:rPr>
                <w:rFonts w:ascii="Arial Narrow" w:hAnsi="Arial Narrow" w:eastAsia="Arial Narrow" w:cs="Arial Narrow"/>
                <w:color w:val="000000"/>
                <w:kern w:val="0"/>
                <w:sz w:val="20"/>
                <w:szCs w:val="20"/>
                <w:lang w:bidi="ar"/>
              </w:rPr>
              <w:t>”</w:t>
            </w:r>
            <w:r>
              <w:rPr>
                <w:rFonts w:hint="eastAsia"/>
                <w:color w:val="000000"/>
                <w:kern w:val="0"/>
                <w:sz w:val="20"/>
                <w:szCs w:val="20"/>
                <w:lang w:bidi="ar"/>
              </w:rPr>
              <w:t>人才智力支撑规划工作经费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61,000.00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61,000.00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61,000.00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技能运城</w:t>
            </w:r>
            <w:r>
              <w:rPr>
                <w:rFonts w:ascii="Arial Narrow" w:hAnsi="Arial Narrow" w:eastAsia="Arial Narrow" w:cs="Arial Narrow"/>
                <w:color w:val="000000"/>
                <w:kern w:val="0"/>
                <w:sz w:val="20"/>
                <w:szCs w:val="20"/>
                <w:lang w:bidi="ar"/>
              </w:rPr>
              <w:t>”</w:t>
            </w:r>
            <w:r>
              <w:rPr>
                <w:rFonts w:hint="eastAsia"/>
                <w:color w:val="000000"/>
                <w:kern w:val="0"/>
                <w:sz w:val="20"/>
                <w:szCs w:val="20"/>
                <w:lang w:bidi="ar"/>
              </w:rPr>
              <w:t>建设工作经费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669,231.05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669,231.05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669,231.05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乡村振兴驻村帮扶工作经费和生活补助资金</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99,049.00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99,049.00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99,049.00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目标责任考核奖励资金</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2,087,200.00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2,087,200.00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2,087,200.00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欠薪应急周转金</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2,000,000.00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2,000,000.00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2,000,000.00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 </w:t>
            </w:r>
            <w:r>
              <w:rPr>
                <w:rFonts w:hint="eastAsia"/>
                <w:b/>
                <w:bCs/>
                <w:color w:val="000000"/>
                <w:kern w:val="0"/>
                <w:sz w:val="20"/>
                <w:szCs w:val="20"/>
                <w:lang w:bidi="ar"/>
              </w:rPr>
              <w:t>非同级财政拨款小计</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32,387,050.00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3,075,600.00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b/>
                <w:bCs/>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29,311,450.00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22,332,340.00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10,054,710.00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b/>
                <w:bCs/>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b/>
                <w:bCs/>
                <w:color w:val="000000"/>
                <w:sz w:val="20"/>
                <w:szCs w:val="20"/>
              </w:rPr>
            </w:pPr>
            <w:r>
              <w:rPr>
                <w:rFonts w:ascii="Arial Narrow" w:hAnsi="Arial Narrow" w:eastAsia="Arial Narrow" w:cs="Arial Narrow"/>
                <w:b/>
                <w:bCs/>
                <w:color w:val="000000"/>
                <w:kern w:val="0"/>
                <w:sz w:val="20"/>
                <w:szCs w:val="20"/>
                <w:lang w:bidi="ar"/>
              </w:rPr>
              <w:t xml:space="preserve">   </w:t>
            </w:r>
            <w:r>
              <w:rPr>
                <w:rFonts w:hint="eastAsia"/>
                <w:b/>
                <w:bCs/>
                <w:color w:val="000000"/>
                <w:kern w:val="0"/>
                <w:sz w:val="20"/>
                <w:szCs w:val="20"/>
                <w:lang w:bidi="ar"/>
              </w:rPr>
              <w:t>其中：</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b/>
                <w:bCs/>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b/>
                <w:bCs/>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b/>
                <w:bCs/>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b/>
                <w:bCs/>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b/>
                <w:bCs/>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b/>
                <w:bCs/>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特贴款</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226,800.00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75,600.00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151,200.00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151,200.00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75,600.00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省人社厅转拨失业动态资金</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30,840.00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30,840.00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30,840.00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600" w:hanging="600" w:hangingChars="300"/>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市社保基金财政专户拨第一批职业技能提升资金</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27,110,410.00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27,110,410.00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22,145,300.00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4,965,110.00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欠薪应急周转金</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5,000,000.00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3,000,000.00 </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2,000,000.00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5,000,000.00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市老干局拨老干部党支部工作经费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5,000.00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5,000.00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5,000.00 </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Arial Narrow" w:hAnsi="Arial Narrow" w:eastAsia="Arial Narrow" w:cs="Arial Narrow"/>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r>
        <w:tblPrEx>
          <w:tblCellMar>
            <w:top w:w="0" w:type="dxa"/>
            <w:left w:w="108" w:type="dxa"/>
            <w:bottom w:w="0" w:type="dxa"/>
            <w:right w:w="108" w:type="dxa"/>
          </w:tblCellMar>
        </w:tblPrEx>
        <w:trPr>
          <w:trHeight w:val="3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      </w:t>
            </w:r>
            <w:r>
              <w:rPr>
                <w:rFonts w:hint="eastAsia"/>
                <w:color w:val="000000"/>
                <w:kern w:val="0"/>
                <w:sz w:val="20"/>
                <w:szCs w:val="20"/>
                <w:lang w:bidi="ar"/>
              </w:rPr>
              <w:t>企业薪酬调查经费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14,000.00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14,000.00 </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lang w:bidi="ar"/>
              </w:rPr>
              <w:t xml:space="preserve">14,000.00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Narrow" w:hAnsi="Arial Narrow" w:eastAsia="Arial Narrow" w:cs="Arial Narrow"/>
                <w:color w:val="000000"/>
                <w:sz w:val="20"/>
                <w:szCs w:val="20"/>
              </w:rPr>
            </w:pPr>
          </w:p>
        </w:tc>
      </w:tr>
    </w:tbl>
    <w:p>
      <w:pPr>
        <w:pStyle w:val="7"/>
        <w:widowControl w:val="0"/>
        <w:wordWrap w:val="0"/>
        <w:spacing w:line="560" w:lineRule="exact"/>
        <w:ind w:firstLine="560" w:firstLineChars="200"/>
        <w:jc w:val="right"/>
        <w:rPr>
          <w:rFonts w:ascii="仿宋" w:eastAsia="仿宋"/>
          <w:sz w:val="28"/>
        </w:rPr>
        <w:sectPr>
          <w:pgSz w:w="16838" w:h="11906" w:orient="landscape"/>
          <w:pgMar w:top="1701" w:right="1247" w:bottom="1701" w:left="1247" w:header="851" w:footer="850" w:gutter="0"/>
          <w:cols w:space="720" w:num="1"/>
          <w:titlePg/>
          <w:docGrid w:type="lines" w:linePitch="381" w:charSpace="0"/>
        </w:sectPr>
      </w:pPr>
    </w:p>
    <w:p>
      <w:pPr>
        <w:spacing w:after="240"/>
        <w:outlineLvl w:val="0"/>
        <w:rPr>
          <w:rFonts w:hint="eastAsia"/>
          <w:b/>
        </w:rPr>
      </w:pPr>
      <w:bookmarkStart w:id="312" w:name="_Toc16313"/>
      <w:bookmarkStart w:id="313" w:name="_Toc7183"/>
      <w:bookmarkStart w:id="314" w:name="_Toc576"/>
      <w:r>
        <w:rPr>
          <w:rFonts w:hint="eastAsia"/>
          <w:b/>
        </w:rPr>
        <w:t>附件2：                           部门整体支出项目绩效评价指标体系及得分</w:t>
      </w:r>
      <w:bookmarkEnd w:id="312"/>
    </w:p>
    <w:tbl>
      <w:tblPr>
        <w:tblStyle w:val="1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0"/>
        <w:gridCol w:w="760"/>
        <w:gridCol w:w="760"/>
        <w:gridCol w:w="760"/>
        <w:gridCol w:w="1386"/>
        <w:gridCol w:w="760"/>
        <w:gridCol w:w="3181"/>
        <w:gridCol w:w="5423"/>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blHeader/>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一级指标</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分值</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二级指标</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分值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三级指标</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分值</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指标解释</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评价标准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履职效能</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目标任务设定</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目标任务设定情况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评价部门年度工作目标设定的依据充分性、科学性、合理性等方面的情况。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①部门年度工作目标依据充分，符合部门工作实际情况，得1分，否则不得分；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②部门年度工作目标清晰、可衡量，具备量化和定性任务，得1分，否则不得分；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③部门年度工作目标与年度任务数或计划数相对应，得1分，否则不得分。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目标任务实现情况</w:t>
            </w:r>
          </w:p>
        </w:tc>
        <w:tc>
          <w:tcPr>
            <w:tcW w:w="261" w:type="pct"/>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金保工程信息化建设任务完成情况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考核金保工程（保险、公共就业服务、劳动监察、基金监督等信息系统“一卡通”）信息化建设任务完成情况。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按计划实施完成信息网络建设、硬件设备购置工作的，得3分；未完成的，根据完成情况酌情扣分。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仲裁庭实体化建设任务完成情况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考核仲裁庭实体化建设任务完成情况。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按计划实施完成仲裁庭实体化建设任务（仲裁庭改造、办公设备购置等）的，得3分；未完成的，根据实际完成情况酌情扣分。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中等职业教育免学费与助学金补助工作完成情况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考核中等职业教育免学费与助学金补助任务完成情况。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按计划实施完成中等职业教育免学费与助学金补助任务的，得4分；未完成的，根据实际完成情况酌情扣分。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职业技能培训工作完成情况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评价部门2021年度职业技能培训工作完成情况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按计划完成2021年度职业技能培训工作的（职业技能培训人数、新增技能人才、新增高技能人才等），得4分；未完成的，根据完成情况酌情扣分。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人事人才建设工作完成情况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评价部门2021年度人事人才建设工作完成情况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按计划完成2021年度人事人才建设工作（人才培训、人事考试、人才招聘等），得4分；未完成的，根据完成情况酌情扣分。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劳动维权工作完成情况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评价部门2021年度劳动维权工作完成情况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按计划完成2021年度劳动维权工作的（办结劳动争议仲裁案件、拖欠工资案件等），得3分；未完成的，根据完成情况酌情扣分。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核心业务</w:t>
            </w:r>
          </w:p>
        </w:tc>
        <w:tc>
          <w:tcPr>
            <w:tcW w:w="261" w:type="pct"/>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就业创业促进工作完成情况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评价部门2021年度运城市就业创业促进工作完成情况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按计划完成2021年度就业创业促进工作的（健全就业创业机制、群众就业帮扶、深化校企合作、加大劳务输出等），得4分；未完成的，根据完成情况酌情扣分。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社会保险推进工作完成情况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评价部门2021年度社会保险推进工作完成情况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按计划完成2021年度社会保险推进工作的（推动落实全民参保、援企稳岗等政策，基本实现应保尽保），得4分；未完成的，根据完成情况酌情扣分。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基础管理</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依法行政</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评价部门依法行政、科学决策、执法监督等方面的开展情况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依据权责清单目录逐项检查，核实部门在执行行政权力等方面，能够按照相关法律法规依法行政(劳动维权、劳动监察、社保发放等），得2分，否则不得分。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管理制度健全性</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评价部门的业务管理制度是否健全，用以反映和考核部门制度建设情况。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①制定或具有相应的业务管理制度和流程，得1分，否则不得分；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②业务管理制度和流程合法、合规、完整，得1分，否则不得分。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制度执行有效性</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评价部门职责履行是否符合相关业务管理规定，用以反映和考核部门制度执行情况。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各项工作均按照相关法律法规、业务管理制度和工作流程执行，得4分，每发现一项不符合相关制度规定，扣0.5分，扣完为止。</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261" w:type="pct"/>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管理效率</w:t>
            </w:r>
          </w:p>
        </w:tc>
        <w:tc>
          <w:tcPr>
            <w:tcW w:w="261" w:type="pct"/>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261"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预算管理</w:t>
            </w:r>
          </w:p>
        </w:tc>
        <w:tc>
          <w:tcPr>
            <w:tcW w:w="261"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预算编制管理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2021年预算资金分配管理等方面的情况，包括：部门编制的预算是否符合财政部门预算编制要求；预算较上年增减变动是否符合部门履职需要；“三公经费”预算数与上年度预算数的变动比率；本年度实际在职人员数与编制数的比率。</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①部门预算符合《预算法》及财政部门预算编制要求，得0.5分，否则不得分；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②部门预算收支范围及方向均有相应的法规依据的，得0.5分，否则不得分；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③部门预算较上年增减变动，符合部门履职需要，得1分，否则不得分；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④三公经费变动率小于或等于0的得1分，三公经费变动率大于0的不得分。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⑤在职人员控制率小于或等于1的得1分，在职人员控制率大于1的不得分。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预算执行管理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预门预算支出执行等方面的情况，包括：预算执行率、预算调整率、支付进度率、结转结余变动率、公用经费控制率、“三公经费”控制率、重点支出安排率，用以反映部门对执行2021年度预算资金支出的实际控制程度。</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通过对部门预算支出各方面进行评价，确定部门预算支出执行实现情况；总分10分。具体分为：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①预算执行率：大于或等于95%的得2分，小于或等于90%的得0分，在90%-95%之间的、在0分和2分之间按比例计算确定。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②预算调整率：等于0的得1分，大于或等于10%的得0分，在0-10%之间的、在0分和1分之间按比例计算确定。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支付进度率：按每一季度的执行情况分别打分，每季度分值0.5分，总分值2分。以省财政厅的计算口径序时进度的98%为标准支付进度率，依据部门每个季度末的实际支付进度率与标准支付进度率进行比较。实际支付进度率减标准支付进度率差额大于或等于0得0.5分，差额小于-5%得0分，差额在-5%-0之间的，在0分和0.5分之间按比例计算确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④结转结余变动率：小于或等于0的得1分，大于或等于50%的得0分，在0-50%之间的、在0分和1分之间按比例计算确定；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⑤公用经费控制率：小于或等于100%的得1分，大于或等于100%的得0分；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⑥“三公经费”控制率：小于或等于100%的得1分，超过100%得0分；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⑦重点支出安排率：大于或等于85%的得1分，小于或等于50%的得0分，在50%-85%之间的、在0分和1分之间按比例计算确定。</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预算监督管理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评价部门接受预算监督检查的合格情况，用以反映部门预算工作合规情况。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依据运城市财政局或其他部门对运城市人力资源和社会保障局预算监督结果，监督检查结果合格，或及时对检查结果进行整改的，得1分，否则不得分。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trPr>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预算绩效管理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从绩效管理工作方案的制定、绩效目标的设定、绩效监控、绩效评价等方面评价部门预算绩效管理情况。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①部门内部制定了本单位的绩效管理工作方案，得0.5分，否则不得分；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②针对项目支出申报了绩效目标申报表，将绩效目标分解为具体的绩效指标</w:t>
            </w:r>
            <w:r>
              <w:rPr>
                <w:rFonts w:hint="eastAsia" w:cs="仿宋"/>
                <w:i w:val="0"/>
                <w:iCs w:val="0"/>
                <w:color w:val="000000"/>
                <w:kern w:val="0"/>
                <w:sz w:val="20"/>
                <w:szCs w:val="20"/>
                <w:u w:val="none"/>
                <w:lang w:val="en-US" w:eastAsia="zh-CN" w:bidi="ar"/>
              </w:rPr>
              <w:t>，</w:t>
            </w:r>
            <w:r>
              <w:rPr>
                <w:rFonts w:hint="eastAsia" w:ascii="仿宋" w:hAnsi="仿宋" w:eastAsia="仿宋" w:cs="仿宋"/>
                <w:i w:val="0"/>
                <w:iCs w:val="0"/>
                <w:color w:val="000000"/>
                <w:kern w:val="0"/>
                <w:sz w:val="20"/>
                <w:szCs w:val="20"/>
                <w:u w:val="none"/>
                <w:lang w:val="en-US" w:eastAsia="zh-CN" w:bidi="ar"/>
              </w:rPr>
              <w:t>指标值清晰、可衡量得0.5分，缺1项扣0.1分，扣完为止；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③编报了部门整体支出绩效目标申报表</w:t>
            </w:r>
            <w:r>
              <w:rPr>
                <w:rFonts w:hint="eastAsia" w:cs="仿宋"/>
                <w:i w:val="0"/>
                <w:iCs w:val="0"/>
                <w:color w:val="000000"/>
                <w:kern w:val="0"/>
                <w:sz w:val="20"/>
                <w:szCs w:val="20"/>
                <w:u w:val="none"/>
                <w:lang w:val="en-US" w:eastAsia="zh-CN" w:bidi="ar"/>
              </w:rPr>
              <w:t>且规范</w:t>
            </w:r>
            <w:r>
              <w:rPr>
                <w:rFonts w:hint="eastAsia" w:ascii="仿宋" w:hAnsi="仿宋" w:eastAsia="仿宋" w:cs="仿宋"/>
                <w:i w:val="0"/>
                <w:iCs w:val="0"/>
                <w:color w:val="000000"/>
                <w:kern w:val="0"/>
                <w:sz w:val="20"/>
                <w:szCs w:val="20"/>
                <w:u w:val="none"/>
                <w:lang w:val="en-US" w:eastAsia="zh-CN" w:bidi="ar"/>
              </w:rPr>
              <w:t>，得0.5分，否则不得分；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④对本单位财政支出绩效目标运行情况进行监控分析，并填报绩效目标执行监控表</w:t>
            </w:r>
            <w:r>
              <w:rPr>
                <w:rFonts w:hint="eastAsia" w:cs="仿宋"/>
                <w:i w:val="0"/>
                <w:iCs w:val="0"/>
                <w:color w:val="000000"/>
                <w:kern w:val="0"/>
                <w:sz w:val="20"/>
                <w:szCs w:val="20"/>
                <w:u w:val="none"/>
                <w:lang w:val="en-US" w:eastAsia="zh-CN" w:bidi="ar"/>
              </w:rPr>
              <w:t>且规范</w:t>
            </w:r>
            <w:r>
              <w:rPr>
                <w:rFonts w:hint="eastAsia" w:ascii="仿宋" w:hAnsi="仿宋" w:eastAsia="仿宋" w:cs="仿宋"/>
                <w:i w:val="0"/>
                <w:iCs w:val="0"/>
                <w:color w:val="000000"/>
                <w:kern w:val="0"/>
                <w:sz w:val="20"/>
                <w:szCs w:val="20"/>
                <w:u w:val="none"/>
                <w:lang w:val="en-US" w:eastAsia="zh-CN" w:bidi="ar"/>
              </w:rPr>
              <w:t>，得1分，否则不得分；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⑤项目完成后实施了绩效自评，并编制绩效自评报告或绩效自评表，自评报告格式、内容符合要求</w:t>
            </w:r>
            <w:r>
              <w:rPr>
                <w:rFonts w:hint="eastAsia" w:cs="仿宋"/>
                <w:i w:val="0"/>
                <w:iCs w:val="0"/>
                <w:color w:val="000000"/>
                <w:kern w:val="0"/>
                <w:sz w:val="20"/>
                <w:szCs w:val="20"/>
                <w:u w:val="none"/>
                <w:lang w:val="en-US" w:eastAsia="zh-CN" w:bidi="ar"/>
              </w:rPr>
              <w:t>，</w:t>
            </w:r>
            <w:r>
              <w:rPr>
                <w:rFonts w:hint="eastAsia" w:ascii="仿宋" w:hAnsi="仿宋" w:eastAsia="仿宋" w:cs="仿宋"/>
                <w:i w:val="0"/>
                <w:iCs w:val="0"/>
                <w:color w:val="000000"/>
                <w:kern w:val="0"/>
                <w:sz w:val="20"/>
                <w:szCs w:val="20"/>
                <w:u w:val="none"/>
                <w:lang w:val="en-US" w:eastAsia="zh-CN" w:bidi="ar"/>
              </w:rPr>
              <w:t>得0.5分，缺1项扣0.1分，扣完为止；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⑥编报了部门预算整体支出绩效自评报告</w:t>
            </w:r>
            <w:r>
              <w:rPr>
                <w:rFonts w:hint="eastAsia" w:cs="仿宋"/>
                <w:i w:val="0"/>
                <w:iCs w:val="0"/>
                <w:color w:val="000000"/>
                <w:kern w:val="0"/>
                <w:sz w:val="20"/>
                <w:szCs w:val="20"/>
                <w:u w:val="none"/>
                <w:lang w:val="en-US" w:eastAsia="zh-CN" w:bidi="ar"/>
              </w:rPr>
              <w:t>且规范</w:t>
            </w:r>
            <w:r>
              <w:rPr>
                <w:rFonts w:hint="eastAsia" w:ascii="仿宋" w:hAnsi="仿宋" w:eastAsia="仿宋" w:cs="仿宋"/>
                <w:i w:val="0"/>
                <w:iCs w:val="0"/>
                <w:color w:val="000000"/>
                <w:kern w:val="0"/>
                <w:sz w:val="20"/>
                <w:szCs w:val="20"/>
                <w:u w:val="none"/>
                <w:lang w:val="en-US" w:eastAsia="zh-CN" w:bidi="ar"/>
              </w:rPr>
              <w:t>，得1分，否则不得分。</w:t>
            </w:r>
            <w:bookmarkStart w:id="338" w:name="_GoBack"/>
            <w:bookmarkEnd w:id="338"/>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财务管理</w:t>
            </w:r>
          </w:p>
        </w:tc>
        <w:tc>
          <w:tcPr>
            <w:tcW w:w="261"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财务管理规范性</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评价部门为加强预算管理、规范财务行为而制定的财务管理制度是否健全完整，用以反映部门财务管理合规性方面的管理情况。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①已制定或具有预算资金管理办法、内部财务管理制度、会计核算制度等管理制度，得1分，否则不得分；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②相关管理制度合法、合规、完整，得1分，否则不得分。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财务管理有效性</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评价部门2021年度预算资金的规范运行情况，考核部门使用预算资金是否符合相关的预算财务管理制度的规定，用以反映收支管理有效性方面的管理情况。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①资金使用符合国家财经法规和财务管理制度规定以及有关专项资金管理办法的规定，得0.5分，否则不得分；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②资金的拨付有完整的审批程序和手续，得0.5分，否则不得分；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③项目的重大开支经过评估论证，得0.5分，否则不得分；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④资金使用符合部门预算批复的用途，得0.5分，否则不得分；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⑤不存在截留、挤占、挪用、虚列支出等情况，得1分，否则不得分。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trPr>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资产管理</w:t>
            </w:r>
          </w:p>
        </w:tc>
        <w:tc>
          <w:tcPr>
            <w:tcW w:w="261"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资产管理规范性</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部门为加强资产管理、规范资产管理行为而制定的管理制度是否健全完整，部门的资产是否保存完整、使用合规、处置规范、收入及时足额上缴。</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①制定或具有资产管理制度得1分，否则不得分；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②相关资产管理制度合法、合规、完整得1分，否则不得分；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③资产保存完整，得0.5分，否则不得分；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④资产处置规范、资产有偿使用及处置收入及时足额上缴，得0.5分，否则不得分；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⑤资产账务管理合规，帐实相符，得0.5分，否则不得分；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⑥资产管理制度有效执行，得0.5分，否则不得分。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固定资产利用率</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部门实际在用固定资产总额与所有固定资产总额的比率，用以反映和考核部门固定资产使用效率程度。</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固定资产利用率=（实际在用固定资产总额/所有固定资产总额）×100%。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①固定资产利用率大于或等于90%的，得1分；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②固定资产利用率小于或等于80%的，得0分；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③固定资产利用率在80%-90%之间的，在0和1分之间按比例计算确定：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得分=（固定资产利用率-80%）/（90%-80%）×该指标分值1分。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其他管理</w:t>
            </w:r>
          </w:p>
        </w:tc>
        <w:tc>
          <w:tcPr>
            <w:tcW w:w="261"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政府采购管理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部门实际政府采购金额与预算安排的政府采购金额的比率，用以反映和考核年度政府采购预算执行情况。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政府采购执行率=（实际政府采购金额/政府采购预算金额）×100%；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①政府采购执行率大于85%小于等于100%的，得1分；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②政府采购执行率小于或等于85%或大于100%，得0分。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预算信息公开</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部门是否按照政府信息公开有关规定公开相关预决算信息，用以反映和考核部门预决算管理的公开透明情况。</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①按规定内容公开预决算信息得0.5分，否则不得分；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②按规定时限公开预决算信息得0.5分，否则不得分。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社会效应</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经济社会影响</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提高群众就业水平</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考核和评价人社局开展的业务在提高群众就业水平方面所起的作用</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项目实施，在提高群众就业水平方面起到积极作用（全市新增就业人数6万人以上，转移就业人数10万人以上的），得3分；作用一般（全市新增就业人数在4-6万人之间，转移就业人数在5-10万人之间），得1.5分；作用不明显（低于上述标准），得0.5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推进人事人才建设</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考核和评价人社局开展的业务在推进运城市人事人才建设方面所起的作用</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项目实施，在推进运城市人事人才建设方面起到积极作用（组织各类人事、职业考试场数15场以上，安置高校毕业生10000人以上的），得3分；作用一般（组织各类人事、职业考试场数8-15场之间，安置高校毕业生5000-10000人之间的），得1.5分；作用不明显（低于上述标准），得0.5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提高社会保障水平</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考核和评价人社局开展的业务在提高社会保障水平方面所起的作用</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项目实施，在提高社会保障水平方面起到积极作用（城乡居民养老保险参保人数达到300万人以上、失业保险参保人数达到40万人以上、工伤保险人数达到70万人以上），得3分；作用一般（城乡居民养老保险参保人数在200万-300万人之间、失业保险参保人数在20万-40万人之间、工伤保险人数在40万-70万人之间），得1.5分；作用不明显（低于上述标准），得0.5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促进劳动关系和谐稳定</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考核和评价人社局开展的业务在促进劳动关系和谐稳定方面所起的作用</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项目实施，在促进劳动关系和谐稳定方面起到积极作用（全年办结拖欠工资案件2000件以上，受理劳动争议仲裁案件50件以上），得3分；作用一般（全年办结拖欠工资案件1000-2000件之间，受理劳动争议仲裁案件20-50件之间），得1.5分；作用不明显（低于上述标准），得0.5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社会满意</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服务对象满意度</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运城市人民群众对人社局履职工作的满意程度。</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得分=服务对象有效调查问卷分数平均值×100%×4</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管理对象满意度</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人社局单位职工对本单位履职工作的满意程度。</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得分=管理对象有效调查问卷分数平均值×100%×4</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261" w:type="pct"/>
            <w:vMerge w:val="restart"/>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可持续性</w:t>
            </w:r>
          </w:p>
        </w:tc>
        <w:tc>
          <w:tcPr>
            <w:tcW w:w="261" w:type="pct"/>
            <w:vMerge w:val="restart"/>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261" w:type="pc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体制机制改革</w:t>
            </w:r>
          </w:p>
        </w:tc>
        <w:tc>
          <w:tcPr>
            <w:tcW w:w="26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推进部门管理体制改革</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评价人社局管理体制改革工作对部门工作持续良性发展所起作用。</w:t>
            </w:r>
          </w:p>
        </w:tc>
        <w:tc>
          <w:tcPr>
            <w:tcW w:w="1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社局开展的部门体制改革工作对促进部门科学管理起到积极作用（实施全民参保计划，加大政策宣传力度，提高公众政策知晓率和参保积极性），得5分；作用一般（体制改革工作对推进群众参保工作起到作用，但作用有限），得3份；作用不明显（低于上述标准），得1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3" w:hRule="atLeast"/>
        </w:trPr>
        <w:tc>
          <w:tcPr>
            <w:tcW w:w="261" w:type="pct"/>
            <w:vMerge w:val="continue"/>
            <w:tcBorders>
              <w:top w:val="nil"/>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vMerge w:val="continue"/>
            <w:tcBorders>
              <w:top w:val="nil"/>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干部队伍建设</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人力资源建设保障程度</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评价部门人才培养计划、激励措施、人才培训工作有效开展情况。</w:t>
            </w:r>
          </w:p>
        </w:tc>
        <w:tc>
          <w:tcPr>
            <w:tcW w:w="18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人才培养计划、激励措施、人才培训工作开展，对促进运城市人社局部门工作有效开展起到积极作用（干部队伍建设成果显著、职工工作效率积极），得5分；作用一般（虽取得一定成果，但存在一定程度欠缺），得3分；作用不明显（低于上述标准），得1分。</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0"/>
                <w:szCs w:val="20"/>
                <w:u w:val="none"/>
              </w:rPr>
            </w:pP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0"/>
                <w:szCs w:val="20"/>
                <w:u w:val="none"/>
              </w:rPr>
            </w:pP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0"/>
                <w:szCs w:val="20"/>
                <w:u w:val="none"/>
              </w:rPr>
            </w:pP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0"/>
                <w:szCs w:val="20"/>
                <w:u w:val="none"/>
              </w:rPr>
            </w:pPr>
          </w:p>
        </w:tc>
        <w:tc>
          <w:tcPr>
            <w:tcW w:w="18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88.93</w:t>
            </w:r>
          </w:p>
        </w:tc>
      </w:tr>
    </w:tbl>
    <w:p>
      <w:pPr>
        <w:spacing w:after="240"/>
        <w:outlineLvl w:val="0"/>
        <w:rPr>
          <w:b/>
        </w:rPr>
      </w:pPr>
    </w:p>
    <w:p>
      <w:pPr>
        <w:spacing w:after="240"/>
        <w:outlineLvl w:val="0"/>
        <w:rPr>
          <w:b/>
        </w:rPr>
      </w:pPr>
    </w:p>
    <w:p>
      <w:pPr>
        <w:spacing w:after="240"/>
        <w:outlineLvl w:val="0"/>
        <w:rPr>
          <w:b/>
        </w:rPr>
      </w:pPr>
    </w:p>
    <w:bookmarkEnd w:id="313"/>
    <w:bookmarkEnd w:id="314"/>
    <w:p>
      <w:pPr>
        <w:pStyle w:val="15"/>
        <w:widowControl w:val="0"/>
        <w:spacing w:after="0" w:line="550" w:lineRule="exact"/>
        <w:ind w:left="0" w:leftChars="0" w:firstLine="320" w:firstLineChars="200"/>
        <w:sectPr>
          <w:footerReference r:id="rId12" w:type="first"/>
          <w:footerReference r:id="rId11" w:type="default"/>
          <w:pgSz w:w="16838" w:h="11906" w:orient="landscape"/>
          <w:pgMar w:top="1701" w:right="1247" w:bottom="1701" w:left="1247" w:header="851" w:footer="850" w:gutter="0"/>
          <w:cols w:space="720" w:num="1"/>
          <w:titlePg/>
          <w:docGrid w:type="lines" w:linePitch="381" w:charSpace="0"/>
        </w:sectPr>
      </w:pPr>
    </w:p>
    <w:p>
      <w:pPr>
        <w:pStyle w:val="3"/>
        <w:spacing w:before="0" w:after="156" w:afterLines="50" w:line="560" w:lineRule="exact"/>
        <w:rPr>
          <w:sz w:val="28"/>
        </w:rPr>
      </w:pPr>
      <w:bookmarkStart w:id="315" w:name="_Toc10278"/>
      <w:bookmarkStart w:id="316" w:name="_Toc17920"/>
      <w:bookmarkStart w:id="317" w:name="_Toc15693"/>
      <w:r>
        <w:rPr>
          <w:rFonts w:hint="eastAsia"/>
          <w:sz w:val="28"/>
        </w:rPr>
        <w:t>附件3:        部门基础信息及部门自评情况表</w:t>
      </w:r>
      <w:bookmarkEnd w:id="315"/>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3517"/>
        <w:gridCol w:w="1667"/>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209" w:type="dxa"/>
            <w:tcBorders>
              <w:top w:val="single" w:color="auto" w:sz="4" w:space="0"/>
              <w:left w:val="single" w:color="auto" w:sz="4" w:space="0"/>
              <w:bottom w:val="single" w:color="auto" w:sz="4" w:space="0"/>
              <w:right w:val="single" w:color="auto" w:sz="4" w:space="0"/>
            </w:tcBorders>
            <w:vAlign w:val="center"/>
          </w:tcPr>
          <w:p>
            <w:pPr>
              <w:widowControl w:val="0"/>
              <w:jc w:val="center"/>
              <w:rPr>
                <w:sz w:val="24"/>
                <w:szCs w:val="24"/>
                <w:lang w:bidi="ar"/>
              </w:rPr>
            </w:pPr>
            <w:r>
              <w:rPr>
                <w:rFonts w:hint="eastAsia"/>
                <w:sz w:val="24"/>
                <w:szCs w:val="24"/>
                <w:lang w:bidi="ar"/>
              </w:rPr>
              <w:t>项目名称</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val="0"/>
              <w:jc w:val="center"/>
              <w:rPr>
                <w:sz w:val="24"/>
                <w:szCs w:val="24"/>
                <w:lang w:bidi="ar"/>
              </w:rPr>
            </w:pPr>
            <w:r>
              <w:rPr>
                <w:rFonts w:hint="eastAsia"/>
                <w:sz w:val="24"/>
                <w:szCs w:val="24"/>
                <w:lang w:bidi="ar"/>
              </w:rPr>
              <w:t>运城市人力资源和社会保障局2021年部门整体支出绩效评价报告</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jc w:val="center"/>
              <w:rPr>
                <w:sz w:val="24"/>
                <w:szCs w:val="24"/>
                <w:lang w:bidi="ar"/>
              </w:rPr>
            </w:pPr>
            <w:r>
              <w:rPr>
                <w:rFonts w:hint="eastAsia"/>
                <w:sz w:val="24"/>
                <w:szCs w:val="24"/>
                <w:lang w:bidi="ar"/>
              </w:rPr>
              <w:t>项目主管部门</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val="0"/>
              <w:jc w:val="center"/>
              <w:rPr>
                <w:sz w:val="24"/>
                <w:szCs w:val="24"/>
                <w:lang w:bidi="ar"/>
              </w:rPr>
            </w:pPr>
            <w:r>
              <w:rPr>
                <w:rFonts w:hint="eastAsia"/>
                <w:sz w:val="24"/>
                <w:szCs w:val="24"/>
                <w:lang w:bidi="ar"/>
              </w:rPr>
              <w:t>运城市人力资源和社会保障局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09" w:type="dxa"/>
            <w:tcBorders>
              <w:top w:val="single" w:color="auto" w:sz="4" w:space="0"/>
              <w:left w:val="single" w:color="auto" w:sz="4" w:space="0"/>
              <w:bottom w:val="single" w:color="auto" w:sz="4" w:space="0"/>
              <w:right w:val="single" w:color="auto" w:sz="4" w:space="0"/>
            </w:tcBorders>
          </w:tcPr>
          <w:p>
            <w:pPr>
              <w:widowControl w:val="0"/>
              <w:jc w:val="center"/>
              <w:rPr>
                <w:sz w:val="24"/>
                <w:szCs w:val="24"/>
              </w:rPr>
            </w:pPr>
            <w:r>
              <w:rPr>
                <w:rFonts w:hint="eastAsia"/>
                <w:sz w:val="24"/>
                <w:szCs w:val="24"/>
              </w:rPr>
              <w:t>项目计划实施期间</w:t>
            </w:r>
          </w:p>
        </w:tc>
        <w:tc>
          <w:tcPr>
            <w:tcW w:w="7229"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sz w:val="24"/>
                <w:szCs w:val="24"/>
              </w:rPr>
            </w:pPr>
            <w:r>
              <w:rPr>
                <w:rFonts w:hint="eastAsia"/>
                <w:sz w:val="24"/>
                <w:szCs w:val="24"/>
              </w:rPr>
              <w:t>2021年1月至2021年12月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8438" w:type="dxa"/>
            <w:gridSpan w:val="4"/>
            <w:tcBorders>
              <w:top w:val="single" w:color="auto" w:sz="4" w:space="0"/>
              <w:left w:val="single" w:color="auto" w:sz="4" w:space="0"/>
              <w:bottom w:val="single" w:color="auto" w:sz="4" w:space="0"/>
              <w:right w:val="single" w:color="auto" w:sz="4" w:space="0"/>
            </w:tcBorders>
          </w:tcPr>
          <w:p>
            <w:pPr>
              <w:widowControl w:val="0"/>
              <w:jc w:val="left"/>
              <w:rPr>
                <w:sz w:val="24"/>
                <w:szCs w:val="24"/>
              </w:rPr>
            </w:pPr>
            <w:r>
              <w:rPr>
                <w:rFonts w:hint="eastAsia"/>
                <w:b/>
                <w:bCs/>
                <w:sz w:val="24"/>
                <w:szCs w:val="24"/>
                <w:lang w:bidi="ar"/>
              </w:rPr>
              <w:t>项目基本情况介绍：</w:t>
            </w:r>
          </w:p>
          <w:p>
            <w:pPr>
              <w:widowControl w:val="0"/>
              <w:ind w:firstLine="480" w:firstLineChars="200"/>
              <w:rPr>
                <w:sz w:val="24"/>
                <w:szCs w:val="24"/>
                <w:lang w:bidi="ar"/>
              </w:rPr>
            </w:pPr>
            <w:r>
              <w:rPr>
                <w:rFonts w:hint="eastAsia"/>
                <w:sz w:val="24"/>
                <w:szCs w:val="24"/>
                <w:lang w:bidi="ar"/>
              </w:rPr>
              <w:t>运城市人力资源和社会保障局共设行政科室14个，局属事业单位9个，全局核定编制304名，现有人员369名。</w:t>
            </w:r>
          </w:p>
          <w:p>
            <w:pPr>
              <w:widowControl w:val="0"/>
              <w:ind w:firstLine="480" w:firstLineChars="200"/>
              <w:rPr>
                <w:sz w:val="24"/>
                <w:szCs w:val="24"/>
                <w:lang w:bidi="ar"/>
              </w:rPr>
            </w:pPr>
            <w:r>
              <w:rPr>
                <w:rFonts w:hint="eastAsia"/>
                <w:sz w:val="24"/>
                <w:szCs w:val="24"/>
                <w:lang w:bidi="ar"/>
              </w:rPr>
              <w:t>部门主要职责：</w:t>
            </w:r>
          </w:p>
          <w:p>
            <w:pPr>
              <w:widowControl w:val="0"/>
              <w:ind w:firstLine="480" w:firstLineChars="200"/>
              <w:rPr>
                <w:sz w:val="24"/>
                <w:szCs w:val="24"/>
                <w:lang w:bidi="ar"/>
              </w:rPr>
            </w:pPr>
            <w:r>
              <w:rPr>
                <w:rFonts w:hint="eastAsia"/>
                <w:sz w:val="24"/>
                <w:szCs w:val="24"/>
                <w:lang w:bidi="ar"/>
              </w:rPr>
              <w:t>①贯彻落实国家、省人力资源和社会保障事业发展规划和政策，拟订全市人力资源和社会保障事业发展政策、规划并组织实施和监督检查；</w:t>
            </w:r>
          </w:p>
          <w:p>
            <w:pPr>
              <w:widowControl w:val="0"/>
              <w:ind w:firstLine="480" w:firstLineChars="200"/>
              <w:rPr>
                <w:sz w:val="24"/>
                <w:szCs w:val="24"/>
                <w:lang w:bidi="ar"/>
              </w:rPr>
            </w:pPr>
            <w:r>
              <w:rPr>
                <w:rFonts w:hint="eastAsia"/>
                <w:sz w:val="24"/>
                <w:szCs w:val="24"/>
                <w:lang w:bidi="ar"/>
              </w:rPr>
              <w:t>②拟订全市人力资源市场发展规划和人力资源服务业发展、人力资源流动政策，促进人力资源合理流动，有效配置；</w:t>
            </w:r>
          </w:p>
          <w:p>
            <w:pPr>
              <w:widowControl w:val="0"/>
              <w:ind w:firstLine="480" w:firstLineChars="200"/>
              <w:rPr>
                <w:sz w:val="24"/>
                <w:szCs w:val="24"/>
                <w:lang w:bidi="ar"/>
              </w:rPr>
            </w:pPr>
            <w:r>
              <w:rPr>
                <w:rFonts w:hint="eastAsia"/>
                <w:sz w:val="24"/>
                <w:szCs w:val="24"/>
                <w:lang w:bidi="ar"/>
              </w:rPr>
              <w:t>③负责就业促进工作，拟订全市统筹城乡的就业发展规划，完善公共就业创业服务体系，统筹建立面向城乡劳动者的职业技能培训制度，贯彻落实就业援助制度、高校毕业生就业政策等；</w:t>
            </w:r>
          </w:p>
          <w:p>
            <w:pPr>
              <w:widowControl w:val="0"/>
              <w:ind w:firstLine="480" w:firstLineChars="200"/>
              <w:rPr>
                <w:sz w:val="24"/>
                <w:szCs w:val="24"/>
                <w:lang w:bidi="ar"/>
              </w:rPr>
            </w:pPr>
            <w:r>
              <w:rPr>
                <w:rFonts w:hint="eastAsia"/>
                <w:sz w:val="24"/>
                <w:szCs w:val="24"/>
                <w:lang w:bidi="ar"/>
              </w:rPr>
              <w:t>④统筹推进建立覆盖城乡的多层次社会保障体系；</w:t>
            </w:r>
          </w:p>
          <w:p>
            <w:pPr>
              <w:widowControl w:val="0"/>
              <w:ind w:firstLine="480" w:firstLineChars="200"/>
              <w:rPr>
                <w:sz w:val="24"/>
                <w:szCs w:val="24"/>
                <w:lang w:bidi="ar"/>
              </w:rPr>
            </w:pPr>
            <w:r>
              <w:rPr>
                <w:rFonts w:hint="eastAsia"/>
                <w:sz w:val="24"/>
                <w:szCs w:val="24"/>
                <w:lang w:bidi="ar"/>
              </w:rPr>
              <w:t>⑤负责全市就业、失业和相关社会保险基金预测预警和信息引导，拟订应对预案，实施预防、调节和控制，保持就业形势稳定和相关社会保险基金总体收支平衡；</w:t>
            </w:r>
          </w:p>
          <w:p>
            <w:pPr>
              <w:widowControl w:val="0"/>
              <w:ind w:firstLine="480" w:firstLineChars="200"/>
              <w:rPr>
                <w:sz w:val="24"/>
                <w:szCs w:val="24"/>
                <w:lang w:bidi="ar"/>
              </w:rPr>
            </w:pPr>
            <w:r>
              <w:rPr>
                <w:rFonts w:hint="eastAsia"/>
                <w:sz w:val="24"/>
                <w:szCs w:val="24"/>
                <w:lang w:bidi="ar"/>
              </w:rPr>
              <w:t>⑥统筹拟订全市劳动人事争议调解仲裁制度，贯彻落实劳动关系政策，完善劳动关系协商协调机制，职工工作时间、休息休假和假期制度，监督落实消除非法使用童工政策和女工、未成年工特殊劳动保护政策；</w:t>
            </w:r>
          </w:p>
          <w:p>
            <w:pPr>
              <w:widowControl w:val="0"/>
              <w:ind w:firstLine="480" w:firstLineChars="200"/>
              <w:rPr>
                <w:sz w:val="24"/>
                <w:szCs w:val="24"/>
                <w:lang w:bidi="ar"/>
              </w:rPr>
            </w:pPr>
            <w:r>
              <w:rPr>
                <w:rFonts w:hint="eastAsia"/>
                <w:sz w:val="24"/>
                <w:szCs w:val="24"/>
                <w:lang w:bidi="ar"/>
              </w:rPr>
              <w:t>⑦牵头推进深化职称制度改革，组织实施专业技术人员管理、继续教育和博士后管理等政策，负责全市高层次专业技术人才选拔和培养工作；</w:t>
            </w:r>
          </w:p>
          <w:p>
            <w:pPr>
              <w:widowControl w:val="0"/>
              <w:ind w:firstLine="480" w:firstLineChars="200"/>
              <w:rPr>
                <w:sz w:val="24"/>
                <w:szCs w:val="24"/>
                <w:lang w:bidi="ar"/>
              </w:rPr>
            </w:pPr>
            <w:r>
              <w:rPr>
                <w:rFonts w:hint="eastAsia"/>
                <w:sz w:val="24"/>
                <w:szCs w:val="24"/>
                <w:lang w:bidi="ar"/>
              </w:rPr>
              <w:t>⑧会同有关部门指导全市事业单位人事制度改革，企事业单位人员管理工作，按照管理权限负责规范事业单位岗位设置、公开招聘、聘用合同等人事综合管理工作，拟订全市事业单位工作人员和机关工勤人员管理制度；</w:t>
            </w:r>
          </w:p>
          <w:p>
            <w:pPr>
              <w:widowControl w:val="0"/>
              <w:ind w:firstLine="480" w:firstLineChars="200"/>
              <w:rPr>
                <w:sz w:val="24"/>
                <w:szCs w:val="24"/>
                <w:lang w:bidi="ar"/>
              </w:rPr>
            </w:pPr>
            <w:r>
              <w:rPr>
                <w:rFonts w:hint="eastAsia"/>
                <w:sz w:val="24"/>
                <w:szCs w:val="24"/>
                <w:lang w:bidi="ar"/>
              </w:rPr>
              <w:t>⑨会同有关部门贯彻落实事业单位人员工资收入分配政策，建立企事业单位人员工资正常增长和支付保障机制；</w:t>
            </w:r>
          </w:p>
          <w:p>
            <w:pPr>
              <w:widowControl w:val="0"/>
              <w:ind w:firstLine="480" w:firstLineChars="200"/>
              <w:rPr>
                <w:sz w:val="24"/>
                <w:szCs w:val="24"/>
                <w:lang w:bidi="ar"/>
              </w:rPr>
            </w:pPr>
            <w:r>
              <w:rPr>
                <w:rFonts w:hint="eastAsia"/>
                <w:sz w:val="24"/>
                <w:szCs w:val="24"/>
                <w:lang w:bidi="ar"/>
              </w:rPr>
              <w:t>⑩会同有关部门拟订农民工工作的综合性制度和规划，推动相关政策落实，协调解决重点难点问题，维护农民工合法权益；</w:t>
            </w:r>
          </w:p>
          <w:p>
            <w:pPr>
              <w:widowControl w:val="0"/>
              <w:ind w:firstLine="480" w:firstLineChars="200"/>
              <w:rPr>
                <w:sz w:val="24"/>
                <w:szCs w:val="24"/>
                <w:lang w:bidi="ar"/>
              </w:rPr>
            </w:pPr>
            <w:r>
              <w:rPr>
                <w:rFonts w:hint="eastAsia"/>
                <w:sz w:val="24"/>
                <w:szCs w:val="24"/>
                <w:lang w:bidi="ar"/>
              </w:rPr>
              <w:t>⑪会同有关部门组织实施政府表彰制度，拟订市政府奖励制度草案，配合有关部门开展政府绩效考核；</w:t>
            </w:r>
          </w:p>
          <w:p>
            <w:pPr>
              <w:widowControl w:val="0"/>
              <w:ind w:firstLine="480" w:firstLineChars="200"/>
              <w:rPr>
                <w:sz w:val="24"/>
                <w:szCs w:val="24"/>
                <w:lang w:bidi="ar"/>
              </w:rPr>
            </w:pPr>
            <w:r>
              <w:rPr>
                <w:rFonts w:hint="eastAsia"/>
                <w:sz w:val="24"/>
                <w:szCs w:val="24"/>
                <w:lang w:bidi="ar"/>
              </w:rPr>
              <w:t>⑫职能转变。市人社局要大力精简行政审批事项，压缩涉民涉企审批和服务时限，提高事项“网上办理”比例；扩大自主评审范围，下放职称评审权；落实事业单位用人自主权，下放岗位聘用认定权限；开展“多证合一”试点，促进人力资源和社会保障公共服务便民化，切实保障和改善民生；</w:t>
            </w:r>
          </w:p>
          <w:p>
            <w:pPr>
              <w:widowControl w:val="0"/>
              <w:ind w:firstLine="480" w:firstLineChars="200"/>
              <w:rPr>
                <w:sz w:val="24"/>
                <w:szCs w:val="24"/>
                <w:lang w:bidi="ar"/>
              </w:rPr>
            </w:pPr>
            <w:r>
              <w:rPr>
                <w:rFonts w:hint="eastAsia"/>
                <w:sz w:val="24"/>
                <w:szCs w:val="24"/>
                <w:lang w:bidi="ar"/>
              </w:rPr>
              <w:t>⑬有关职责分工。与市教育局的有关职责分工。高校毕业生就业政策由市人社局牵头，会同市教育局等部门拟订，高校毕业生离校前的就业指导和服务工作，由市教育局负责；高校毕业生离校后的就业指导和服务工作，由市人社局负责；</w:t>
            </w:r>
          </w:p>
          <w:p>
            <w:pPr>
              <w:widowControl w:val="0"/>
              <w:ind w:firstLine="480" w:firstLineChars="200"/>
              <w:rPr>
                <w:sz w:val="24"/>
                <w:szCs w:val="24"/>
                <w:lang w:bidi="ar"/>
              </w:rPr>
            </w:pPr>
            <w:r>
              <w:rPr>
                <w:rFonts w:hint="eastAsia"/>
                <w:sz w:val="24"/>
                <w:szCs w:val="24"/>
                <w:lang w:bidi="ar"/>
              </w:rPr>
              <w:t>⑭完成市委市政府交办的其他任务。　</w:t>
            </w:r>
          </w:p>
          <w:p>
            <w:pPr>
              <w:widowControl w:val="0"/>
              <w:ind w:firstLine="480" w:firstLineChars="200"/>
              <w:rPr>
                <w:sz w:val="24"/>
                <w:szCs w:val="24"/>
                <w:lang w:bidi="ar"/>
              </w:rPr>
            </w:pPr>
            <w:r>
              <w:rPr>
                <w:rFonts w:hint="eastAsia"/>
                <w:sz w:val="24"/>
                <w:szCs w:val="24"/>
                <w:lang w:bidi="ar"/>
              </w:rPr>
              <w:t>2021年运城市人力资源和社会保障局部门预算资金（可支配资金）总额6,416.61万元（2021年年初结余资金530.34万元，2021年调整预算资金2,953.58万元、非同级财政拨款2,931.15万元、利息收入1.54万元），其中：基本支出1,459.38万元，项目支出4,957.23万元。</w:t>
            </w:r>
          </w:p>
          <w:p>
            <w:pPr>
              <w:widowControl w:val="0"/>
              <w:ind w:firstLine="480" w:firstLineChars="200"/>
              <w:rPr>
                <w:sz w:val="24"/>
                <w:szCs w:val="24"/>
              </w:rPr>
            </w:pPr>
            <w:r>
              <w:rPr>
                <w:rFonts w:hint="eastAsia"/>
                <w:sz w:val="24"/>
                <w:szCs w:val="24"/>
                <w:lang w:bidi="ar"/>
              </w:rPr>
              <w:t>2021年部门可支配资金总额6,416.61万元，2021年部门支出5,409.65万元，年末结转结余资金1,006.96万元，主要为欠薪应急周转金500万元、市社保基金财政专户拨第一批职业技能提升资金496.51万元。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8438" w:type="dxa"/>
            <w:gridSpan w:val="4"/>
            <w:tcBorders>
              <w:top w:val="single" w:color="auto" w:sz="4" w:space="0"/>
              <w:left w:val="single" w:color="auto" w:sz="4" w:space="0"/>
              <w:bottom w:val="single" w:color="auto" w:sz="4" w:space="0"/>
              <w:right w:val="single" w:color="auto" w:sz="4" w:space="0"/>
            </w:tcBorders>
          </w:tcPr>
          <w:p>
            <w:pPr>
              <w:widowControl w:val="0"/>
              <w:rPr>
                <w:b/>
                <w:bCs/>
                <w:sz w:val="24"/>
                <w:szCs w:val="24"/>
              </w:rPr>
            </w:pPr>
            <w:r>
              <w:rPr>
                <w:rFonts w:hint="eastAsia"/>
                <w:b/>
                <w:bCs/>
                <w:sz w:val="24"/>
                <w:szCs w:val="24"/>
                <w:lang w:bidi="ar"/>
              </w:rPr>
              <w:t>部门绩效目标：</w:t>
            </w:r>
          </w:p>
          <w:p>
            <w:pPr>
              <w:widowControl w:val="0"/>
              <w:spacing w:line="560" w:lineRule="exact"/>
              <w:ind w:firstLine="482" w:firstLineChars="200"/>
              <w:rPr>
                <w:b/>
                <w:bCs/>
                <w:sz w:val="24"/>
                <w:szCs w:val="24"/>
                <w:lang w:bidi="ar"/>
              </w:rPr>
            </w:pPr>
            <w:r>
              <w:rPr>
                <w:rFonts w:hint="eastAsia"/>
                <w:b/>
                <w:bCs/>
                <w:sz w:val="24"/>
                <w:szCs w:val="24"/>
                <w:lang w:bidi="ar"/>
              </w:rPr>
              <w:t>1、部门总体绩效目标</w:t>
            </w:r>
          </w:p>
          <w:p>
            <w:pPr>
              <w:widowControl w:val="0"/>
              <w:ind w:firstLine="480" w:firstLineChars="200"/>
              <w:rPr>
                <w:sz w:val="24"/>
                <w:szCs w:val="24"/>
                <w:lang w:bidi="ar"/>
              </w:rPr>
            </w:pPr>
            <w:r>
              <w:rPr>
                <w:rFonts w:hint="eastAsia"/>
                <w:sz w:val="24"/>
                <w:szCs w:val="24"/>
                <w:lang w:bidi="ar"/>
              </w:rPr>
              <w:t>深入贯彻落实党的十九大精神，紧贴全市人民群众对美好生活的需求期盼，推动完善社会保障体系，推进和谐社会建设，深化收入分配制度改革，切实解决困难群众生产生活中的困难。</w:t>
            </w:r>
          </w:p>
          <w:p>
            <w:pPr>
              <w:widowControl w:val="0"/>
              <w:ind w:firstLine="482" w:firstLineChars="200"/>
              <w:jc w:val="left"/>
              <w:rPr>
                <w:b/>
                <w:bCs/>
                <w:sz w:val="24"/>
                <w:szCs w:val="24"/>
                <w:lang w:bidi="ar"/>
              </w:rPr>
            </w:pPr>
            <w:r>
              <w:rPr>
                <w:rFonts w:hint="eastAsia"/>
                <w:b/>
                <w:bCs/>
                <w:sz w:val="24"/>
                <w:szCs w:val="24"/>
                <w:lang w:bidi="ar"/>
              </w:rPr>
              <w:t>2、部门具体绩效目标</w:t>
            </w:r>
          </w:p>
          <w:p>
            <w:pPr>
              <w:widowControl w:val="0"/>
              <w:ind w:firstLine="480" w:firstLineChars="200"/>
              <w:rPr>
                <w:sz w:val="24"/>
                <w:szCs w:val="24"/>
                <w:lang w:bidi="ar"/>
              </w:rPr>
            </w:pPr>
            <w:r>
              <w:rPr>
                <w:rFonts w:hint="eastAsia"/>
                <w:sz w:val="24"/>
                <w:szCs w:val="24"/>
                <w:lang w:bidi="ar"/>
              </w:rPr>
              <w:t>（1）突出就业优先，全力提升就业创业质量。</w:t>
            </w:r>
          </w:p>
          <w:p>
            <w:pPr>
              <w:widowControl w:val="0"/>
              <w:ind w:firstLine="480" w:firstLineChars="200"/>
              <w:rPr>
                <w:sz w:val="24"/>
                <w:szCs w:val="24"/>
                <w:lang w:bidi="ar"/>
              </w:rPr>
            </w:pPr>
            <w:r>
              <w:rPr>
                <w:rFonts w:hint="eastAsia"/>
                <w:sz w:val="24"/>
                <w:szCs w:val="24"/>
                <w:lang w:bidi="ar"/>
              </w:rPr>
              <w:t>（2）突出保障民生，持续深化社保制度改革，巩固城乡居民养老保险全覆盖、社保费征缴体制改革“两成果”。</w:t>
            </w:r>
          </w:p>
          <w:p>
            <w:pPr>
              <w:widowControl w:val="0"/>
              <w:ind w:firstLine="480" w:firstLineChars="200"/>
              <w:rPr>
                <w:sz w:val="24"/>
                <w:szCs w:val="24"/>
                <w:lang w:bidi="ar"/>
              </w:rPr>
            </w:pPr>
            <w:r>
              <w:rPr>
                <w:rFonts w:hint="eastAsia"/>
                <w:sz w:val="24"/>
                <w:szCs w:val="24"/>
                <w:lang w:bidi="ar"/>
              </w:rPr>
              <w:t>（3）突出服务发展，切实加强人才队伍建设，围绕中心工作，加强专技人才队伍建设。</w:t>
            </w:r>
          </w:p>
          <w:p>
            <w:pPr>
              <w:widowControl w:val="0"/>
              <w:ind w:firstLine="480" w:firstLineChars="200"/>
              <w:rPr>
                <w:sz w:val="24"/>
                <w:szCs w:val="24"/>
                <w:lang w:bidi="ar"/>
              </w:rPr>
            </w:pPr>
            <w:r>
              <w:rPr>
                <w:rFonts w:hint="eastAsia"/>
                <w:sz w:val="24"/>
                <w:szCs w:val="24"/>
                <w:lang w:bidi="ar"/>
              </w:rPr>
              <w:t>（4）突出根治欠薪，着力维护劳动关系和谐。</w:t>
            </w:r>
          </w:p>
          <w:p>
            <w:pPr>
              <w:widowControl w:val="0"/>
              <w:ind w:firstLine="480" w:firstLineChars="200"/>
              <w:rPr>
                <w:sz w:val="24"/>
                <w:szCs w:val="24"/>
                <w:lang w:bidi="ar"/>
              </w:rPr>
            </w:pPr>
            <w:r>
              <w:rPr>
                <w:rFonts w:hint="eastAsia"/>
                <w:sz w:val="24"/>
                <w:szCs w:val="24"/>
                <w:lang w:bidi="ar"/>
              </w:rPr>
              <w:t>（5）不断完善社会保障体系，积极构建和谐稳定劳动关系，服务和促进全市经济社会发展。</w:t>
            </w:r>
          </w:p>
          <w:p>
            <w:pPr>
              <w:widowControl w:val="0"/>
              <w:ind w:firstLine="480" w:firstLineChars="200"/>
              <w:rPr>
                <w:sz w:val="24"/>
                <w:szCs w:val="24"/>
                <w:lang w:bidi="ar"/>
              </w:rPr>
            </w:pPr>
            <w:r>
              <w:rPr>
                <w:rFonts w:hint="eastAsia"/>
                <w:sz w:val="24"/>
                <w:szCs w:val="24"/>
                <w:lang w:bidi="ar"/>
              </w:rPr>
              <w:t>（6）突出就业优先、社保惠民、人才强市三大重点，全面贯彻落实积极就业政策，深入推进人事人才建设。</w:t>
            </w:r>
          </w:p>
          <w:p>
            <w:pPr>
              <w:widowControl w:val="0"/>
              <w:ind w:firstLine="480" w:firstLineChars="200"/>
              <w:rPr>
                <w:sz w:val="24"/>
                <w:szCs w:val="24"/>
              </w:rPr>
            </w:pPr>
            <w:r>
              <w:rPr>
                <w:rFonts w:hint="eastAsia"/>
                <w:sz w:val="24"/>
                <w:szCs w:val="24"/>
                <w:lang w:bidi="ar"/>
              </w:rPr>
              <w:t>（7）办理市人力资源和社会保障局交办的其他事项。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438" w:type="dxa"/>
            <w:gridSpan w:val="4"/>
            <w:tcBorders>
              <w:top w:val="single" w:color="auto" w:sz="4" w:space="0"/>
              <w:left w:val="single" w:color="auto" w:sz="4" w:space="0"/>
              <w:bottom w:val="single" w:color="auto" w:sz="4" w:space="0"/>
              <w:right w:val="single" w:color="auto" w:sz="4" w:space="0"/>
            </w:tcBorders>
          </w:tcPr>
          <w:p>
            <w:pPr>
              <w:widowControl w:val="0"/>
              <w:rPr>
                <w:b/>
                <w:bCs/>
                <w:sz w:val="24"/>
                <w:szCs w:val="24"/>
              </w:rPr>
            </w:pPr>
            <w:r>
              <w:rPr>
                <w:rFonts w:hint="eastAsia"/>
                <w:b/>
                <w:bCs/>
                <w:sz w:val="24"/>
                <w:szCs w:val="24"/>
                <w:lang w:bidi="ar"/>
              </w:rPr>
              <w:t>项目自评情况：</w:t>
            </w:r>
          </w:p>
          <w:p>
            <w:pPr>
              <w:widowControl w:val="0"/>
              <w:ind w:firstLine="480" w:firstLineChars="200"/>
              <w:rPr>
                <w:sz w:val="24"/>
                <w:szCs w:val="24"/>
                <w:lang w:bidi="ar"/>
              </w:rPr>
            </w:pPr>
            <w:r>
              <w:rPr>
                <w:rFonts w:hint="eastAsia"/>
                <w:sz w:val="24"/>
                <w:szCs w:val="24"/>
                <w:lang w:bidi="ar"/>
              </w:rPr>
              <w:t>运城市人力资源和社会保障局对2021年部门整体支出进行了自评，自评报告内容包括：部门基本情况、部门整体支出情况、部门整体支出绩效情况（预算配置、预算执行、预算管理、资产管理、职责履行、履职效益方面展开分析）、评价结论与主要绩效、存在问题、改进措施及建议。</w:t>
            </w:r>
          </w:p>
          <w:p>
            <w:pPr>
              <w:widowControl w:val="0"/>
              <w:ind w:firstLine="480" w:firstLineChars="200"/>
              <w:rPr>
                <w:sz w:val="24"/>
                <w:szCs w:val="24"/>
              </w:rPr>
            </w:pPr>
            <w:r>
              <w:rPr>
                <w:rFonts w:hint="eastAsia"/>
                <w:sz w:val="24"/>
                <w:szCs w:val="24"/>
                <w:lang w:bidi="ar"/>
              </w:rPr>
              <w:t>从内容完整性、格式规范性、指标评价准备性方面来看，自评报告编制较好。但是自评报告仍存在缺陷，未对资产利用情况、财务核算、制度执行等方面可能存在的问题进行描述分析，并针对性的提出相应改进措施和建议。</w:t>
            </w:r>
          </w:p>
        </w:tc>
      </w:tr>
    </w:tbl>
    <w:p>
      <w:pPr>
        <w:pStyle w:val="7"/>
        <w:widowControl w:val="0"/>
        <w:spacing w:line="560" w:lineRule="exact"/>
        <w:jc w:val="left"/>
        <w:outlineLvl w:val="0"/>
        <w:rPr>
          <w:rFonts w:ascii="仿宋" w:eastAsia="仿宋"/>
          <w:sz w:val="22"/>
          <w:szCs w:val="22"/>
        </w:rPr>
        <w:sectPr>
          <w:footerReference r:id="rId13" w:type="default"/>
          <w:pgSz w:w="11906" w:h="16838"/>
          <w:pgMar w:top="1440" w:right="1800" w:bottom="1440" w:left="1800" w:header="851" w:footer="992" w:gutter="0"/>
          <w:cols w:space="425" w:num="1"/>
          <w:docGrid w:type="lines" w:linePitch="312" w:charSpace="0"/>
        </w:sectPr>
      </w:pPr>
    </w:p>
    <w:p>
      <w:pPr>
        <w:pStyle w:val="60"/>
        <w:widowControl/>
        <w:spacing w:line="560" w:lineRule="exact"/>
        <w:ind w:firstLine="0" w:firstLineChars="0"/>
        <w:outlineLvl w:val="1"/>
        <w:rPr>
          <w:rFonts w:ascii="仿宋" w:hAnsi="仿宋" w:eastAsia="仿宋" w:cs="仿宋"/>
          <w:b/>
          <w:sz w:val="28"/>
          <w:szCs w:val="28"/>
        </w:rPr>
      </w:pPr>
      <w:bookmarkStart w:id="318" w:name="_Toc31357"/>
      <w:bookmarkStart w:id="319" w:name="_Toc8453"/>
      <w:bookmarkStart w:id="320" w:name="_Toc29775"/>
      <w:r>
        <w:rPr>
          <w:rStyle w:val="56"/>
          <w:rFonts w:hint="eastAsia" w:ascii="仿宋" w:hAnsi="仿宋" w:eastAsia="仿宋" w:cs="仿宋"/>
          <w:sz w:val="28"/>
        </w:rPr>
        <w:t>附件4 访谈报告</w:t>
      </w:r>
      <w:bookmarkEnd w:id="318"/>
      <w:bookmarkEnd w:id="319"/>
      <w:bookmarkEnd w:id="320"/>
    </w:p>
    <w:p>
      <w:pPr>
        <w:pStyle w:val="60"/>
        <w:widowControl/>
        <w:spacing w:line="560" w:lineRule="exact"/>
        <w:ind w:firstLine="562"/>
        <w:jc w:val="center"/>
        <w:rPr>
          <w:rFonts w:ascii="仿宋" w:hAnsi="仿宋" w:eastAsia="仿宋" w:cs="仿宋"/>
          <w:b/>
          <w:sz w:val="28"/>
          <w:szCs w:val="28"/>
        </w:rPr>
      </w:pPr>
      <w:r>
        <w:rPr>
          <w:rFonts w:hint="eastAsia" w:ascii="仿宋" w:hAnsi="仿宋" w:eastAsia="仿宋" w:cs="仿宋"/>
          <w:b/>
          <w:sz w:val="28"/>
          <w:szCs w:val="28"/>
        </w:rPr>
        <w:t>运城市人力资源和社会保障局</w:t>
      </w:r>
    </w:p>
    <w:p>
      <w:pPr>
        <w:pStyle w:val="60"/>
        <w:widowControl/>
        <w:spacing w:line="560" w:lineRule="exact"/>
        <w:ind w:firstLine="562"/>
        <w:jc w:val="center"/>
        <w:rPr>
          <w:rFonts w:ascii="仿宋" w:hAnsi="仿宋" w:eastAsia="仿宋" w:cs="仿宋"/>
          <w:b/>
          <w:sz w:val="28"/>
          <w:szCs w:val="28"/>
        </w:rPr>
      </w:pPr>
      <w:r>
        <w:rPr>
          <w:rFonts w:hint="eastAsia" w:ascii="仿宋" w:hAnsi="仿宋" w:eastAsia="仿宋" w:cs="仿宋"/>
          <w:b/>
          <w:sz w:val="28"/>
          <w:szCs w:val="28"/>
        </w:rPr>
        <w:t>2021年部门整体支出访谈报告</w:t>
      </w:r>
    </w:p>
    <w:p>
      <w:pPr>
        <w:widowControl w:val="0"/>
        <w:spacing w:line="560" w:lineRule="exact"/>
        <w:ind w:firstLine="560" w:firstLineChars="200"/>
      </w:pPr>
      <w:r>
        <w:rPr>
          <w:rFonts w:hint="eastAsia"/>
        </w:rPr>
        <w:t>一、访谈背景</w:t>
      </w:r>
    </w:p>
    <w:p>
      <w:pPr>
        <w:widowControl w:val="0"/>
        <w:spacing w:line="560" w:lineRule="exact"/>
        <w:ind w:firstLine="560" w:firstLineChars="200"/>
      </w:pPr>
      <w:r>
        <w:rPr>
          <w:rFonts w:hint="eastAsia"/>
        </w:rPr>
        <w:t>（一）访谈目的</w:t>
      </w:r>
    </w:p>
    <w:p>
      <w:pPr>
        <w:widowControl w:val="0"/>
        <w:spacing w:line="560" w:lineRule="exact"/>
        <w:ind w:firstLine="560" w:firstLineChars="200"/>
      </w:pPr>
      <w:r>
        <w:rPr>
          <w:rFonts w:hint="eastAsia"/>
        </w:rPr>
        <w:t>通过对运城市人力资源和社会保障局相关负责人的访谈，了解部门职能、部门核心业能力实现程度和水平、金保工程信息化建设、体制机制改革、干部队伍建设、预决算情况，发现资金使用和管理中的问题，为更好的使用财政资金建言献策。</w:t>
      </w:r>
    </w:p>
    <w:p>
      <w:pPr>
        <w:widowControl w:val="0"/>
        <w:spacing w:line="560" w:lineRule="exact"/>
        <w:ind w:firstLine="560" w:firstLineChars="200"/>
      </w:pPr>
      <w:r>
        <w:rPr>
          <w:rFonts w:hint="eastAsia"/>
        </w:rPr>
        <w:t>（二）访谈对象和访谈内容</w:t>
      </w:r>
    </w:p>
    <w:p>
      <w:pPr>
        <w:widowControl w:val="0"/>
        <w:spacing w:line="560" w:lineRule="exact"/>
        <w:ind w:firstLine="560" w:firstLineChars="200"/>
      </w:pPr>
      <w:r>
        <w:rPr>
          <w:rFonts w:hint="eastAsia"/>
        </w:rPr>
        <w:t xml:space="preserve"> 1、访谈对象</w:t>
      </w:r>
    </w:p>
    <w:p>
      <w:pPr>
        <w:widowControl w:val="0"/>
        <w:spacing w:line="560" w:lineRule="exact"/>
        <w:ind w:firstLine="560" w:firstLineChars="200"/>
      </w:pPr>
      <w:r>
        <w:rPr>
          <w:rFonts w:hint="eastAsia"/>
        </w:rPr>
        <w:t>本次绩效评价访谈对象：运城市人力资源和社会保障局相关科室负责人。</w:t>
      </w:r>
    </w:p>
    <w:p>
      <w:pPr>
        <w:widowControl w:val="0"/>
        <w:spacing w:line="560" w:lineRule="exact"/>
        <w:ind w:firstLine="560" w:firstLineChars="200"/>
      </w:pPr>
      <w:r>
        <w:rPr>
          <w:rFonts w:hint="eastAsia"/>
        </w:rPr>
        <w:t>2、访谈内容</w:t>
      </w:r>
    </w:p>
    <w:p>
      <w:pPr>
        <w:widowControl w:val="0"/>
        <w:spacing w:line="560" w:lineRule="exact"/>
        <w:ind w:firstLine="560" w:firstLineChars="200"/>
      </w:pPr>
      <w:r>
        <w:rPr>
          <w:rFonts w:hint="eastAsia"/>
        </w:rPr>
        <w:t>通过访谈了解部门职能、部门核心业能力实现程度和水平、体制机制改革、干部队伍建设、预决算情况、资产管理情况、财务核算规范、项目实施情况；了解预算的申请、审批及拨付流程，专项资金支出情况；部门相关工作的完成情况，项目申请、审批、支付流程及专项资金使用情况，以及项目实施中遇到的问题及建议等。</w:t>
      </w:r>
    </w:p>
    <w:p>
      <w:pPr>
        <w:widowControl w:val="0"/>
        <w:spacing w:line="560" w:lineRule="exact"/>
        <w:ind w:firstLine="560" w:firstLineChars="200"/>
      </w:pPr>
      <w:r>
        <w:rPr>
          <w:rFonts w:hint="eastAsia"/>
        </w:rPr>
        <w:t>二、访谈分析</w:t>
      </w:r>
    </w:p>
    <w:p>
      <w:pPr>
        <w:widowControl w:val="0"/>
        <w:spacing w:line="560" w:lineRule="exact"/>
        <w:ind w:firstLine="560" w:firstLineChars="200"/>
      </w:pPr>
      <w:r>
        <w:rPr>
          <w:rFonts w:hint="eastAsia"/>
        </w:rPr>
        <w:t>（一）部门的职责和编制人员情况</w:t>
      </w:r>
    </w:p>
    <w:p>
      <w:pPr>
        <w:widowControl w:val="0"/>
        <w:spacing w:line="560" w:lineRule="exact"/>
        <w:ind w:firstLine="560" w:firstLineChars="200"/>
      </w:pPr>
      <w:r>
        <w:rPr>
          <w:rFonts w:hint="eastAsia"/>
        </w:rPr>
        <w:t>运城市人力资源和社会保障局内设办公室、人事科、规划财务科、就业促进科等14个行政科室，局属事业单位9个。核定编制304名，其中：机关39名、局属事业单位265名（财政拨款197名、财政补助6名、自收自支62名）。实有人数369人，其中：机关44人、局直属事业单位325人（财政拨款182人、财政补助6人、自收自支137人）。</w:t>
      </w:r>
    </w:p>
    <w:p>
      <w:pPr>
        <w:widowControl w:val="0"/>
        <w:spacing w:line="560" w:lineRule="exact"/>
        <w:ind w:firstLine="560" w:firstLineChars="200"/>
      </w:pPr>
      <w:r>
        <w:rPr>
          <w:rFonts w:hint="eastAsia"/>
        </w:rPr>
        <w:t>（二）制度制定情况</w:t>
      </w:r>
    </w:p>
    <w:p>
      <w:pPr>
        <w:widowControl w:val="0"/>
        <w:spacing w:line="560" w:lineRule="exact"/>
        <w:ind w:firstLine="560" w:firstLineChars="200"/>
      </w:pPr>
      <w:r>
        <w:rPr>
          <w:rFonts w:hint="eastAsia"/>
        </w:rPr>
        <w:t>为了贯彻落实《行政事业单位内部控制规范（试行）》，进一步提高单位内部管理水平，规范内部控制，制定了内部控制管理制度，包括单位和业务层面的内部控制两部分内容。</w:t>
      </w:r>
    </w:p>
    <w:p>
      <w:pPr>
        <w:widowControl w:val="0"/>
        <w:spacing w:line="560" w:lineRule="exact"/>
        <w:ind w:firstLine="560" w:firstLineChars="200"/>
      </w:pPr>
      <w:r>
        <w:rPr>
          <w:rFonts w:hint="eastAsia"/>
        </w:rPr>
        <w:t>（三）部门预算资金分配、配套及使用情况</w:t>
      </w:r>
    </w:p>
    <w:p>
      <w:pPr>
        <w:widowControl w:val="0"/>
        <w:spacing w:line="560" w:lineRule="exact"/>
        <w:ind w:firstLine="560" w:firstLineChars="200"/>
      </w:pPr>
      <w:r>
        <w:rPr>
          <w:rFonts w:hint="eastAsia"/>
        </w:rPr>
        <w:t>2021年运城市人力资源和社会保障局部门预算资金（可支配资金）总额6,416.61万元（2021年年初结余资金530.34万元，2021年调整预算资金2,953.58万元、非同级财政拨款2,931.15万元、利息收入1.54万元），其中：基本支出1,459.38万元，项目支出4,957.23万元。</w:t>
      </w:r>
    </w:p>
    <w:p>
      <w:pPr>
        <w:widowControl w:val="0"/>
        <w:spacing w:line="560" w:lineRule="exact"/>
        <w:ind w:firstLine="560" w:firstLineChars="200"/>
      </w:pPr>
      <w:r>
        <w:rPr>
          <w:rFonts w:hint="eastAsia"/>
        </w:rPr>
        <w:t>2021年部门可支配资金总额6,416.61万元，2021年部门支出5,409.65万元，年末结转结余资金1,006.96万元，主要为欠薪应急周转金500万元、市社保基金财政专户拨第一批职业技能提升资金496.51万元。</w:t>
      </w:r>
    </w:p>
    <w:p>
      <w:pPr>
        <w:widowControl w:val="0"/>
        <w:spacing w:line="560" w:lineRule="exact"/>
        <w:ind w:firstLine="560" w:firstLineChars="200"/>
      </w:pPr>
      <w:r>
        <w:rPr>
          <w:rFonts w:hint="eastAsia"/>
        </w:rPr>
        <w:t>2021年3月3日，运城市财政局批复了运城市人力资源和社会保障局2021年度部门预算。人社局于2021年3月15日在运城市人民政府网站上公开其部门预算，2021年度部门决算暂未公开。</w:t>
      </w:r>
    </w:p>
    <w:p>
      <w:pPr>
        <w:widowControl w:val="0"/>
        <w:spacing w:line="560" w:lineRule="exact"/>
        <w:ind w:firstLine="560" w:firstLineChars="200"/>
      </w:pPr>
      <w:r>
        <w:rPr>
          <w:rFonts w:hint="eastAsia"/>
        </w:rPr>
        <w:t>（四）绩效管理方面</w:t>
      </w:r>
    </w:p>
    <w:p>
      <w:pPr>
        <w:widowControl w:val="0"/>
        <w:spacing w:line="560" w:lineRule="exact"/>
        <w:ind w:firstLine="560" w:firstLineChars="200"/>
      </w:pPr>
      <w:r>
        <w:rPr>
          <w:rFonts w:hint="eastAsia"/>
          <w:kern w:val="0"/>
        </w:rPr>
        <w:t>2021年度申报编制仲裁院实体化建设项目、工资审批和人事计划年报经费、劳动监察专项经费等6个项目绩效申报表，及相应绩效自评报告，绩效目标申报表未细化、量化产出、效益等指标，绩效自评报告填写不完整（如：未填写摘要、项目主要经验做法、存在的主要问题及管理建议等）。</w:t>
      </w:r>
    </w:p>
    <w:p>
      <w:pPr>
        <w:widowControl w:val="0"/>
        <w:spacing w:line="560" w:lineRule="exact"/>
        <w:ind w:firstLine="560" w:firstLineChars="200"/>
      </w:pPr>
      <w:r>
        <w:rPr>
          <w:rFonts w:hint="eastAsia"/>
        </w:rPr>
        <w:t>（五）履职效能方面</w:t>
      </w:r>
    </w:p>
    <w:p>
      <w:pPr>
        <w:spacing w:line="560" w:lineRule="exact"/>
        <w:ind w:firstLine="560" w:firstLineChars="200"/>
        <w:rPr>
          <w:kern w:val="0"/>
        </w:rPr>
      </w:pPr>
      <w:r>
        <w:rPr>
          <w:rFonts w:hint="eastAsia"/>
        </w:rPr>
        <w:t>1、</w:t>
      </w:r>
      <w:r>
        <w:rPr>
          <w:rFonts w:hint="eastAsia"/>
          <w:kern w:val="0"/>
        </w:rPr>
        <w:t>就业创业培训服务完成情况</w:t>
      </w:r>
    </w:p>
    <w:p>
      <w:pPr>
        <w:spacing w:line="560" w:lineRule="exact"/>
        <w:ind w:firstLine="560" w:firstLineChars="200"/>
        <w:rPr>
          <w:kern w:val="0"/>
        </w:rPr>
      </w:pPr>
      <w:r>
        <w:rPr>
          <w:rFonts w:hint="eastAsia"/>
          <w:kern w:val="0"/>
        </w:rPr>
        <w:t>（1）深化市校合作，推动12大基地建设。成立市校合作工作专班，组织开展“运才兴运”专项活动，与武汉大学、太原理工大学等多所高校达成合作协议，全市共建立技能服务人才培养基地35个，向高校输送技能人才400余名。</w:t>
      </w:r>
    </w:p>
    <w:p>
      <w:pPr>
        <w:spacing w:line="560" w:lineRule="exact"/>
        <w:ind w:firstLine="560" w:firstLineChars="200"/>
        <w:rPr>
          <w:kern w:val="0"/>
        </w:rPr>
      </w:pPr>
      <w:r>
        <w:rPr>
          <w:rFonts w:hint="eastAsia"/>
          <w:kern w:val="0"/>
        </w:rPr>
        <w:t>（2）开设盐湖区零工市场，设置“六部五窗口”，运营以来，采集零工求职信息6000余条，举办了16场现场招聘活动，提供就业岗位2万余个，促成就业5000余人。</w:t>
      </w:r>
    </w:p>
    <w:p>
      <w:pPr>
        <w:spacing w:line="560" w:lineRule="exact"/>
        <w:ind w:firstLine="560" w:firstLineChars="200"/>
        <w:rPr>
          <w:kern w:val="0"/>
        </w:rPr>
      </w:pPr>
      <w:r>
        <w:rPr>
          <w:rFonts w:hint="eastAsia"/>
          <w:kern w:val="0"/>
        </w:rPr>
        <w:t>（3）打造“运城焊工”“关乡家嫂”“面都永济”“闻喜花馍”等特色劳务品牌14个，向省人社厅推荐省级劳务品牌10个。</w:t>
      </w:r>
    </w:p>
    <w:p>
      <w:pPr>
        <w:spacing w:line="560" w:lineRule="exact"/>
        <w:ind w:firstLine="560" w:firstLineChars="200"/>
        <w:rPr>
          <w:kern w:val="0"/>
        </w:rPr>
      </w:pPr>
      <w:r>
        <w:rPr>
          <w:rFonts w:hint="eastAsia"/>
          <w:kern w:val="0"/>
        </w:rPr>
        <w:t>（4）推进充分就业帮扶行动，助力乡村振兴。在全市13个县（市、区）确定了239个重点社区（村），向4.3万重点帮扶对象提供职业介绍、职业培训、创业帮扶等公共就业服务。</w:t>
      </w:r>
    </w:p>
    <w:p>
      <w:pPr>
        <w:spacing w:line="560" w:lineRule="exact"/>
        <w:ind w:firstLine="560" w:firstLineChars="200"/>
        <w:rPr>
          <w:kern w:val="0"/>
        </w:rPr>
      </w:pPr>
      <w:r>
        <w:rPr>
          <w:rFonts w:hint="eastAsia"/>
          <w:kern w:val="0"/>
        </w:rPr>
        <w:t>（5）加大劳务输出力度。全市城镇新增就业6.21万人，转移就业16.65万人，城镇登记失业率控制在0.02%，低于省定控制指标。</w:t>
      </w:r>
    </w:p>
    <w:p>
      <w:pPr>
        <w:spacing w:line="560" w:lineRule="exact"/>
        <w:ind w:firstLine="560" w:firstLineChars="200"/>
        <w:rPr>
          <w:kern w:val="0"/>
        </w:rPr>
      </w:pPr>
      <w:r>
        <w:rPr>
          <w:rFonts w:hint="eastAsia"/>
          <w:kern w:val="0"/>
        </w:rPr>
        <w:t>2、劳动者技能素质提升任务完成情况</w:t>
      </w:r>
    </w:p>
    <w:p>
      <w:pPr>
        <w:spacing w:line="560" w:lineRule="exact"/>
        <w:ind w:firstLine="560" w:firstLineChars="200"/>
        <w:rPr>
          <w:kern w:val="0"/>
        </w:rPr>
      </w:pPr>
      <w:r>
        <w:rPr>
          <w:rFonts w:hint="eastAsia"/>
          <w:kern w:val="0"/>
        </w:rPr>
        <w:t>（1）需求导向、分类培训。推动建立“技能运城”信息平台，畅通“线上+线下”信息渠道，全面推行实名制职业技能电子培训券使用，健全培训和就业需求信息采集、分析、研判等综合服务体系，促进实现“培训-取证-就业增收”全链条服务。</w:t>
      </w:r>
    </w:p>
    <w:p>
      <w:pPr>
        <w:spacing w:line="560" w:lineRule="exact"/>
        <w:ind w:firstLine="560" w:firstLineChars="200"/>
        <w:rPr>
          <w:kern w:val="0"/>
        </w:rPr>
      </w:pPr>
      <w:r>
        <w:rPr>
          <w:rFonts w:hint="eastAsia"/>
          <w:kern w:val="0"/>
        </w:rPr>
        <w:t>（2）推进技师学院建设、打造公共实训基地。山西省政府于2</w:t>
      </w:r>
      <w:r>
        <w:rPr>
          <w:kern w:val="0"/>
        </w:rPr>
        <w:t>021</w:t>
      </w:r>
      <w:r>
        <w:rPr>
          <w:rFonts w:hint="eastAsia"/>
          <w:kern w:val="0"/>
        </w:rPr>
        <w:t>年11月同意将运城市高级技工学校晋升为山西新产业技师学院。正在积极申报市级公共实训基地。</w:t>
      </w:r>
    </w:p>
    <w:p>
      <w:pPr>
        <w:spacing w:line="560" w:lineRule="exact"/>
        <w:ind w:firstLine="560" w:firstLineChars="200"/>
        <w:rPr>
          <w:kern w:val="0"/>
        </w:rPr>
      </w:pPr>
      <w:r>
        <w:rPr>
          <w:rFonts w:hint="eastAsia"/>
          <w:kern w:val="0"/>
        </w:rPr>
        <w:t>（3）举办技能大赛、以赛促学促训。承办第三届全省职业技能大赛决赛10个项目，13个县（市、区）全年共举办各类技能大赛16场。全市开展各类职业技能培训23.74万人，完成省级全年目标任务15万人的158.29％，完成市级全年目标任务20万人的118.72％；新增技能人才7.39万人，完成省级全年目标任务3.5万人的211.14％，完成市级全年目标任务5.5万人的134.36％；新增高技能人才1.37万人，完成省级全年目标任务8000人的171.41％，完成市级全年目标任务1万人的137.13％。</w:t>
      </w:r>
    </w:p>
    <w:p>
      <w:pPr>
        <w:spacing w:line="560" w:lineRule="exact"/>
        <w:ind w:firstLine="560" w:firstLineChars="200"/>
        <w:rPr>
          <w:kern w:val="0"/>
        </w:rPr>
      </w:pPr>
      <w:r>
        <w:rPr>
          <w:rFonts w:hint="eastAsia"/>
          <w:kern w:val="0"/>
        </w:rPr>
        <w:t>3、建立健全社会保障体系</w:t>
      </w:r>
    </w:p>
    <w:p>
      <w:pPr>
        <w:spacing w:line="560" w:lineRule="exact"/>
        <w:ind w:firstLine="560" w:firstLineChars="200"/>
        <w:rPr>
          <w:kern w:val="0"/>
        </w:rPr>
      </w:pPr>
      <w:r>
        <w:rPr>
          <w:rFonts w:hint="eastAsia"/>
          <w:kern w:val="0"/>
        </w:rPr>
        <w:t>（1）城乡居民补充养老保险工作有序推进，全市城乡居民补充养老保险参保277.54万人，参保率99.7％，全市城乡居民补充养老保险征缴人数134.7万人，征缴率60.35％，征缴金额4.38亿元。</w:t>
      </w:r>
    </w:p>
    <w:p>
      <w:pPr>
        <w:spacing w:line="560" w:lineRule="exact"/>
        <w:ind w:firstLine="560" w:firstLineChars="200"/>
        <w:rPr>
          <w:kern w:val="0"/>
        </w:rPr>
      </w:pPr>
      <w:r>
        <w:rPr>
          <w:rFonts w:hint="eastAsia"/>
          <w:kern w:val="0"/>
        </w:rPr>
        <w:t>（2）推动落实全民参保计划。全市城乡居民基本养老保险、失业保险、工伤保险参保分别达到286.54万人、38.01万人、70.93万人，均已完成年度目标任务。</w:t>
      </w:r>
    </w:p>
    <w:p>
      <w:pPr>
        <w:spacing w:line="560" w:lineRule="exact"/>
        <w:ind w:firstLine="560" w:firstLineChars="200"/>
        <w:rPr>
          <w:kern w:val="0"/>
        </w:rPr>
      </w:pPr>
      <w:r>
        <w:rPr>
          <w:rFonts w:hint="eastAsia"/>
          <w:kern w:val="0"/>
        </w:rPr>
        <w:t>（3）推动落实援企稳岗政策。为切实减轻国有困难企业负担，维护企业职工合法权益，为山西农药厂、永济纺织厂、永济印染厂、运城市鳞肥厂、新绛纺织厂等13个国企4180名参保职工落实缓交养老保险滞纳金3.6565亿元。</w:t>
      </w:r>
    </w:p>
    <w:p>
      <w:pPr>
        <w:spacing w:line="560" w:lineRule="exact"/>
        <w:ind w:firstLine="560" w:firstLineChars="200"/>
        <w:rPr>
          <w:kern w:val="0"/>
        </w:rPr>
      </w:pPr>
      <w:r>
        <w:rPr>
          <w:rFonts w:hint="eastAsia"/>
          <w:kern w:val="0"/>
        </w:rPr>
        <w:t>4、健全完善体制机制，加强人才人事管理工作。</w:t>
      </w:r>
    </w:p>
    <w:p>
      <w:pPr>
        <w:spacing w:line="560" w:lineRule="exact"/>
        <w:ind w:firstLine="560" w:firstLineChars="200"/>
        <w:rPr>
          <w:kern w:val="0"/>
        </w:rPr>
      </w:pPr>
      <w:r>
        <w:rPr>
          <w:rFonts w:hint="eastAsia"/>
          <w:kern w:val="0"/>
        </w:rPr>
        <w:t>（1）安置高校毕业生就业方面。全市安置高校毕业生就业共计13309人，其中面向全国公开引进高素质青年人才457名；全市事业单位公开招聘2327名；大学生村官招聘732人，大学生实名制登记就业9700人。</w:t>
      </w:r>
    </w:p>
    <w:p>
      <w:pPr>
        <w:spacing w:line="560" w:lineRule="exact"/>
        <w:ind w:firstLine="560" w:firstLineChars="200"/>
        <w:rPr>
          <w:kern w:val="0"/>
        </w:rPr>
      </w:pPr>
      <w:r>
        <w:rPr>
          <w:rFonts w:hint="eastAsia"/>
          <w:kern w:val="0"/>
        </w:rPr>
        <w:t>（2）培训人才方面。2021年培训人数达到81750人；通过建立高技能人才培训基地和技能大师工作室，培育高素质技能人才，运城市荣获山西省人社厅授牌的省级技能大师工作室3个，分别为：山西新绛县绛州澄泥砚研制所蔺永茂技能大师工作室、运城职业技术大学杨利技能大师工作室、永济电机高级技工学校李红军技能大师工作室。</w:t>
      </w:r>
    </w:p>
    <w:p>
      <w:pPr>
        <w:spacing w:line="560" w:lineRule="exact"/>
        <w:ind w:firstLine="560" w:firstLineChars="200"/>
        <w:rPr>
          <w:kern w:val="0"/>
        </w:rPr>
      </w:pPr>
      <w:r>
        <w:rPr>
          <w:rFonts w:hint="eastAsia"/>
          <w:kern w:val="0"/>
        </w:rPr>
        <w:t>（3）灵活机制用才方面。全面落实艰苦边远地区和基层一线岗位聘用倾斜政策，提高艰苦边远地区的乡镇事业单位高、中级专业技术岗位结构比例3％，提高全市文博系统和疾控中心岗位设置高、中级专业技术比例。</w:t>
      </w:r>
    </w:p>
    <w:p>
      <w:pPr>
        <w:spacing w:line="560" w:lineRule="exact"/>
        <w:ind w:firstLine="560" w:firstLineChars="200"/>
        <w:rPr>
          <w:kern w:val="0"/>
          <w:highlight w:val="yellow"/>
        </w:rPr>
      </w:pPr>
      <w:r>
        <w:rPr>
          <w:rFonts w:hint="eastAsia"/>
          <w:kern w:val="0"/>
        </w:rPr>
        <w:t>（4）优化服务留才。深化公立医院薪酬制度改革，落实绩效工资倾斜，市直2021年公立医院绩效工资共倾斜1.2亿元，涉及1602人，人均增加7.5万元/年。</w:t>
      </w:r>
    </w:p>
    <w:p>
      <w:pPr>
        <w:spacing w:line="560" w:lineRule="exact"/>
        <w:ind w:firstLine="560" w:firstLineChars="200"/>
        <w:rPr>
          <w:kern w:val="0"/>
        </w:rPr>
      </w:pPr>
      <w:r>
        <w:rPr>
          <w:rFonts w:hint="eastAsia"/>
          <w:kern w:val="0"/>
        </w:rPr>
        <w:t>5、加大风险防控力度，劳动关系总体和谐稳定。</w:t>
      </w:r>
    </w:p>
    <w:p>
      <w:pPr>
        <w:spacing w:line="560" w:lineRule="exact"/>
        <w:ind w:firstLine="560" w:firstLineChars="200"/>
        <w:rPr>
          <w:kern w:val="0"/>
        </w:rPr>
      </w:pPr>
      <w:r>
        <w:rPr>
          <w:rFonts w:hint="eastAsia"/>
          <w:kern w:val="0"/>
        </w:rPr>
        <w:t>（1）持续推进根治欠薪攻坚行动。全市存储1011个项目中，保函替代270个，完工返还524个，转存217个，共计释放企业资金4.79亿元；积极开展冬季专项行动、“春节大接访”、工程建设项目根治欠薪制度措施落实情况专项检查等各项活动。</w:t>
      </w:r>
    </w:p>
    <w:p>
      <w:pPr>
        <w:spacing w:line="560" w:lineRule="exact"/>
        <w:ind w:firstLine="560" w:firstLineChars="200"/>
        <w:rPr>
          <w:kern w:val="0"/>
        </w:rPr>
      </w:pPr>
      <w:r>
        <w:rPr>
          <w:rFonts w:hint="eastAsia"/>
          <w:kern w:val="0"/>
        </w:rPr>
        <w:t>（2）持续规范劳动人事争议仲裁。组织7名执法人员参加全省劳动人事争议调解仲裁与信访骨干业务能力提升培训班，组织全体行政执法人员参加“行政执法大讲堂”四期线上培训活动，进一步提升仲裁信访队伍专业化水平；完善仲裁员管理信息系统，实行仲裁员实名制管理，增强调解仲裁工作的公信力。</w:t>
      </w:r>
    </w:p>
    <w:p>
      <w:pPr>
        <w:spacing w:line="560" w:lineRule="exact"/>
        <w:ind w:firstLine="560" w:firstLineChars="200"/>
        <w:rPr>
          <w:kern w:val="0"/>
          <w:highlight w:val="yellow"/>
        </w:rPr>
      </w:pPr>
      <w:r>
        <w:rPr>
          <w:rFonts w:hint="eastAsia"/>
          <w:kern w:val="0"/>
        </w:rPr>
        <w:t>（3）持续提升信访工作质效。全面落实首问责任制，规范信访事项办理，跟进疏导教育、困难帮扶等工作，从源头上控制投诉、信访增量，防止重复信访的发生。2021年度受理信访事项44件，较2020年度下降61.8％。</w:t>
      </w:r>
    </w:p>
    <w:p>
      <w:pPr>
        <w:widowControl w:val="0"/>
        <w:spacing w:line="560" w:lineRule="exact"/>
        <w:ind w:firstLine="560" w:firstLineChars="200"/>
      </w:pPr>
      <w:r>
        <w:rPr>
          <w:rFonts w:hint="eastAsia"/>
        </w:rPr>
        <w:t>（六）资产管理方面</w:t>
      </w:r>
    </w:p>
    <w:p>
      <w:pPr>
        <w:widowControl w:val="0"/>
        <w:spacing w:line="560" w:lineRule="exact"/>
        <w:ind w:firstLine="560" w:firstLineChars="200"/>
        <w:textAlignment w:val="center"/>
      </w:pPr>
      <w:r>
        <w:rPr>
          <w:rFonts w:hint="eastAsia"/>
        </w:rPr>
        <w:t>通过访谈了解，该单位及局属事业单位未在2021年底对实物资产进行盘点，固定资产实物上未粘贴标签</w:t>
      </w:r>
      <w:r>
        <w:rPr>
          <w:rFonts w:hint="eastAsia"/>
          <w:kern w:val="0"/>
        </w:rPr>
        <w:t>。</w:t>
      </w:r>
    </w:p>
    <w:p>
      <w:pPr>
        <w:widowControl w:val="0"/>
        <w:spacing w:line="560" w:lineRule="exact"/>
        <w:ind w:firstLine="560" w:firstLineChars="200"/>
      </w:pPr>
      <w:r>
        <w:rPr>
          <w:rFonts w:hint="eastAsia"/>
        </w:rPr>
        <w:t>（七）存在的问题及建议</w:t>
      </w:r>
    </w:p>
    <w:p>
      <w:pPr>
        <w:widowControl w:val="0"/>
        <w:spacing w:line="560" w:lineRule="exact"/>
        <w:ind w:firstLine="560" w:firstLineChars="200"/>
      </w:pPr>
      <w:r>
        <w:rPr>
          <w:rFonts w:hint="eastAsia"/>
        </w:rPr>
        <w:t>1、项目单位资产管理不规范事项。</w:t>
      </w:r>
    </w:p>
    <w:p>
      <w:pPr>
        <w:widowControl w:val="0"/>
        <w:spacing w:line="560" w:lineRule="exact"/>
        <w:ind w:firstLine="560" w:firstLineChars="200"/>
      </w:pPr>
      <w:r>
        <w:rPr>
          <w:rFonts w:hint="eastAsia"/>
        </w:rPr>
        <w:t>建议：加强制度执行力度，按制度规定对固定资产进行盘点和完善实物资产卡片。</w:t>
      </w:r>
    </w:p>
    <w:p>
      <w:pPr>
        <w:widowControl w:val="0"/>
        <w:spacing w:line="560" w:lineRule="exact"/>
        <w:ind w:firstLine="560" w:firstLineChars="200"/>
      </w:pPr>
      <w:r>
        <w:rPr>
          <w:rFonts w:hint="eastAsia"/>
        </w:rPr>
        <w:t>2、项目产出质量、时效细化、量化方面欠缺，自评报告部分内容填写不完整。</w:t>
      </w:r>
    </w:p>
    <w:p>
      <w:pPr>
        <w:widowControl w:val="0"/>
        <w:spacing w:line="560" w:lineRule="exact"/>
        <w:ind w:firstLine="560" w:firstLineChars="200"/>
      </w:pPr>
      <w:r>
        <w:rPr>
          <w:rFonts w:hint="eastAsia"/>
        </w:rPr>
        <w:t>建议：重视绩效管理工作，制定绩效管理制度，根据业务特点制定切实可行的绩效目标，并对照绩效目标总要求，进一步细化分解项目绩效目标，以目标为方向、制度为依据，切实用好财政资金，经济高效地完成项目工作。</w:t>
      </w:r>
    </w:p>
    <w:p>
      <w:pPr>
        <w:pStyle w:val="60"/>
        <w:widowControl/>
        <w:spacing w:line="560" w:lineRule="exact"/>
        <w:jc w:val="center"/>
        <w:rPr>
          <w:rFonts w:ascii="仿宋" w:hAnsi="仿宋" w:eastAsia="仿宋" w:cs="仿宋"/>
          <w:b/>
          <w:sz w:val="28"/>
          <w:szCs w:val="28"/>
        </w:rPr>
      </w:pPr>
      <w:r>
        <w:rPr>
          <w:rFonts w:hint="eastAsia"/>
        </w:rPr>
        <w:br w:type="page"/>
      </w:r>
    </w:p>
    <w:p>
      <w:pPr>
        <w:pStyle w:val="76"/>
        <w:spacing w:line="560" w:lineRule="exact"/>
        <w:ind w:firstLine="0" w:firstLineChars="0"/>
        <w:rPr>
          <w:b/>
          <w:bCs/>
        </w:rPr>
      </w:pPr>
      <w:bookmarkStart w:id="321" w:name="_Toc1662"/>
      <w:bookmarkStart w:id="322" w:name="_Toc10412"/>
      <w:bookmarkStart w:id="323" w:name="_Toc6900"/>
      <w:bookmarkStart w:id="324" w:name="_Toc31091"/>
      <w:r>
        <w:rPr>
          <w:rStyle w:val="56"/>
          <w:rFonts w:hint="eastAsia"/>
          <w:sz w:val="28"/>
        </w:rPr>
        <w:t>附件</w:t>
      </w:r>
      <w:bookmarkEnd w:id="321"/>
      <w:r>
        <w:rPr>
          <w:rStyle w:val="56"/>
          <w:rFonts w:hint="eastAsia"/>
          <w:sz w:val="28"/>
        </w:rPr>
        <w:t>5 合规性报告</w:t>
      </w:r>
      <w:bookmarkEnd w:id="322"/>
      <w:bookmarkEnd w:id="323"/>
      <w:bookmarkEnd w:id="324"/>
    </w:p>
    <w:p>
      <w:pPr>
        <w:pStyle w:val="60"/>
        <w:spacing w:line="560" w:lineRule="exact"/>
        <w:ind w:firstLine="0" w:firstLineChars="0"/>
        <w:jc w:val="center"/>
        <w:rPr>
          <w:rFonts w:ascii="仿宋" w:hAnsi="仿宋" w:eastAsia="仿宋" w:cs="仿宋"/>
          <w:b/>
          <w:sz w:val="28"/>
          <w:szCs w:val="28"/>
        </w:rPr>
      </w:pPr>
      <w:r>
        <w:rPr>
          <w:rFonts w:hint="eastAsia" w:ascii="仿宋" w:hAnsi="仿宋" w:eastAsia="仿宋" w:cs="仿宋"/>
          <w:b/>
          <w:sz w:val="28"/>
          <w:szCs w:val="28"/>
        </w:rPr>
        <w:t>运城市人力资源和社会保障局</w:t>
      </w:r>
    </w:p>
    <w:p>
      <w:pPr>
        <w:pStyle w:val="60"/>
        <w:spacing w:line="560" w:lineRule="exact"/>
        <w:ind w:firstLine="0" w:firstLineChars="0"/>
        <w:jc w:val="center"/>
        <w:rPr>
          <w:rFonts w:ascii="仿宋" w:hAnsi="仿宋" w:eastAsia="仿宋" w:cs="仿宋"/>
          <w:b/>
          <w:sz w:val="28"/>
          <w:szCs w:val="28"/>
        </w:rPr>
      </w:pPr>
      <w:r>
        <w:rPr>
          <w:rFonts w:hint="eastAsia" w:ascii="仿宋" w:hAnsi="仿宋" w:eastAsia="仿宋" w:cs="仿宋"/>
          <w:b/>
          <w:sz w:val="28"/>
          <w:szCs w:val="28"/>
        </w:rPr>
        <w:t>2021年部门整体支出合规性检查报告</w:t>
      </w:r>
    </w:p>
    <w:p>
      <w:pPr>
        <w:spacing w:line="560" w:lineRule="exact"/>
        <w:ind w:firstLine="560" w:firstLineChars="200"/>
      </w:pPr>
      <w:r>
        <w:rPr>
          <w:rFonts w:hint="eastAsia"/>
        </w:rPr>
        <w:t>为保证运城市人力资源和社会保障局在资金拨付、资金支出、财务管理和项目管理等方面的规范性，特制订合规性检查方案，对2021年运城市人力资源和社会保障局部门整体支出资金使用及实施管理展开合规性检查。</w:t>
      </w:r>
    </w:p>
    <w:p>
      <w:pPr>
        <w:spacing w:line="560" w:lineRule="exact"/>
        <w:ind w:firstLine="560" w:firstLineChars="200"/>
      </w:pPr>
      <w:r>
        <w:rPr>
          <w:rFonts w:hint="eastAsia"/>
        </w:rPr>
        <w:t>一、检查范围</w:t>
      </w:r>
    </w:p>
    <w:p>
      <w:pPr>
        <w:spacing w:line="560" w:lineRule="exact"/>
        <w:ind w:firstLine="560" w:firstLineChars="200"/>
      </w:pPr>
      <w:r>
        <w:rPr>
          <w:rFonts w:hint="eastAsia"/>
        </w:rPr>
        <w:t>运城市人力资源和社会保障局2021年部门整体支出资金使用、财务管理和项目管理等方面。</w:t>
      </w:r>
    </w:p>
    <w:p>
      <w:pPr>
        <w:spacing w:line="560" w:lineRule="exact"/>
        <w:ind w:firstLine="560" w:firstLineChars="200"/>
      </w:pPr>
      <w:r>
        <w:rPr>
          <w:rFonts w:hint="eastAsia"/>
        </w:rPr>
        <w:t>二、检查依据</w:t>
      </w:r>
    </w:p>
    <w:p>
      <w:pPr>
        <w:spacing w:line="560" w:lineRule="exact"/>
        <w:ind w:firstLine="560" w:firstLineChars="200"/>
      </w:pPr>
      <w:r>
        <w:rPr>
          <w:rFonts w:hint="eastAsia"/>
        </w:rPr>
        <w:t>包括但不限于：</w:t>
      </w:r>
    </w:p>
    <w:p>
      <w:pPr>
        <w:spacing w:line="560" w:lineRule="exact"/>
        <w:ind w:firstLine="560" w:firstLineChars="200"/>
      </w:pPr>
      <w:r>
        <w:rPr>
          <w:rFonts w:hint="eastAsia"/>
        </w:rPr>
        <w:t>1、财政部《项目支出绩效评价管理办法》（财预〔2020〕10号）</w:t>
      </w:r>
    </w:p>
    <w:p>
      <w:pPr>
        <w:spacing w:line="560" w:lineRule="exact"/>
        <w:ind w:firstLine="560" w:firstLineChars="200"/>
      </w:pPr>
      <w:r>
        <w:rPr>
          <w:rFonts w:hint="eastAsia"/>
        </w:rPr>
        <w:t>2、《中共山西省委 山西省人民政府关于全面实施预算绩效管理的实施意见》（晋发〔2018〕39号）</w:t>
      </w:r>
    </w:p>
    <w:p>
      <w:pPr>
        <w:spacing w:line="560" w:lineRule="exact"/>
        <w:ind w:firstLine="560" w:firstLineChars="200"/>
      </w:pPr>
      <w:r>
        <w:rPr>
          <w:rFonts w:hint="eastAsia"/>
        </w:rPr>
        <w:t>3、《运城市财政局2022年预算绩效评价实施方案》（运财监〔2022〕6号）</w:t>
      </w:r>
    </w:p>
    <w:p>
      <w:pPr>
        <w:spacing w:line="560" w:lineRule="exact"/>
        <w:ind w:firstLine="560" w:firstLineChars="200"/>
      </w:pPr>
      <w:r>
        <w:t>4</w:t>
      </w:r>
      <w:r>
        <w:rPr>
          <w:rFonts w:hint="eastAsia"/>
        </w:rPr>
        <w:t>、其他有关的法律、法规规章、政策文件</w:t>
      </w:r>
    </w:p>
    <w:p>
      <w:pPr>
        <w:spacing w:line="560" w:lineRule="exact"/>
        <w:ind w:firstLine="560" w:firstLineChars="200"/>
      </w:pPr>
      <w:r>
        <w:rPr>
          <w:rFonts w:hint="eastAsia"/>
        </w:rPr>
        <w:t>三、合规性检查情况</w:t>
      </w:r>
    </w:p>
    <w:p>
      <w:pPr>
        <w:spacing w:line="560" w:lineRule="exact"/>
        <w:ind w:firstLine="560" w:firstLineChars="200"/>
      </w:pPr>
      <w:r>
        <w:rPr>
          <w:rFonts w:hint="eastAsia"/>
        </w:rPr>
        <w:t>（一）资金拨付、支出情况</w:t>
      </w:r>
    </w:p>
    <w:p>
      <w:pPr>
        <w:widowControl w:val="0"/>
        <w:spacing w:line="560" w:lineRule="exact"/>
        <w:ind w:firstLine="560" w:firstLineChars="200"/>
      </w:pPr>
      <w:r>
        <w:rPr>
          <w:rFonts w:hint="eastAsia"/>
        </w:rPr>
        <w:t>2021年运城市人力资源和社会保障局部门预算资金（可支配资金）总额6,416.61万元（2021年年初结余资金530.34万元，2021年调整预算资金2,953.58万元、非同级财政拨款2,931.15万元、利息收入1.54万元），其中：基本支出1,459.38万元，项目支出4,957.23万元。</w:t>
      </w:r>
    </w:p>
    <w:p>
      <w:pPr>
        <w:widowControl w:val="0"/>
        <w:spacing w:line="560" w:lineRule="exact"/>
        <w:ind w:firstLine="560" w:firstLineChars="200"/>
      </w:pPr>
      <w:r>
        <w:rPr>
          <w:rFonts w:hint="eastAsia"/>
        </w:rPr>
        <w:t>2021年部门可支配资金总额6,416.61万元，2021年部门支出5,409.65万元，年末结转结余资金1,006.96万元，主要为欠薪应急周转金500万元、市社保基金财政专户拨第一批职业技能提升资金496.51万元。</w:t>
      </w:r>
    </w:p>
    <w:p>
      <w:pPr>
        <w:spacing w:line="560" w:lineRule="exact"/>
        <w:ind w:firstLine="560" w:firstLineChars="200"/>
      </w:pPr>
      <w:r>
        <w:rPr>
          <w:rFonts w:hint="eastAsia"/>
        </w:rPr>
        <w:t>（二）财务管理情况</w:t>
      </w:r>
    </w:p>
    <w:p>
      <w:pPr>
        <w:widowControl w:val="0"/>
        <w:spacing w:line="560" w:lineRule="exact"/>
        <w:ind w:firstLine="560" w:firstLineChars="200"/>
      </w:pPr>
      <w:r>
        <w:rPr>
          <w:rFonts w:hint="eastAsia"/>
        </w:rPr>
        <w:t>项目实施单位为了规范专项资金的管理与使用，都制定了相应的专项资金管理办法，有健全的财务管理制度，包括管理费用财务管理制度、收入管理制度、合同制度、资产管理规定等，制定相关管理制度和流程合法、合规、完整。</w:t>
      </w:r>
    </w:p>
    <w:p>
      <w:pPr>
        <w:spacing w:line="560" w:lineRule="exact"/>
        <w:ind w:firstLine="560" w:firstLineChars="200"/>
      </w:pPr>
      <w:r>
        <w:rPr>
          <w:rFonts w:hint="eastAsia"/>
        </w:rPr>
        <w:t>（四）检查中发现的问题</w:t>
      </w:r>
    </w:p>
    <w:p>
      <w:pPr>
        <w:pStyle w:val="60"/>
        <w:spacing w:line="560" w:lineRule="exact"/>
        <w:ind w:firstLine="560"/>
        <w:rPr>
          <w:sz w:val="28"/>
          <w:szCs w:val="28"/>
        </w:rPr>
      </w:pPr>
      <w:r>
        <w:rPr>
          <w:rFonts w:hint="eastAsia" w:ascii="仿宋" w:hAnsi="仿宋" w:eastAsia="仿宋" w:cs="仿宋"/>
          <w:color w:val="000000"/>
          <w:sz w:val="28"/>
          <w:szCs w:val="28"/>
        </w:rPr>
        <w:t>财务管理相对规范，检查中未发现问题</w:t>
      </w:r>
      <w:r>
        <w:rPr>
          <w:rFonts w:hint="eastAsia"/>
          <w:sz w:val="28"/>
          <w:szCs w:val="28"/>
        </w:rPr>
        <w:t>。</w:t>
      </w:r>
    </w:p>
    <w:p>
      <w:pPr>
        <w:spacing w:line="560" w:lineRule="exact"/>
        <w:ind w:firstLine="560" w:firstLineChars="200"/>
      </w:pPr>
      <w:r>
        <w:rPr>
          <w:rFonts w:hint="eastAsia"/>
        </w:rPr>
        <w:t>四、检查结论</w:t>
      </w:r>
    </w:p>
    <w:p>
      <w:pPr>
        <w:spacing w:line="560" w:lineRule="exact"/>
        <w:ind w:firstLine="560" w:firstLineChars="200"/>
        <w:sectPr>
          <w:pgSz w:w="11906" w:h="16838"/>
          <w:pgMar w:top="1440" w:right="1800" w:bottom="1440" w:left="1800" w:header="851" w:footer="992" w:gutter="0"/>
          <w:cols w:space="425" w:num="1"/>
          <w:docGrid w:type="lines" w:linePitch="312" w:charSpace="0"/>
        </w:sectPr>
      </w:pPr>
      <w:r>
        <w:rPr>
          <w:rFonts w:hint="eastAsia"/>
        </w:rPr>
        <w:t>运城市人力资源和社会保障局结合本单位情况制定了多项规章制度，通过检查财务报表、总账、明细账、记账凭证、原始单据等资料，单位资金使用符合部门预算批复的用途，不存在截留、挤占、挪用、虚列支出等情况，资金使用较为合规。</w:t>
      </w:r>
    </w:p>
    <w:bookmarkEnd w:id="316"/>
    <w:bookmarkEnd w:id="317"/>
    <w:p>
      <w:pPr>
        <w:spacing w:line="560" w:lineRule="atLeast"/>
        <w:outlineLvl w:val="0"/>
        <w:rPr>
          <w:b/>
        </w:rPr>
      </w:pPr>
      <w:bookmarkStart w:id="325" w:name="_Toc29527"/>
      <w:bookmarkStart w:id="326" w:name="_Toc11349"/>
      <w:bookmarkStart w:id="327" w:name="_Toc14549"/>
      <w:r>
        <w:rPr>
          <w:rFonts w:hint="eastAsia"/>
          <w:b/>
          <w:bCs/>
        </w:rPr>
        <w:t>附件6：</w:t>
      </w:r>
      <w:r>
        <w:rPr>
          <w:rFonts w:hint="eastAsia"/>
          <w:b/>
        </w:rPr>
        <w:t xml:space="preserve">     社会调查问卷(服务对象)汇总分析报告</w:t>
      </w:r>
      <w:bookmarkEnd w:id="325"/>
    </w:p>
    <w:p>
      <w:pPr>
        <w:spacing w:line="560" w:lineRule="exact"/>
        <w:jc w:val="center"/>
        <w:rPr>
          <w:b/>
          <w:bCs/>
        </w:rPr>
      </w:pPr>
      <w:r>
        <w:rPr>
          <w:rFonts w:hint="eastAsia"/>
          <w:b/>
          <w:bCs/>
        </w:rPr>
        <w:t>2021年运城市人力资源和社会保障局部门整体支出</w:t>
      </w:r>
    </w:p>
    <w:p>
      <w:pPr>
        <w:spacing w:line="560" w:lineRule="exact"/>
        <w:jc w:val="center"/>
        <w:rPr>
          <w:b/>
          <w:bCs/>
        </w:rPr>
      </w:pPr>
      <w:r>
        <w:rPr>
          <w:rFonts w:hint="eastAsia"/>
          <w:b/>
          <w:bCs/>
        </w:rPr>
        <w:t>绩效评价满意度调查</w:t>
      </w:r>
    </w:p>
    <w:p>
      <w:pPr>
        <w:spacing w:line="560" w:lineRule="exact"/>
        <w:ind w:firstLine="562" w:firstLineChars="200"/>
        <w:outlineLvl w:val="1"/>
        <w:rPr>
          <w:b/>
        </w:rPr>
      </w:pPr>
      <w:bookmarkStart w:id="328" w:name="_Toc31786"/>
      <w:r>
        <w:rPr>
          <w:rFonts w:hint="eastAsia"/>
          <w:b/>
        </w:rPr>
        <w:t>一、调查对象与调查内容</w:t>
      </w:r>
      <w:bookmarkEnd w:id="328"/>
    </w:p>
    <w:p>
      <w:pPr>
        <w:spacing w:line="560" w:lineRule="exact"/>
        <w:ind w:firstLine="562" w:firstLineChars="200"/>
        <w:outlineLvl w:val="2"/>
        <w:rPr>
          <w:b/>
        </w:rPr>
      </w:pPr>
      <w:r>
        <w:rPr>
          <w:rFonts w:hint="eastAsia"/>
          <w:b/>
        </w:rPr>
        <w:t>（一）调查对象</w:t>
      </w:r>
    </w:p>
    <w:p>
      <w:pPr>
        <w:pStyle w:val="72"/>
        <w:spacing w:afterLines="0" w:line="560" w:lineRule="exact"/>
        <w:ind w:firstLine="560"/>
        <w:jc w:val="both"/>
        <w:rPr>
          <w:rFonts w:ascii="仿宋" w:hAnsi="仿宋"/>
          <w:sz w:val="28"/>
        </w:rPr>
      </w:pPr>
      <w:r>
        <w:rPr>
          <w:rFonts w:hint="eastAsia" w:ascii="仿宋" w:hAnsi="仿宋"/>
          <w:sz w:val="28"/>
        </w:rPr>
        <w:t>本次调查对象为运城市人社局服务对象。</w:t>
      </w:r>
    </w:p>
    <w:p>
      <w:pPr>
        <w:spacing w:line="560" w:lineRule="exact"/>
        <w:ind w:firstLine="562" w:firstLineChars="200"/>
        <w:outlineLvl w:val="2"/>
        <w:rPr>
          <w:b/>
        </w:rPr>
      </w:pPr>
      <w:r>
        <w:rPr>
          <w:rFonts w:hint="eastAsia"/>
          <w:b/>
        </w:rPr>
        <w:t>（二）调查内容</w:t>
      </w:r>
    </w:p>
    <w:p>
      <w:pPr>
        <w:pStyle w:val="69"/>
        <w:spacing w:line="560" w:lineRule="exact"/>
        <w:ind w:firstLine="560"/>
      </w:pPr>
      <w:r>
        <w:rPr>
          <w:rFonts w:hint="eastAsia"/>
          <w:kern w:val="0"/>
        </w:rPr>
        <w:t>服务对象调查问卷内容包括：对市人社局开展的技能培训及就业帮扶工作是否满意；对市人社局开展的人才建设服务工作方面是否满意</w:t>
      </w:r>
      <w:r>
        <w:rPr>
          <w:rFonts w:hint="eastAsia" w:asciiTheme="minorEastAsia" w:hAnsiTheme="minorEastAsia" w:cstheme="minorEastAsia"/>
        </w:rPr>
        <w:t>；对市人社局开展的社保宣传工作否满意；对市人社局社保办理工作服务态度及效率是否满意；对市人社局劳动争议及仲裁工作是否满意；对市人社局窗口环境及各项设施是否满意</w:t>
      </w:r>
      <w:r>
        <w:rPr>
          <w:rFonts w:hint="eastAsia"/>
        </w:rPr>
        <w:t>。</w:t>
      </w:r>
    </w:p>
    <w:p>
      <w:pPr>
        <w:pStyle w:val="72"/>
        <w:spacing w:afterLines="0" w:line="560" w:lineRule="exact"/>
        <w:ind w:firstLine="562"/>
        <w:jc w:val="both"/>
        <w:outlineLvl w:val="1"/>
        <w:rPr>
          <w:rFonts w:ascii="仿宋" w:hAnsi="仿宋"/>
          <w:b/>
          <w:sz w:val="28"/>
        </w:rPr>
      </w:pPr>
      <w:bookmarkStart w:id="329" w:name="_Toc1770"/>
      <w:r>
        <w:rPr>
          <w:rFonts w:hint="eastAsia" w:ascii="仿宋" w:hAnsi="仿宋"/>
          <w:b/>
          <w:sz w:val="28"/>
        </w:rPr>
        <w:t>二、调查方法与调查方式</w:t>
      </w:r>
      <w:bookmarkEnd w:id="329"/>
    </w:p>
    <w:p>
      <w:pPr>
        <w:pStyle w:val="72"/>
        <w:spacing w:afterLines="0" w:line="560" w:lineRule="exact"/>
        <w:ind w:firstLine="562"/>
        <w:jc w:val="both"/>
        <w:outlineLvl w:val="2"/>
        <w:rPr>
          <w:rFonts w:ascii="仿宋" w:hAnsi="仿宋"/>
          <w:b/>
          <w:sz w:val="28"/>
        </w:rPr>
      </w:pPr>
      <w:r>
        <w:rPr>
          <w:rFonts w:hint="eastAsia" w:ascii="仿宋" w:hAnsi="仿宋"/>
          <w:b/>
          <w:sz w:val="28"/>
        </w:rPr>
        <w:t>（一）调查方法</w:t>
      </w:r>
    </w:p>
    <w:p>
      <w:pPr>
        <w:pStyle w:val="72"/>
        <w:spacing w:afterLines="0" w:line="560" w:lineRule="exact"/>
        <w:ind w:firstLine="560"/>
        <w:jc w:val="both"/>
        <w:rPr>
          <w:rFonts w:ascii="仿宋" w:hAnsi="仿宋"/>
          <w:sz w:val="28"/>
        </w:rPr>
      </w:pPr>
      <w:r>
        <w:rPr>
          <w:rFonts w:hint="eastAsia" w:ascii="仿宋" w:hAnsi="仿宋"/>
          <w:sz w:val="28"/>
        </w:rPr>
        <w:t>针对上述问卷调查对象开展问卷调查，在问卷调查全面开展之前，先对部分样本问卷进行论证，依据论证结果对问卷和问卷方案进行修改和调整，以保证调研切合实际，顺利进行。</w:t>
      </w:r>
    </w:p>
    <w:p>
      <w:pPr>
        <w:pStyle w:val="72"/>
        <w:spacing w:afterLines="0" w:line="560" w:lineRule="exact"/>
        <w:ind w:firstLine="562"/>
        <w:jc w:val="both"/>
        <w:outlineLvl w:val="2"/>
        <w:rPr>
          <w:rFonts w:ascii="仿宋" w:hAnsi="仿宋"/>
          <w:sz w:val="28"/>
        </w:rPr>
      </w:pPr>
      <w:r>
        <w:rPr>
          <w:rFonts w:hint="eastAsia" w:ascii="仿宋" w:hAnsi="仿宋"/>
          <w:b/>
          <w:sz w:val="28"/>
        </w:rPr>
        <w:t>（二）调查方式</w:t>
      </w:r>
    </w:p>
    <w:p>
      <w:pPr>
        <w:pStyle w:val="72"/>
        <w:spacing w:afterLines="0" w:line="560" w:lineRule="exact"/>
        <w:ind w:firstLine="560"/>
        <w:jc w:val="both"/>
        <w:rPr>
          <w:rFonts w:ascii="仿宋" w:hAnsi="仿宋"/>
          <w:sz w:val="28"/>
        </w:rPr>
      </w:pPr>
      <w:r>
        <w:rPr>
          <w:rFonts w:hint="eastAsia" w:ascii="仿宋" w:hAnsi="仿宋"/>
          <w:sz w:val="28"/>
        </w:rPr>
        <w:t>本次调查工作人员采用网上发布电子问卷方式。共发放问卷185份，收回185份。</w:t>
      </w:r>
    </w:p>
    <w:p>
      <w:pPr>
        <w:pStyle w:val="72"/>
        <w:spacing w:afterLines="0" w:line="560" w:lineRule="exact"/>
        <w:ind w:firstLine="562"/>
        <w:jc w:val="both"/>
        <w:outlineLvl w:val="2"/>
        <w:rPr>
          <w:rFonts w:ascii="仿宋" w:hAnsi="仿宋"/>
          <w:b/>
          <w:sz w:val="28"/>
        </w:rPr>
      </w:pPr>
      <w:r>
        <w:rPr>
          <w:rFonts w:hint="eastAsia" w:ascii="仿宋" w:hAnsi="仿宋"/>
          <w:b/>
          <w:sz w:val="28"/>
        </w:rPr>
        <w:t>（三）调研安排</w:t>
      </w:r>
    </w:p>
    <w:p>
      <w:pPr>
        <w:pStyle w:val="72"/>
        <w:spacing w:afterLines="0" w:line="560" w:lineRule="exact"/>
        <w:ind w:firstLine="560"/>
        <w:jc w:val="both"/>
        <w:rPr>
          <w:rFonts w:ascii="仿宋" w:hAnsi="仿宋"/>
          <w:sz w:val="28"/>
        </w:rPr>
      </w:pPr>
      <w:r>
        <w:rPr>
          <w:rFonts w:hint="eastAsia" w:ascii="仿宋" w:hAnsi="仿宋"/>
          <w:sz w:val="28"/>
        </w:rPr>
        <w:t>根据项目进度安排，项目组于2022年9月对调查对象开展问卷调查并分析。</w:t>
      </w:r>
    </w:p>
    <w:p>
      <w:pPr>
        <w:pStyle w:val="72"/>
        <w:spacing w:afterLines="0" w:line="560" w:lineRule="exact"/>
        <w:ind w:firstLine="562"/>
        <w:jc w:val="both"/>
        <w:outlineLvl w:val="1"/>
        <w:rPr>
          <w:rFonts w:ascii="仿宋" w:hAnsi="仿宋"/>
          <w:sz w:val="28"/>
        </w:rPr>
      </w:pPr>
      <w:bookmarkStart w:id="330" w:name="_Toc9583"/>
      <w:r>
        <w:rPr>
          <w:rFonts w:hint="eastAsia" w:ascii="仿宋" w:hAnsi="仿宋"/>
          <w:b/>
          <w:sz w:val="28"/>
        </w:rPr>
        <w:t>三、调查问卷的评价方法</w:t>
      </w:r>
      <w:bookmarkEnd w:id="330"/>
    </w:p>
    <w:p>
      <w:pPr>
        <w:pStyle w:val="72"/>
        <w:spacing w:afterLines="0" w:line="560" w:lineRule="exact"/>
        <w:ind w:firstLine="560"/>
        <w:jc w:val="both"/>
        <w:rPr>
          <w:rFonts w:ascii="仿宋" w:hAnsi="仿宋"/>
          <w:sz w:val="28"/>
        </w:rPr>
      </w:pPr>
      <w:r>
        <w:rPr>
          <w:rFonts w:hint="eastAsia" w:ascii="仿宋" w:hAnsi="仿宋"/>
          <w:sz w:val="28"/>
        </w:rPr>
        <w:t>调查问卷设置了6个客观题，总分为100分。客观题各选项的评分值：选项非常满意（A）为100%，选项基本满意（B）为75%，选项一般（C）为50%，选项不满意（D）为0%。根据收回调查问卷数量，分别统计6个客观题选项A、B、C、D各自选择百分比，按6个客观题A、B、C、D选择百分比乘以各选项评分值得出各客观题加权平均满意度得分，然后计算出6个客观题算术平均数，将其作为满意度最终得分。</w:t>
      </w:r>
    </w:p>
    <w:p>
      <w:pPr>
        <w:pStyle w:val="72"/>
        <w:spacing w:afterLines="0" w:line="560" w:lineRule="exact"/>
        <w:ind w:firstLine="562"/>
        <w:jc w:val="both"/>
        <w:outlineLvl w:val="1"/>
        <w:rPr>
          <w:rFonts w:ascii="仿宋" w:hAnsi="仿宋"/>
          <w:b/>
          <w:sz w:val="28"/>
        </w:rPr>
      </w:pPr>
      <w:bookmarkStart w:id="331" w:name="_Toc16961"/>
      <w:r>
        <w:rPr>
          <w:rFonts w:hint="eastAsia" w:ascii="仿宋" w:hAnsi="仿宋"/>
          <w:b/>
          <w:sz w:val="28"/>
        </w:rPr>
        <w:t>四、调查问卷的分析</w:t>
      </w:r>
      <w:bookmarkEnd w:id="331"/>
    </w:p>
    <w:p>
      <w:pPr>
        <w:pStyle w:val="72"/>
        <w:spacing w:afterLines="0" w:line="560" w:lineRule="exact"/>
        <w:ind w:firstLine="560"/>
        <w:jc w:val="both"/>
        <w:outlineLvl w:val="2"/>
        <w:rPr>
          <w:rFonts w:ascii="仿宋" w:hAnsi="仿宋"/>
          <w:sz w:val="28"/>
        </w:rPr>
      </w:pPr>
      <w:r>
        <w:rPr>
          <w:rFonts w:hint="eastAsia" w:ascii="仿宋" w:hAnsi="仿宋"/>
          <w:sz w:val="28"/>
        </w:rPr>
        <w:t>1、被调查对象代表性分析</w:t>
      </w:r>
    </w:p>
    <w:p>
      <w:pPr>
        <w:pStyle w:val="72"/>
        <w:spacing w:afterLines="0" w:line="560" w:lineRule="exact"/>
        <w:ind w:firstLine="560"/>
        <w:jc w:val="both"/>
        <w:rPr>
          <w:rFonts w:ascii="仿宋" w:hAnsi="仿宋"/>
          <w:sz w:val="28"/>
        </w:rPr>
      </w:pPr>
      <w:r>
        <w:rPr>
          <w:rFonts w:hint="eastAsia" w:ascii="仿宋" w:hAnsi="仿宋"/>
          <w:sz w:val="28"/>
        </w:rPr>
        <w:t>（1）基本情况</w:t>
      </w:r>
    </w:p>
    <w:p>
      <w:pPr>
        <w:pStyle w:val="72"/>
        <w:spacing w:afterLines="0" w:line="560" w:lineRule="exact"/>
        <w:ind w:firstLine="560"/>
        <w:jc w:val="both"/>
        <w:rPr>
          <w:rFonts w:ascii="仿宋" w:hAnsi="仿宋"/>
          <w:sz w:val="28"/>
        </w:rPr>
      </w:pPr>
      <w:r>
        <w:rPr>
          <w:rFonts w:hint="eastAsia" w:ascii="仿宋" w:hAnsi="仿宋"/>
          <w:sz w:val="28"/>
        </w:rPr>
        <w:t>被调查的对象为运城市人社局服务的对象。</w:t>
      </w:r>
    </w:p>
    <w:p>
      <w:pPr>
        <w:pStyle w:val="72"/>
        <w:spacing w:afterLines="0" w:line="560" w:lineRule="exact"/>
        <w:ind w:firstLine="560"/>
        <w:jc w:val="both"/>
        <w:rPr>
          <w:rFonts w:ascii="仿宋" w:hAnsi="仿宋"/>
          <w:sz w:val="28"/>
        </w:rPr>
      </w:pPr>
      <w:r>
        <w:rPr>
          <w:rFonts w:hint="eastAsia" w:ascii="仿宋" w:hAnsi="仿宋"/>
          <w:sz w:val="28"/>
        </w:rPr>
        <w:t>（2）样本回收率、有效问卷率</w:t>
      </w:r>
    </w:p>
    <w:p>
      <w:pPr>
        <w:pStyle w:val="72"/>
        <w:spacing w:afterLines="0" w:line="560" w:lineRule="exact"/>
        <w:ind w:firstLine="560"/>
        <w:jc w:val="both"/>
        <w:rPr>
          <w:rFonts w:ascii="仿宋" w:hAnsi="仿宋"/>
          <w:sz w:val="28"/>
        </w:rPr>
      </w:pPr>
      <w:r>
        <w:rPr>
          <w:rFonts w:hint="eastAsia" w:ascii="仿宋" w:hAnsi="仿宋"/>
          <w:sz w:val="28"/>
        </w:rPr>
        <w:t>本次共发放200份，收回200份，有效问卷200份。</w:t>
      </w:r>
    </w:p>
    <w:p>
      <w:pPr>
        <w:pStyle w:val="72"/>
        <w:spacing w:afterLines="0" w:line="560" w:lineRule="exact"/>
        <w:ind w:firstLine="560"/>
        <w:jc w:val="both"/>
        <w:rPr>
          <w:rFonts w:ascii="仿宋" w:hAnsi="仿宋"/>
          <w:sz w:val="28"/>
        </w:rPr>
      </w:pPr>
      <w:r>
        <w:rPr>
          <w:rFonts w:hint="eastAsia" w:ascii="仿宋" w:hAnsi="仿宋"/>
          <w:sz w:val="28"/>
        </w:rPr>
        <w:t>（3）代表性分析</w:t>
      </w:r>
    </w:p>
    <w:p>
      <w:pPr>
        <w:pStyle w:val="72"/>
        <w:spacing w:afterLines="0" w:line="560" w:lineRule="exact"/>
        <w:ind w:firstLine="560"/>
        <w:jc w:val="both"/>
        <w:rPr>
          <w:rFonts w:ascii="仿宋" w:hAnsi="仿宋"/>
          <w:sz w:val="28"/>
        </w:rPr>
      </w:pPr>
      <w:r>
        <w:rPr>
          <w:rFonts w:hint="eastAsia" w:ascii="仿宋" w:hAnsi="仿宋"/>
          <w:sz w:val="28"/>
        </w:rPr>
        <w:t>有针对性的选择不同单位、不同部门、不同职业的200名服务对象进行调查，调查问卷样本选择具有足够的代表性。</w:t>
      </w:r>
    </w:p>
    <w:p>
      <w:pPr>
        <w:pStyle w:val="72"/>
        <w:spacing w:afterLines="0" w:line="560" w:lineRule="exact"/>
        <w:ind w:firstLine="560"/>
        <w:jc w:val="both"/>
        <w:outlineLvl w:val="2"/>
        <w:rPr>
          <w:rFonts w:ascii="仿宋" w:hAnsi="仿宋"/>
          <w:sz w:val="28"/>
        </w:rPr>
      </w:pPr>
      <w:r>
        <w:rPr>
          <w:rFonts w:hint="eastAsia" w:ascii="仿宋" w:hAnsi="仿宋"/>
          <w:sz w:val="28"/>
        </w:rPr>
        <w:t>2.基本问题分析</w:t>
      </w:r>
    </w:p>
    <w:p>
      <w:pPr>
        <w:spacing w:line="560" w:lineRule="exact"/>
        <w:ind w:firstLine="560" w:firstLineChars="200"/>
      </w:pPr>
      <w:r>
        <w:rPr>
          <w:rFonts w:hint="eastAsia"/>
        </w:rPr>
        <w:t>（1）</w:t>
      </w:r>
      <w:r>
        <w:rPr>
          <w:rFonts w:hint="eastAsia" w:cstheme="minorEastAsia"/>
        </w:rPr>
        <w:t>您对市人社局开展的技能培训及就业帮扶工作是否满意</w:t>
      </w:r>
    </w:p>
    <w:p>
      <w:pPr>
        <w:pStyle w:val="72"/>
        <w:spacing w:afterLines="0" w:line="560" w:lineRule="exact"/>
        <w:ind w:firstLine="560"/>
        <w:jc w:val="both"/>
        <w:rPr>
          <w:rFonts w:ascii="仿宋" w:hAnsi="仿宋"/>
          <w:sz w:val="28"/>
        </w:rPr>
      </w:pPr>
      <w:r>
        <w:rPr>
          <w:rFonts w:hint="eastAsia" w:ascii="仿宋" w:hAnsi="仿宋"/>
          <w:sz w:val="28"/>
        </w:rPr>
        <w:t>根据调查问卷结果显示，93.50%的受访者表示对市人社局开展的技能培训及就业帮扶工作非常满意，6.50%的受访者表示对市人社局开展的技能培训及就业帮扶工作整体状况基本满意。分析得出，受访者对市人社局开展的技能培训及就业帮扶工作整体状况非常满意。</w:t>
      </w:r>
    </w:p>
    <w:p>
      <w:pPr>
        <w:spacing w:line="560" w:lineRule="exact"/>
        <w:ind w:firstLine="560" w:firstLineChars="200"/>
      </w:pPr>
      <w:r>
        <w:rPr>
          <w:rFonts w:hint="eastAsia"/>
        </w:rPr>
        <w:t>（2）您对市人社局开展的人才建设服务工作方面是否满意</w:t>
      </w:r>
    </w:p>
    <w:p>
      <w:pPr>
        <w:pStyle w:val="72"/>
        <w:widowControl w:val="0"/>
        <w:spacing w:afterLines="0" w:line="560" w:lineRule="exact"/>
        <w:ind w:firstLine="560"/>
        <w:jc w:val="both"/>
        <w:rPr>
          <w:rFonts w:ascii="仿宋" w:hAnsi="仿宋"/>
          <w:sz w:val="28"/>
        </w:rPr>
      </w:pPr>
      <w:r>
        <w:rPr>
          <w:rFonts w:hint="eastAsia" w:ascii="仿宋" w:hAnsi="仿宋"/>
          <w:sz w:val="28"/>
        </w:rPr>
        <w:t>根据调查问卷结果显示，92.50%的受访者表示对市人社局开展的人才建设服务工作非常满意，6.50%的受访者表示对市人社局开展的人才建设服务工作基本满意，1%的受访者表示对市人社局开展的人才建设服务工作满意程度一般。分析得出，受访者对市人社局开展的人才建设服务工作非常满意。</w:t>
      </w:r>
    </w:p>
    <w:p>
      <w:pPr>
        <w:spacing w:line="560" w:lineRule="exact"/>
        <w:ind w:firstLine="560" w:firstLineChars="200"/>
        <w:rPr>
          <w:rFonts w:asciiTheme="minorEastAsia" w:hAnsiTheme="minorEastAsia" w:cstheme="minorEastAsia"/>
        </w:rPr>
      </w:pPr>
      <w:r>
        <w:rPr>
          <w:rFonts w:hint="eastAsia"/>
        </w:rPr>
        <w:t>(3)您对市人社局开展的社保宣传工作否满意</w:t>
      </w:r>
    </w:p>
    <w:p>
      <w:pPr>
        <w:spacing w:line="560" w:lineRule="exact"/>
        <w:ind w:firstLine="560" w:firstLineChars="200"/>
        <w:rPr>
          <w:kern w:val="0"/>
          <w:highlight w:val="yellow"/>
        </w:rPr>
      </w:pPr>
      <w:r>
        <w:rPr>
          <w:rFonts w:hint="eastAsia"/>
          <w:kern w:val="0"/>
        </w:rPr>
        <w:t>根据调查问卷结果显示，92%的受访者表示对市人社局开展的社保宣传工作非常满意</w:t>
      </w:r>
      <w:r>
        <w:rPr>
          <w:rFonts w:hint="eastAsia"/>
        </w:rPr>
        <w:t>，7%的受访者表示</w:t>
      </w:r>
      <w:r>
        <w:rPr>
          <w:rFonts w:hint="eastAsia"/>
          <w:kern w:val="0"/>
        </w:rPr>
        <w:t>对市人社局开展的社保宣传工作</w:t>
      </w:r>
      <w:r>
        <w:rPr>
          <w:rFonts w:hint="eastAsia"/>
        </w:rPr>
        <w:t>基本满意，1%的受访者表示</w:t>
      </w:r>
      <w:r>
        <w:rPr>
          <w:rFonts w:hint="eastAsia"/>
          <w:kern w:val="0"/>
        </w:rPr>
        <w:t>对市人社局开展的社保宣传工作</w:t>
      </w:r>
      <w:r>
        <w:rPr>
          <w:rFonts w:hint="eastAsia"/>
        </w:rPr>
        <w:t>满意程度一般。分析得出，受访者</w:t>
      </w:r>
      <w:r>
        <w:rPr>
          <w:rFonts w:hint="eastAsia"/>
          <w:kern w:val="0"/>
        </w:rPr>
        <w:t>对市人社局开展的社保宣传工作</w:t>
      </w:r>
      <w:r>
        <w:rPr>
          <w:rFonts w:hint="eastAsia"/>
        </w:rPr>
        <w:t>非常满意。</w:t>
      </w:r>
    </w:p>
    <w:p>
      <w:pPr>
        <w:numPr>
          <w:ilvl w:val="0"/>
          <w:numId w:val="3"/>
        </w:numPr>
        <w:spacing w:line="560" w:lineRule="exact"/>
        <w:ind w:firstLine="560" w:firstLineChars="200"/>
      </w:pPr>
      <w:r>
        <w:rPr>
          <w:rFonts w:hint="eastAsia"/>
        </w:rPr>
        <w:t>您</w:t>
      </w:r>
      <w:r>
        <w:rPr>
          <w:rFonts w:hint="eastAsia" w:cstheme="minorEastAsia"/>
        </w:rPr>
        <w:t>对市人社局社保办理工作服务态度及效率是否满意</w:t>
      </w:r>
    </w:p>
    <w:p>
      <w:pPr>
        <w:spacing w:line="560" w:lineRule="exact"/>
        <w:ind w:firstLine="560" w:firstLineChars="200"/>
      </w:pPr>
      <w:r>
        <w:rPr>
          <w:rFonts w:hint="eastAsia"/>
          <w:kern w:val="0"/>
        </w:rPr>
        <w:t>根据调查问卷结果显示，92%的受访者表示对市人社局社保办理工作服务态度及效率非常满意</w:t>
      </w:r>
      <w:r>
        <w:rPr>
          <w:rFonts w:hint="eastAsia"/>
        </w:rPr>
        <w:t>，7.5%的受访者表示对市人社局社保办理工作服务态度及效率基本满意，0.5%的受访者表示对市人社局社保办理工作服务态度及效率满意程度一般。分析得出，受访者对市人社局社保办理工作服务态度及效率非常满意。</w:t>
      </w:r>
    </w:p>
    <w:p>
      <w:pPr>
        <w:spacing w:line="560" w:lineRule="exact"/>
        <w:ind w:firstLine="560" w:firstLineChars="200"/>
      </w:pPr>
      <w:r>
        <w:rPr>
          <w:rFonts w:hint="eastAsia"/>
        </w:rPr>
        <w:t>（5）您对市人社局劳动争议及仲裁工作是否满意</w:t>
      </w:r>
    </w:p>
    <w:p>
      <w:pPr>
        <w:spacing w:line="560" w:lineRule="exact"/>
        <w:ind w:firstLine="560" w:firstLineChars="200"/>
      </w:pPr>
      <w:r>
        <w:rPr>
          <w:rFonts w:hint="eastAsia"/>
          <w:kern w:val="0"/>
        </w:rPr>
        <w:t>根据调查问卷结果显示，91%的受访者表示对市人社局劳动争议及仲裁工作非常满意</w:t>
      </w:r>
      <w:r>
        <w:rPr>
          <w:rFonts w:hint="eastAsia"/>
        </w:rPr>
        <w:t>，7.5%的受访者表示</w:t>
      </w:r>
      <w:r>
        <w:rPr>
          <w:rFonts w:hint="eastAsia"/>
          <w:kern w:val="0"/>
        </w:rPr>
        <w:t>对市人社局劳动争议及仲裁工作</w:t>
      </w:r>
      <w:r>
        <w:rPr>
          <w:rFonts w:hint="eastAsia"/>
        </w:rPr>
        <w:t>基本满意，1.5%的受访者表示</w:t>
      </w:r>
      <w:r>
        <w:rPr>
          <w:rFonts w:hint="eastAsia"/>
          <w:kern w:val="0"/>
        </w:rPr>
        <w:t>对市人社局劳动争议及仲裁工作</w:t>
      </w:r>
      <w:r>
        <w:rPr>
          <w:rFonts w:hint="eastAsia"/>
        </w:rPr>
        <w:t>满意程度一般。分析得出，受访者</w:t>
      </w:r>
      <w:r>
        <w:rPr>
          <w:rFonts w:hint="eastAsia"/>
          <w:kern w:val="0"/>
        </w:rPr>
        <w:t>对市人社局劳动争议及仲裁工作</w:t>
      </w:r>
      <w:r>
        <w:rPr>
          <w:rFonts w:hint="eastAsia"/>
        </w:rPr>
        <w:t>非常满意。</w:t>
      </w:r>
    </w:p>
    <w:p>
      <w:pPr>
        <w:spacing w:line="560" w:lineRule="exact"/>
        <w:ind w:firstLine="560" w:firstLineChars="200"/>
      </w:pPr>
      <w:r>
        <w:rPr>
          <w:rFonts w:hint="eastAsia"/>
        </w:rPr>
        <w:t>（6）您对市人社局窗口环境及各项设施是否满意</w:t>
      </w:r>
    </w:p>
    <w:p>
      <w:pPr>
        <w:spacing w:line="560" w:lineRule="exact"/>
        <w:ind w:firstLine="560" w:firstLineChars="200"/>
        <w:rPr>
          <w:kern w:val="0"/>
          <w:highlight w:val="yellow"/>
        </w:rPr>
      </w:pPr>
      <w:r>
        <w:rPr>
          <w:rFonts w:hint="eastAsia"/>
          <w:kern w:val="0"/>
        </w:rPr>
        <w:t>根据调查问卷结果显示，92%的受访者表示</w:t>
      </w:r>
      <w:r>
        <w:rPr>
          <w:rFonts w:hint="eastAsia"/>
        </w:rPr>
        <w:t>对市人社局窗口环境及各项设施</w:t>
      </w:r>
      <w:r>
        <w:rPr>
          <w:rFonts w:hint="eastAsia"/>
          <w:kern w:val="0"/>
        </w:rPr>
        <w:t>非常满意</w:t>
      </w:r>
      <w:r>
        <w:rPr>
          <w:rFonts w:hint="eastAsia"/>
        </w:rPr>
        <w:t>，6%的受访者表示对市人社局窗口环境及各项设施基本满意，2%的受访者表示对市人社局窗口环境及各项设施满意程度一般。分析得出，受访者对市人社局窗口环境及各项设施非常满意。</w:t>
      </w:r>
    </w:p>
    <w:p>
      <w:pPr>
        <w:spacing w:line="560" w:lineRule="exact"/>
        <w:ind w:firstLine="560" w:firstLineChars="200"/>
        <w:outlineLvl w:val="2"/>
      </w:pPr>
      <w:r>
        <w:rPr>
          <w:rFonts w:hint="eastAsia"/>
        </w:rPr>
        <w:t>3、满意度分析</w:t>
      </w:r>
    </w:p>
    <w:p>
      <w:pPr>
        <w:pStyle w:val="72"/>
        <w:spacing w:afterLines="0" w:line="560" w:lineRule="exact"/>
        <w:ind w:firstLine="560"/>
        <w:jc w:val="both"/>
        <w:rPr>
          <w:rFonts w:ascii="仿宋" w:hAnsi="仿宋"/>
          <w:sz w:val="28"/>
        </w:rPr>
      </w:pPr>
      <w:r>
        <w:rPr>
          <w:rFonts w:hint="eastAsia" w:ascii="仿宋" w:hAnsi="仿宋"/>
          <w:sz w:val="28"/>
        </w:rPr>
        <w:t>本次问卷调查，共整理200份问卷，综合得分为9</w:t>
      </w:r>
      <w:r>
        <w:rPr>
          <w:rFonts w:ascii="仿宋" w:hAnsi="仿宋"/>
          <w:sz w:val="28"/>
        </w:rPr>
        <w:t>7.79</w:t>
      </w:r>
      <w:r>
        <w:rPr>
          <w:rFonts w:hint="eastAsia" w:ascii="仿宋" w:hAnsi="仿宋"/>
          <w:sz w:val="28"/>
        </w:rPr>
        <w:t>分，具体满意度分项得分见附表。</w:t>
      </w:r>
    </w:p>
    <w:p>
      <w:pPr>
        <w:spacing w:after="240" w:line="500" w:lineRule="exact"/>
        <w:ind w:firstLine="643"/>
        <w:jc w:val="center"/>
        <w:outlineLvl w:val="2"/>
        <w:rPr>
          <w:b/>
          <w:sz w:val="24"/>
          <w:szCs w:val="24"/>
        </w:rPr>
      </w:pPr>
      <w:r>
        <w:rPr>
          <w:rFonts w:hint="eastAsia"/>
          <w:b/>
          <w:sz w:val="24"/>
          <w:szCs w:val="24"/>
        </w:rPr>
        <w:t>附表满意度分项得分情况</w:t>
      </w:r>
    </w:p>
    <w:tbl>
      <w:tblPr>
        <w:tblStyle w:val="19"/>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4"/>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784" w:type="dxa"/>
            <w:vAlign w:val="center"/>
          </w:tcPr>
          <w:p>
            <w:pPr>
              <w:jc w:val="center"/>
              <w:rPr>
                <w:b/>
                <w:kern w:val="0"/>
                <w:sz w:val="24"/>
                <w:szCs w:val="24"/>
              </w:rPr>
            </w:pPr>
            <w:r>
              <w:rPr>
                <w:rFonts w:hint="eastAsia"/>
                <w:b/>
                <w:kern w:val="0"/>
                <w:sz w:val="24"/>
                <w:szCs w:val="24"/>
              </w:rPr>
              <w:t>满意度评价内容</w:t>
            </w:r>
          </w:p>
        </w:tc>
        <w:tc>
          <w:tcPr>
            <w:tcW w:w="1225" w:type="dxa"/>
            <w:vAlign w:val="center"/>
          </w:tcPr>
          <w:p>
            <w:pPr>
              <w:jc w:val="center"/>
              <w:rPr>
                <w:b/>
                <w:kern w:val="0"/>
                <w:sz w:val="24"/>
                <w:szCs w:val="24"/>
              </w:rPr>
            </w:pPr>
            <w:r>
              <w:rPr>
                <w:rFonts w:hint="eastAsia"/>
                <w:b/>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1.您对市人社局开展的技能培训及就业帮扶工作是否满意</w:t>
            </w:r>
          </w:p>
        </w:tc>
        <w:tc>
          <w:tcPr>
            <w:tcW w:w="1225" w:type="dxa"/>
            <w:vAlign w:val="center"/>
          </w:tcPr>
          <w:p>
            <w:pPr>
              <w:jc w:val="center"/>
              <w:rPr>
                <w:kern w:val="0"/>
                <w:sz w:val="24"/>
                <w:szCs w:val="24"/>
                <w:highlight w:val="yellow"/>
              </w:rPr>
            </w:pPr>
            <w:r>
              <w:rPr>
                <w:rFonts w:hint="eastAsia" w:cs="宋体"/>
                <w:color w:val="000000"/>
                <w:sz w:val="24"/>
                <w:szCs w:val="24"/>
              </w:rPr>
              <w:t>98.38%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2.您对市人社局开展的人才建设服务工作方面是否满意</w:t>
            </w:r>
          </w:p>
        </w:tc>
        <w:tc>
          <w:tcPr>
            <w:tcW w:w="1225" w:type="dxa"/>
            <w:vAlign w:val="center"/>
          </w:tcPr>
          <w:p>
            <w:pPr>
              <w:jc w:val="center"/>
              <w:rPr>
                <w:kern w:val="0"/>
                <w:sz w:val="24"/>
                <w:szCs w:val="24"/>
                <w:highlight w:val="yellow"/>
              </w:rPr>
            </w:pPr>
            <w:r>
              <w:rPr>
                <w:rFonts w:hint="eastAsia" w:cs="宋体"/>
                <w:color w:val="000000"/>
                <w:sz w:val="24"/>
                <w:szCs w:val="24"/>
              </w:rPr>
              <w:t>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3.您对市人社局开展的社保宣传工作否满意</w:t>
            </w:r>
          </w:p>
        </w:tc>
        <w:tc>
          <w:tcPr>
            <w:tcW w:w="1225" w:type="dxa"/>
            <w:vAlign w:val="center"/>
          </w:tcPr>
          <w:p>
            <w:pPr>
              <w:jc w:val="center"/>
              <w:rPr>
                <w:kern w:val="0"/>
                <w:sz w:val="24"/>
                <w:szCs w:val="24"/>
                <w:highlight w:val="yellow"/>
              </w:rPr>
            </w:pPr>
            <w:r>
              <w:rPr>
                <w:rFonts w:hint="eastAsia" w:cs="宋体"/>
                <w:color w:val="000000"/>
                <w:sz w:val="24"/>
                <w:szCs w:val="24"/>
              </w:rPr>
              <w:t>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4.您对市人社局社保办理工作服务态度及效率是否满意</w:t>
            </w:r>
          </w:p>
        </w:tc>
        <w:tc>
          <w:tcPr>
            <w:tcW w:w="1225" w:type="dxa"/>
            <w:vAlign w:val="center"/>
          </w:tcPr>
          <w:p>
            <w:pPr>
              <w:jc w:val="center"/>
              <w:rPr>
                <w:kern w:val="0"/>
                <w:sz w:val="24"/>
                <w:szCs w:val="24"/>
                <w:highlight w:val="yellow"/>
              </w:rPr>
            </w:pPr>
            <w:r>
              <w:rPr>
                <w:rFonts w:hint="eastAsia" w:cs="宋体"/>
                <w:color w:val="000000"/>
                <w:sz w:val="24"/>
                <w:szCs w:val="24"/>
              </w:rPr>
              <w:t>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5.您对市人社局劳动争议及仲裁工作是否满意</w:t>
            </w:r>
          </w:p>
        </w:tc>
        <w:tc>
          <w:tcPr>
            <w:tcW w:w="1225" w:type="dxa"/>
            <w:vAlign w:val="center"/>
          </w:tcPr>
          <w:p>
            <w:pPr>
              <w:jc w:val="center"/>
              <w:rPr>
                <w:kern w:val="0"/>
                <w:sz w:val="24"/>
                <w:szCs w:val="24"/>
                <w:highlight w:val="yellow"/>
              </w:rPr>
            </w:pPr>
            <w:r>
              <w:rPr>
                <w:rFonts w:hint="eastAsia" w:cs="宋体"/>
                <w:color w:val="000000"/>
                <w:sz w:val="24"/>
                <w:szCs w:val="24"/>
              </w:rPr>
              <w:t>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6.您对市人社局窗口环境及各项设施是否满意</w:t>
            </w:r>
          </w:p>
        </w:tc>
        <w:tc>
          <w:tcPr>
            <w:tcW w:w="1225" w:type="dxa"/>
            <w:vAlign w:val="center"/>
          </w:tcPr>
          <w:p>
            <w:pPr>
              <w:jc w:val="center"/>
              <w:rPr>
                <w:kern w:val="0"/>
                <w:sz w:val="24"/>
                <w:szCs w:val="24"/>
                <w:highlight w:val="yellow"/>
              </w:rPr>
            </w:pPr>
            <w:r>
              <w:rPr>
                <w:rFonts w:hint="eastAsia" w:cs="宋体"/>
                <w:color w:val="000000"/>
                <w:sz w:val="24"/>
                <w:szCs w:val="24"/>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jc w:val="center"/>
              <w:rPr>
                <w:b/>
                <w:kern w:val="0"/>
                <w:sz w:val="24"/>
                <w:szCs w:val="24"/>
              </w:rPr>
            </w:pPr>
            <w:r>
              <w:rPr>
                <w:rFonts w:hint="eastAsia"/>
                <w:b/>
                <w:kern w:val="0"/>
                <w:sz w:val="24"/>
                <w:szCs w:val="24"/>
              </w:rPr>
              <w:t>综合满意度</w:t>
            </w:r>
          </w:p>
        </w:tc>
        <w:tc>
          <w:tcPr>
            <w:tcW w:w="1225" w:type="dxa"/>
            <w:vAlign w:val="center"/>
          </w:tcPr>
          <w:p>
            <w:pPr>
              <w:jc w:val="center"/>
              <w:rPr>
                <w:rFonts w:cs="宋体"/>
                <w:b/>
                <w:bCs/>
                <w:color w:val="000000"/>
                <w:sz w:val="24"/>
                <w:szCs w:val="24"/>
                <w:highlight w:val="yellow"/>
              </w:rPr>
            </w:pPr>
            <w:r>
              <w:rPr>
                <w:rFonts w:hint="eastAsia" w:cs="宋体"/>
                <w:b/>
                <w:bCs/>
                <w:color w:val="000000"/>
                <w:sz w:val="24"/>
                <w:szCs w:val="24"/>
              </w:rPr>
              <w:t>97.79%</w:t>
            </w:r>
          </w:p>
        </w:tc>
      </w:tr>
    </w:tbl>
    <w:p>
      <w:pPr>
        <w:pStyle w:val="7"/>
        <w:widowControl w:val="0"/>
        <w:spacing w:line="560" w:lineRule="exact"/>
        <w:jc w:val="left"/>
        <w:outlineLvl w:val="0"/>
        <w:rPr>
          <w:rFonts w:ascii="仿宋" w:eastAsia="仿宋"/>
          <w:sz w:val="22"/>
          <w:szCs w:val="22"/>
        </w:rPr>
        <w:sectPr>
          <w:pgSz w:w="11906" w:h="16838"/>
          <w:pgMar w:top="1440" w:right="1800" w:bottom="1440" w:left="1800" w:header="851" w:footer="992" w:gutter="0"/>
          <w:cols w:space="425" w:num="1"/>
          <w:docGrid w:type="lines" w:linePitch="312" w:charSpace="0"/>
        </w:sectPr>
      </w:pPr>
    </w:p>
    <w:p>
      <w:pPr>
        <w:spacing w:line="560" w:lineRule="atLeast"/>
        <w:outlineLvl w:val="0"/>
        <w:rPr>
          <w:b/>
        </w:rPr>
      </w:pPr>
      <w:bookmarkStart w:id="332" w:name="_Toc9373"/>
      <w:r>
        <w:rPr>
          <w:rFonts w:hint="eastAsia"/>
          <w:b/>
          <w:bCs/>
        </w:rPr>
        <w:t>附件7：</w:t>
      </w:r>
      <w:r>
        <w:rPr>
          <w:rFonts w:hint="eastAsia"/>
          <w:b/>
        </w:rPr>
        <w:t xml:space="preserve">     社会调查问卷(管理对象)汇总分析报告</w:t>
      </w:r>
      <w:bookmarkEnd w:id="332"/>
    </w:p>
    <w:p>
      <w:pPr>
        <w:spacing w:line="560" w:lineRule="exact"/>
        <w:jc w:val="center"/>
        <w:rPr>
          <w:b/>
          <w:bCs/>
        </w:rPr>
      </w:pPr>
      <w:r>
        <w:rPr>
          <w:rFonts w:hint="eastAsia"/>
          <w:b/>
          <w:bCs/>
        </w:rPr>
        <w:t>2021年运城市人力资源和社会保障局部门整体支出</w:t>
      </w:r>
    </w:p>
    <w:p>
      <w:pPr>
        <w:spacing w:line="560" w:lineRule="exact"/>
        <w:jc w:val="center"/>
        <w:rPr>
          <w:b/>
          <w:bCs/>
        </w:rPr>
      </w:pPr>
      <w:r>
        <w:rPr>
          <w:rFonts w:hint="eastAsia"/>
          <w:b/>
          <w:bCs/>
        </w:rPr>
        <w:t>绩效评价满意度调查</w:t>
      </w:r>
    </w:p>
    <w:p>
      <w:pPr>
        <w:spacing w:line="560" w:lineRule="exact"/>
        <w:ind w:firstLine="562" w:firstLineChars="200"/>
        <w:outlineLvl w:val="1"/>
        <w:rPr>
          <w:b/>
        </w:rPr>
      </w:pPr>
      <w:bookmarkStart w:id="333" w:name="_Toc11590"/>
      <w:r>
        <w:rPr>
          <w:rFonts w:hint="eastAsia"/>
          <w:b/>
        </w:rPr>
        <w:t>一、调查对象与调查内容</w:t>
      </w:r>
      <w:bookmarkEnd w:id="333"/>
    </w:p>
    <w:p>
      <w:pPr>
        <w:spacing w:line="560" w:lineRule="exact"/>
        <w:ind w:firstLine="562" w:firstLineChars="200"/>
        <w:outlineLvl w:val="2"/>
        <w:rPr>
          <w:b/>
        </w:rPr>
      </w:pPr>
      <w:r>
        <w:rPr>
          <w:rFonts w:hint="eastAsia"/>
          <w:b/>
        </w:rPr>
        <w:t>（一）调查对象</w:t>
      </w:r>
    </w:p>
    <w:p>
      <w:pPr>
        <w:pStyle w:val="72"/>
        <w:spacing w:afterLines="0" w:line="560" w:lineRule="exact"/>
        <w:ind w:firstLine="560"/>
        <w:jc w:val="both"/>
        <w:rPr>
          <w:rFonts w:ascii="仿宋" w:hAnsi="仿宋"/>
          <w:sz w:val="28"/>
        </w:rPr>
      </w:pPr>
      <w:r>
        <w:rPr>
          <w:rFonts w:hint="eastAsia" w:ascii="仿宋" w:hAnsi="仿宋"/>
          <w:sz w:val="28"/>
        </w:rPr>
        <w:t>本次调查对象为运城市人社局单位职工。</w:t>
      </w:r>
    </w:p>
    <w:p>
      <w:pPr>
        <w:spacing w:line="560" w:lineRule="exact"/>
        <w:ind w:firstLine="562" w:firstLineChars="200"/>
        <w:outlineLvl w:val="2"/>
        <w:rPr>
          <w:b/>
        </w:rPr>
      </w:pPr>
      <w:r>
        <w:rPr>
          <w:rFonts w:hint="eastAsia"/>
          <w:b/>
        </w:rPr>
        <w:t>（二）调查内容</w:t>
      </w:r>
    </w:p>
    <w:p>
      <w:pPr>
        <w:pStyle w:val="69"/>
        <w:spacing w:line="560" w:lineRule="exact"/>
        <w:ind w:firstLine="560"/>
      </w:pPr>
      <w:r>
        <w:rPr>
          <w:rFonts w:hint="eastAsia"/>
          <w:kern w:val="0"/>
        </w:rPr>
        <w:t>管理对象调查问卷内容包括：对单位金保工程“一卡通”信息化使用效果是否满意；</w:t>
      </w:r>
      <w:r>
        <w:rPr>
          <w:rFonts w:hint="eastAsia" w:cstheme="minorEastAsia"/>
        </w:rPr>
        <w:t>对单位内部业务办理流程是否满意</w:t>
      </w:r>
      <w:r>
        <w:rPr>
          <w:rFonts w:hint="eastAsia"/>
          <w:kern w:val="0"/>
        </w:rPr>
        <w:t>；</w:t>
      </w:r>
      <w:r>
        <w:rPr>
          <w:rFonts w:hint="eastAsia" w:cstheme="minorEastAsia"/>
        </w:rPr>
        <w:t>对单位开展的知识培训及工作能力提升工作是否满意</w:t>
      </w:r>
      <w:r>
        <w:rPr>
          <w:rFonts w:hint="eastAsia"/>
          <w:kern w:val="0"/>
        </w:rPr>
        <w:t>；</w:t>
      </w:r>
      <w:r>
        <w:rPr>
          <w:rFonts w:hint="eastAsia" w:cstheme="minorEastAsia"/>
        </w:rPr>
        <w:t>对单位办公环境整体效果是否满意</w:t>
      </w:r>
      <w:r>
        <w:rPr>
          <w:rFonts w:hint="eastAsia"/>
        </w:rPr>
        <w:t>。</w:t>
      </w:r>
    </w:p>
    <w:p>
      <w:pPr>
        <w:pStyle w:val="72"/>
        <w:spacing w:afterLines="0" w:line="560" w:lineRule="exact"/>
        <w:ind w:firstLine="562"/>
        <w:jc w:val="both"/>
        <w:outlineLvl w:val="1"/>
        <w:rPr>
          <w:rFonts w:ascii="仿宋" w:hAnsi="仿宋"/>
          <w:b/>
          <w:sz w:val="28"/>
        </w:rPr>
      </w:pPr>
      <w:bookmarkStart w:id="334" w:name="_Toc13698"/>
      <w:r>
        <w:rPr>
          <w:rFonts w:hint="eastAsia" w:ascii="仿宋" w:hAnsi="仿宋"/>
          <w:b/>
          <w:sz w:val="28"/>
        </w:rPr>
        <w:t>二、调查方法与调查方式</w:t>
      </w:r>
      <w:bookmarkEnd w:id="334"/>
    </w:p>
    <w:p>
      <w:pPr>
        <w:pStyle w:val="72"/>
        <w:spacing w:afterLines="0" w:line="560" w:lineRule="exact"/>
        <w:ind w:firstLine="562"/>
        <w:jc w:val="both"/>
        <w:outlineLvl w:val="2"/>
        <w:rPr>
          <w:rFonts w:ascii="仿宋" w:hAnsi="仿宋"/>
          <w:b/>
          <w:sz w:val="28"/>
        </w:rPr>
      </w:pPr>
      <w:r>
        <w:rPr>
          <w:rFonts w:hint="eastAsia" w:ascii="仿宋" w:hAnsi="仿宋"/>
          <w:b/>
          <w:sz w:val="28"/>
        </w:rPr>
        <w:t>（一）调查方法</w:t>
      </w:r>
    </w:p>
    <w:p>
      <w:pPr>
        <w:pStyle w:val="72"/>
        <w:spacing w:afterLines="0" w:line="560" w:lineRule="exact"/>
        <w:ind w:firstLine="560"/>
        <w:jc w:val="both"/>
        <w:rPr>
          <w:rFonts w:ascii="仿宋" w:hAnsi="仿宋"/>
          <w:sz w:val="28"/>
        </w:rPr>
      </w:pPr>
      <w:r>
        <w:rPr>
          <w:rFonts w:hint="eastAsia" w:ascii="仿宋" w:hAnsi="仿宋"/>
          <w:sz w:val="28"/>
        </w:rPr>
        <w:t>针对上述问卷调查对象开展问卷调查，在问卷调查全面开展之前，先对部分样本问卷进行论证，依据论证结果对问卷和问卷方案进行修改和调整，以保证调研切合实际，顺利进行。</w:t>
      </w:r>
    </w:p>
    <w:p>
      <w:pPr>
        <w:pStyle w:val="72"/>
        <w:spacing w:afterLines="0" w:line="560" w:lineRule="exact"/>
        <w:ind w:firstLine="562"/>
        <w:jc w:val="both"/>
        <w:outlineLvl w:val="2"/>
        <w:rPr>
          <w:rFonts w:ascii="仿宋" w:hAnsi="仿宋"/>
          <w:sz w:val="28"/>
        </w:rPr>
      </w:pPr>
      <w:r>
        <w:rPr>
          <w:rFonts w:hint="eastAsia" w:ascii="仿宋" w:hAnsi="仿宋"/>
          <w:b/>
          <w:sz w:val="28"/>
        </w:rPr>
        <w:t>（二）调查方式</w:t>
      </w:r>
    </w:p>
    <w:p>
      <w:pPr>
        <w:pStyle w:val="72"/>
        <w:spacing w:afterLines="0" w:line="560" w:lineRule="exact"/>
        <w:ind w:firstLine="560"/>
        <w:jc w:val="both"/>
        <w:rPr>
          <w:rFonts w:ascii="仿宋" w:hAnsi="仿宋"/>
          <w:sz w:val="28"/>
        </w:rPr>
      </w:pPr>
      <w:r>
        <w:rPr>
          <w:rFonts w:hint="eastAsia" w:ascii="仿宋" w:hAnsi="仿宋"/>
          <w:sz w:val="28"/>
        </w:rPr>
        <w:t>本次调查工作人员采用网上发布电子问卷方式。共发放问卷82份，收回82份。</w:t>
      </w:r>
    </w:p>
    <w:p>
      <w:pPr>
        <w:pStyle w:val="72"/>
        <w:spacing w:afterLines="0" w:line="560" w:lineRule="exact"/>
        <w:ind w:firstLine="562"/>
        <w:jc w:val="both"/>
        <w:outlineLvl w:val="2"/>
        <w:rPr>
          <w:rFonts w:ascii="仿宋" w:hAnsi="仿宋"/>
          <w:b/>
          <w:sz w:val="28"/>
        </w:rPr>
      </w:pPr>
      <w:r>
        <w:rPr>
          <w:rFonts w:hint="eastAsia" w:ascii="仿宋" w:hAnsi="仿宋"/>
          <w:b/>
          <w:sz w:val="28"/>
        </w:rPr>
        <w:t>（三）调研安排</w:t>
      </w:r>
    </w:p>
    <w:p>
      <w:pPr>
        <w:pStyle w:val="72"/>
        <w:spacing w:afterLines="0" w:line="560" w:lineRule="exact"/>
        <w:ind w:firstLine="560"/>
        <w:jc w:val="both"/>
        <w:rPr>
          <w:rFonts w:ascii="仿宋" w:hAnsi="仿宋"/>
          <w:sz w:val="28"/>
        </w:rPr>
      </w:pPr>
      <w:r>
        <w:rPr>
          <w:rFonts w:hint="eastAsia" w:ascii="仿宋" w:hAnsi="仿宋"/>
          <w:sz w:val="28"/>
        </w:rPr>
        <w:t>根据项目进度安排，项目组于2022年9月对调查对象开展问卷调查并分析。</w:t>
      </w:r>
    </w:p>
    <w:p>
      <w:pPr>
        <w:pStyle w:val="72"/>
        <w:spacing w:afterLines="0" w:line="560" w:lineRule="exact"/>
        <w:ind w:firstLine="562"/>
        <w:jc w:val="both"/>
        <w:outlineLvl w:val="1"/>
        <w:rPr>
          <w:rFonts w:ascii="仿宋" w:hAnsi="仿宋"/>
          <w:sz w:val="28"/>
        </w:rPr>
      </w:pPr>
      <w:bookmarkStart w:id="335" w:name="_Toc25047"/>
      <w:r>
        <w:rPr>
          <w:rFonts w:hint="eastAsia" w:ascii="仿宋" w:hAnsi="仿宋"/>
          <w:b/>
          <w:sz w:val="28"/>
        </w:rPr>
        <w:t>三、调查问卷的评价方法</w:t>
      </w:r>
      <w:bookmarkEnd w:id="335"/>
    </w:p>
    <w:p>
      <w:pPr>
        <w:pStyle w:val="72"/>
        <w:spacing w:afterLines="0" w:line="560" w:lineRule="exact"/>
        <w:ind w:firstLine="560"/>
        <w:jc w:val="both"/>
        <w:rPr>
          <w:rFonts w:ascii="仿宋" w:hAnsi="仿宋"/>
          <w:sz w:val="28"/>
        </w:rPr>
      </w:pPr>
      <w:r>
        <w:rPr>
          <w:rFonts w:hint="eastAsia" w:ascii="仿宋" w:hAnsi="仿宋"/>
          <w:sz w:val="28"/>
        </w:rPr>
        <w:t>调查问卷设置了4个客观题，总分为100分。客观题各选项的评分值：选项非常满意（A）为100%，选项基本满意（B）为75%，选项一般（C）为50%，选项不满意（D）为0%。根据收回调查问卷数量，分别统计4个客观题选项A、B、C、D各自选择百分比，按4个客观题A、B、C、D选择百分比乘以各选项评分值得出各客观题加权平均满意度得分，然后计算出4个客观题算术平均数，将其作为满意度最终得分。</w:t>
      </w:r>
    </w:p>
    <w:p>
      <w:pPr>
        <w:pStyle w:val="72"/>
        <w:spacing w:afterLines="0" w:line="560" w:lineRule="exact"/>
        <w:ind w:firstLine="562"/>
        <w:jc w:val="both"/>
        <w:outlineLvl w:val="1"/>
        <w:rPr>
          <w:rFonts w:ascii="仿宋" w:hAnsi="仿宋"/>
          <w:b/>
          <w:sz w:val="28"/>
        </w:rPr>
      </w:pPr>
      <w:bookmarkStart w:id="336" w:name="_Toc19112"/>
      <w:r>
        <w:rPr>
          <w:rFonts w:hint="eastAsia" w:ascii="仿宋" w:hAnsi="仿宋"/>
          <w:b/>
          <w:sz w:val="28"/>
        </w:rPr>
        <w:t>四、调查问卷的分析</w:t>
      </w:r>
      <w:bookmarkEnd w:id="336"/>
    </w:p>
    <w:p>
      <w:pPr>
        <w:pStyle w:val="72"/>
        <w:spacing w:afterLines="0" w:line="560" w:lineRule="exact"/>
        <w:ind w:firstLine="560"/>
        <w:jc w:val="both"/>
        <w:outlineLvl w:val="2"/>
        <w:rPr>
          <w:rFonts w:ascii="仿宋" w:hAnsi="仿宋"/>
          <w:sz w:val="28"/>
        </w:rPr>
      </w:pPr>
      <w:r>
        <w:rPr>
          <w:rFonts w:hint="eastAsia" w:ascii="仿宋" w:hAnsi="仿宋"/>
          <w:sz w:val="28"/>
        </w:rPr>
        <w:t>1、被调查对象代表性分析</w:t>
      </w:r>
    </w:p>
    <w:p>
      <w:pPr>
        <w:pStyle w:val="72"/>
        <w:spacing w:afterLines="0" w:line="560" w:lineRule="exact"/>
        <w:ind w:firstLine="560"/>
        <w:jc w:val="both"/>
        <w:rPr>
          <w:rFonts w:ascii="仿宋" w:hAnsi="仿宋"/>
          <w:sz w:val="28"/>
        </w:rPr>
      </w:pPr>
      <w:r>
        <w:rPr>
          <w:rFonts w:hint="eastAsia" w:ascii="仿宋" w:hAnsi="仿宋"/>
          <w:sz w:val="28"/>
        </w:rPr>
        <w:t>（1）基本情况</w:t>
      </w:r>
    </w:p>
    <w:p>
      <w:pPr>
        <w:pStyle w:val="72"/>
        <w:spacing w:afterLines="0" w:line="560" w:lineRule="exact"/>
        <w:ind w:firstLine="560"/>
        <w:jc w:val="both"/>
        <w:rPr>
          <w:rFonts w:ascii="仿宋" w:hAnsi="仿宋"/>
          <w:sz w:val="28"/>
        </w:rPr>
      </w:pPr>
      <w:r>
        <w:rPr>
          <w:rFonts w:hint="eastAsia" w:ascii="仿宋" w:hAnsi="仿宋"/>
          <w:sz w:val="28"/>
        </w:rPr>
        <w:t>被调查的对象为运城市人社局单位职工。</w:t>
      </w:r>
    </w:p>
    <w:p>
      <w:pPr>
        <w:pStyle w:val="72"/>
        <w:spacing w:afterLines="0" w:line="560" w:lineRule="exact"/>
        <w:ind w:firstLine="560"/>
        <w:jc w:val="both"/>
        <w:rPr>
          <w:rFonts w:ascii="仿宋" w:hAnsi="仿宋"/>
          <w:sz w:val="28"/>
        </w:rPr>
      </w:pPr>
      <w:r>
        <w:rPr>
          <w:rFonts w:hint="eastAsia" w:ascii="仿宋" w:hAnsi="仿宋"/>
          <w:sz w:val="28"/>
        </w:rPr>
        <w:t>（2）样本回收率、有效问卷率</w:t>
      </w:r>
    </w:p>
    <w:p>
      <w:pPr>
        <w:pStyle w:val="72"/>
        <w:spacing w:afterLines="0" w:line="560" w:lineRule="exact"/>
        <w:ind w:firstLine="560"/>
        <w:jc w:val="both"/>
        <w:rPr>
          <w:rFonts w:ascii="仿宋" w:hAnsi="仿宋"/>
          <w:sz w:val="28"/>
        </w:rPr>
      </w:pPr>
      <w:r>
        <w:rPr>
          <w:rFonts w:hint="eastAsia" w:ascii="仿宋" w:hAnsi="仿宋"/>
          <w:sz w:val="28"/>
        </w:rPr>
        <w:t>本次共发放82份，收回82份，有效问卷82份。</w:t>
      </w:r>
    </w:p>
    <w:p>
      <w:pPr>
        <w:pStyle w:val="72"/>
        <w:spacing w:afterLines="0" w:line="560" w:lineRule="exact"/>
        <w:ind w:firstLine="560"/>
        <w:jc w:val="both"/>
        <w:rPr>
          <w:rFonts w:ascii="仿宋" w:hAnsi="仿宋"/>
          <w:sz w:val="28"/>
        </w:rPr>
      </w:pPr>
      <w:r>
        <w:rPr>
          <w:rFonts w:hint="eastAsia" w:ascii="仿宋" w:hAnsi="仿宋"/>
          <w:sz w:val="28"/>
        </w:rPr>
        <w:t>（3）代表性分析</w:t>
      </w:r>
    </w:p>
    <w:p>
      <w:pPr>
        <w:pStyle w:val="72"/>
        <w:spacing w:afterLines="0" w:line="560" w:lineRule="exact"/>
        <w:ind w:firstLine="560"/>
        <w:jc w:val="both"/>
        <w:rPr>
          <w:rFonts w:ascii="仿宋" w:hAnsi="仿宋"/>
          <w:sz w:val="28"/>
        </w:rPr>
      </w:pPr>
      <w:r>
        <w:rPr>
          <w:rFonts w:hint="eastAsia" w:ascii="仿宋" w:hAnsi="仿宋"/>
          <w:sz w:val="28"/>
        </w:rPr>
        <w:t>对人社局82名单位人员进行调查，调查问卷样本选择具有足够的代表性。</w:t>
      </w:r>
    </w:p>
    <w:p>
      <w:pPr>
        <w:pStyle w:val="72"/>
        <w:spacing w:afterLines="0" w:line="560" w:lineRule="exact"/>
        <w:ind w:firstLine="560"/>
        <w:jc w:val="both"/>
        <w:outlineLvl w:val="2"/>
        <w:rPr>
          <w:rFonts w:ascii="仿宋" w:hAnsi="仿宋"/>
          <w:sz w:val="28"/>
        </w:rPr>
      </w:pPr>
      <w:r>
        <w:rPr>
          <w:rFonts w:hint="eastAsia" w:ascii="仿宋" w:hAnsi="仿宋"/>
          <w:sz w:val="28"/>
        </w:rPr>
        <w:t>2.基本问题分析</w:t>
      </w:r>
    </w:p>
    <w:p>
      <w:pPr>
        <w:spacing w:line="560" w:lineRule="exact"/>
        <w:ind w:firstLine="560" w:firstLineChars="200"/>
      </w:pPr>
      <w:r>
        <w:rPr>
          <w:rFonts w:hint="eastAsia"/>
        </w:rPr>
        <w:t>（1）</w:t>
      </w:r>
      <w:r>
        <w:rPr>
          <w:rFonts w:hint="eastAsia" w:cstheme="minorEastAsia"/>
        </w:rPr>
        <w:t>您对单位金保工程“一卡通”信息化使用效果是否满意</w:t>
      </w:r>
    </w:p>
    <w:p>
      <w:pPr>
        <w:pStyle w:val="72"/>
        <w:spacing w:afterLines="0" w:line="560" w:lineRule="exact"/>
        <w:ind w:firstLine="560"/>
        <w:jc w:val="both"/>
        <w:rPr>
          <w:rFonts w:ascii="仿宋" w:hAnsi="仿宋"/>
          <w:sz w:val="28"/>
        </w:rPr>
      </w:pPr>
      <w:r>
        <w:rPr>
          <w:rFonts w:hint="eastAsia" w:ascii="仿宋" w:hAnsi="仿宋"/>
          <w:sz w:val="28"/>
        </w:rPr>
        <w:t>根据调查问卷结果显示，97.56%的受访者表示对单位金保工程“一卡通”信息化使用效果非常满意，2.44%的受访者表示对单位金保工程“一卡通”信息化使用效果基本满意。分析得出，受访者对单位金保工程“一卡通”信息化使用效果非常满意。</w:t>
      </w:r>
    </w:p>
    <w:p>
      <w:pPr>
        <w:spacing w:line="560" w:lineRule="exact"/>
        <w:ind w:firstLine="560" w:firstLineChars="200"/>
      </w:pPr>
      <w:r>
        <w:rPr>
          <w:rFonts w:hint="eastAsia"/>
        </w:rPr>
        <w:t>（2）您</w:t>
      </w:r>
      <w:r>
        <w:rPr>
          <w:rFonts w:hint="eastAsia" w:cstheme="minorEastAsia"/>
        </w:rPr>
        <w:t>对单位内部业务办理流程是否满意</w:t>
      </w:r>
    </w:p>
    <w:p>
      <w:pPr>
        <w:pStyle w:val="72"/>
        <w:widowControl w:val="0"/>
        <w:spacing w:afterLines="0" w:line="560" w:lineRule="exact"/>
        <w:ind w:firstLine="560"/>
        <w:jc w:val="both"/>
        <w:rPr>
          <w:rFonts w:ascii="仿宋" w:hAnsi="仿宋"/>
          <w:sz w:val="28"/>
        </w:rPr>
      </w:pPr>
      <w:r>
        <w:rPr>
          <w:rFonts w:hint="eastAsia" w:ascii="仿宋" w:hAnsi="仿宋"/>
          <w:sz w:val="28"/>
        </w:rPr>
        <w:t>根据调查问卷结果显示，97.56%的受访者表示</w:t>
      </w:r>
      <w:r>
        <w:rPr>
          <w:rFonts w:hint="eastAsia" w:ascii="仿宋" w:hAnsi="仿宋" w:cstheme="minorEastAsia"/>
          <w:sz w:val="28"/>
        </w:rPr>
        <w:t>对单位内部业务办理流程</w:t>
      </w:r>
      <w:r>
        <w:rPr>
          <w:rFonts w:hint="eastAsia" w:ascii="仿宋" w:hAnsi="仿宋"/>
          <w:sz w:val="28"/>
        </w:rPr>
        <w:t>非常满意，2.44%的受访者表示</w:t>
      </w:r>
      <w:r>
        <w:rPr>
          <w:rFonts w:hint="eastAsia" w:ascii="仿宋" w:hAnsi="仿宋" w:cstheme="minorEastAsia"/>
          <w:sz w:val="28"/>
        </w:rPr>
        <w:t>对单位内部业务办理流程</w:t>
      </w:r>
      <w:r>
        <w:rPr>
          <w:rFonts w:hint="eastAsia" w:ascii="仿宋" w:hAnsi="仿宋"/>
          <w:sz w:val="28"/>
        </w:rPr>
        <w:t>基本满意。分析得出，受访者</w:t>
      </w:r>
      <w:r>
        <w:rPr>
          <w:rFonts w:hint="eastAsia" w:ascii="仿宋" w:hAnsi="仿宋" w:cstheme="minorEastAsia"/>
          <w:sz w:val="28"/>
        </w:rPr>
        <w:t>对单位内部业务办理流程</w:t>
      </w:r>
      <w:r>
        <w:rPr>
          <w:rFonts w:hint="eastAsia" w:ascii="仿宋" w:hAnsi="仿宋"/>
          <w:sz w:val="28"/>
        </w:rPr>
        <w:t>非常满意。</w:t>
      </w:r>
    </w:p>
    <w:p>
      <w:pPr>
        <w:spacing w:line="560" w:lineRule="exact"/>
        <w:ind w:firstLine="560" w:firstLineChars="200"/>
        <w:rPr>
          <w:rFonts w:asciiTheme="minorEastAsia" w:hAnsiTheme="minorEastAsia" w:cstheme="minorEastAsia"/>
        </w:rPr>
      </w:pPr>
      <w:r>
        <w:rPr>
          <w:rFonts w:hint="eastAsia"/>
        </w:rPr>
        <w:t>(3)您</w:t>
      </w:r>
      <w:r>
        <w:rPr>
          <w:rFonts w:hint="eastAsia" w:cstheme="minorEastAsia"/>
        </w:rPr>
        <w:t>对单位开展的知识培训及工作能力提升工作是否满意</w:t>
      </w:r>
    </w:p>
    <w:p>
      <w:pPr>
        <w:spacing w:line="560" w:lineRule="exact"/>
        <w:ind w:firstLine="560" w:firstLineChars="200"/>
        <w:rPr>
          <w:kern w:val="0"/>
          <w:highlight w:val="yellow"/>
        </w:rPr>
      </w:pPr>
      <w:r>
        <w:rPr>
          <w:rFonts w:hint="eastAsia"/>
          <w:kern w:val="0"/>
        </w:rPr>
        <w:t>根据调查问卷结果显示，97.56%的受访者表示对单位开展的知识培训及工作能力提升工作非常满意</w:t>
      </w:r>
      <w:r>
        <w:rPr>
          <w:rFonts w:hint="eastAsia"/>
        </w:rPr>
        <w:t>，2.44%的受访者表示</w:t>
      </w:r>
      <w:r>
        <w:rPr>
          <w:rFonts w:hint="eastAsia"/>
          <w:kern w:val="0"/>
        </w:rPr>
        <w:t>对单位开展的知识培训及工作能力提升工作</w:t>
      </w:r>
      <w:r>
        <w:rPr>
          <w:rFonts w:hint="eastAsia"/>
        </w:rPr>
        <w:t>基本满意。分析得出，受访者</w:t>
      </w:r>
      <w:r>
        <w:rPr>
          <w:rFonts w:hint="eastAsia"/>
          <w:kern w:val="0"/>
        </w:rPr>
        <w:t>对单位开展的知识培训及工作能力提升工作</w:t>
      </w:r>
      <w:r>
        <w:rPr>
          <w:rFonts w:hint="eastAsia"/>
        </w:rPr>
        <w:t>非常满意。</w:t>
      </w:r>
    </w:p>
    <w:p>
      <w:pPr>
        <w:spacing w:line="560" w:lineRule="exact"/>
        <w:ind w:firstLine="560" w:firstLineChars="200"/>
      </w:pPr>
      <w:r>
        <w:rPr>
          <w:rFonts w:hint="eastAsia"/>
        </w:rPr>
        <w:t>(4)您</w:t>
      </w:r>
      <w:r>
        <w:rPr>
          <w:rFonts w:hint="eastAsia" w:cstheme="minorEastAsia"/>
        </w:rPr>
        <w:t>对单位办公环境整体效果是否满意</w:t>
      </w:r>
    </w:p>
    <w:p>
      <w:pPr>
        <w:spacing w:line="560" w:lineRule="exact"/>
        <w:ind w:firstLine="560" w:firstLineChars="200"/>
      </w:pPr>
      <w:r>
        <w:rPr>
          <w:rFonts w:hint="eastAsia"/>
          <w:kern w:val="0"/>
        </w:rPr>
        <w:t>根据调查问卷结果显示，92.68%的受访者表示对单位办公环境整体效果非常满意</w:t>
      </w:r>
      <w:r>
        <w:rPr>
          <w:rFonts w:hint="eastAsia"/>
        </w:rPr>
        <w:t>，6.10%的受访者表示</w:t>
      </w:r>
      <w:r>
        <w:rPr>
          <w:rFonts w:hint="eastAsia"/>
          <w:kern w:val="0"/>
        </w:rPr>
        <w:t>对单位办公环境整体效果</w:t>
      </w:r>
      <w:r>
        <w:rPr>
          <w:rFonts w:hint="eastAsia"/>
        </w:rPr>
        <w:t>基本满意，1.22%的受访者表示</w:t>
      </w:r>
      <w:r>
        <w:rPr>
          <w:rFonts w:hint="eastAsia"/>
          <w:kern w:val="0"/>
        </w:rPr>
        <w:t>对单位办公环境整体效果不满意</w:t>
      </w:r>
      <w:r>
        <w:rPr>
          <w:rFonts w:hint="eastAsia"/>
        </w:rPr>
        <w:t>。分析得出，受访者</w:t>
      </w:r>
      <w:r>
        <w:rPr>
          <w:rFonts w:hint="eastAsia"/>
          <w:kern w:val="0"/>
        </w:rPr>
        <w:t>对单位办公环境整体效果</w:t>
      </w:r>
      <w:r>
        <w:rPr>
          <w:rFonts w:hint="eastAsia"/>
        </w:rPr>
        <w:t>非常满意。</w:t>
      </w:r>
    </w:p>
    <w:p>
      <w:pPr>
        <w:spacing w:line="560" w:lineRule="exact"/>
        <w:ind w:firstLine="560" w:firstLineChars="200"/>
        <w:outlineLvl w:val="2"/>
      </w:pPr>
      <w:r>
        <w:rPr>
          <w:rFonts w:hint="eastAsia"/>
        </w:rPr>
        <w:t>3、满意度分析</w:t>
      </w:r>
    </w:p>
    <w:p>
      <w:pPr>
        <w:pStyle w:val="72"/>
        <w:spacing w:afterLines="0" w:line="560" w:lineRule="exact"/>
        <w:ind w:firstLine="560"/>
        <w:jc w:val="both"/>
        <w:rPr>
          <w:rFonts w:ascii="仿宋" w:hAnsi="仿宋"/>
          <w:sz w:val="28"/>
        </w:rPr>
      </w:pPr>
      <w:r>
        <w:rPr>
          <w:rFonts w:hint="eastAsia" w:ascii="仿宋" w:hAnsi="仿宋"/>
          <w:sz w:val="28"/>
        </w:rPr>
        <w:t>本次问卷调查，共整理82份问卷，综合得分为</w:t>
      </w:r>
      <w:r>
        <w:rPr>
          <w:rFonts w:ascii="仿宋" w:hAnsi="仿宋"/>
          <w:sz w:val="28"/>
        </w:rPr>
        <w:t>98</w:t>
      </w:r>
      <w:r>
        <w:rPr>
          <w:rFonts w:hint="eastAsia" w:ascii="仿宋" w:hAnsi="仿宋"/>
          <w:sz w:val="28"/>
        </w:rPr>
        <w:t>.</w:t>
      </w:r>
      <w:r>
        <w:rPr>
          <w:rFonts w:ascii="仿宋" w:hAnsi="仿宋"/>
          <w:sz w:val="28"/>
        </w:rPr>
        <w:t>86</w:t>
      </w:r>
      <w:r>
        <w:rPr>
          <w:rFonts w:hint="eastAsia" w:ascii="仿宋" w:hAnsi="仿宋"/>
          <w:sz w:val="28"/>
        </w:rPr>
        <w:t>分，具体满意度分项得分见附表。</w:t>
      </w:r>
    </w:p>
    <w:p>
      <w:pPr>
        <w:spacing w:after="240" w:line="500" w:lineRule="exact"/>
        <w:ind w:firstLine="643"/>
        <w:jc w:val="center"/>
        <w:outlineLvl w:val="2"/>
        <w:rPr>
          <w:b/>
          <w:sz w:val="24"/>
          <w:szCs w:val="24"/>
        </w:rPr>
      </w:pPr>
      <w:r>
        <w:rPr>
          <w:rFonts w:hint="eastAsia"/>
          <w:b/>
          <w:sz w:val="24"/>
          <w:szCs w:val="24"/>
        </w:rPr>
        <w:t>附表满意度分项得分情况</w:t>
      </w:r>
    </w:p>
    <w:tbl>
      <w:tblPr>
        <w:tblStyle w:val="19"/>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4"/>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784" w:type="dxa"/>
            <w:vAlign w:val="center"/>
          </w:tcPr>
          <w:p>
            <w:pPr>
              <w:jc w:val="center"/>
              <w:rPr>
                <w:b/>
                <w:kern w:val="0"/>
                <w:sz w:val="24"/>
                <w:szCs w:val="24"/>
              </w:rPr>
            </w:pPr>
            <w:r>
              <w:rPr>
                <w:rFonts w:hint="eastAsia"/>
                <w:b/>
                <w:kern w:val="0"/>
                <w:sz w:val="24"/>
                <w:szCs w:val="24"/>
              </w:rPr>
              <w:t>满意度评价内容</w:t>
            </w:r>
          </w:p>
        </w:tc>
        <w:tc>
          <w:tcPr>
            <w:tcW w:w="1225" w:type="dxa"/>
            <w:vAlign w:val="center"/>
          </w:tcPr>
          <w:p>
            <w:pPr>
              <w:jc w:val="center"/>
              <w:rPr>
                <w:b/>
                <w:kern w:val="0"/>
                <w:sz w:val="24"/>
                <w:szCs w:val="24"/>
              </w:rPr>
            </w:pPr>
            <w:r>
              <w:rPr>
                <w:rFonts w:hint="eastAsia"/>
                <w:b/>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1.您对单位金保工程“一卡通”信息化使用效果是否满意</w:t>
            </w:r>
          </w:p>
        </w:tc>
        <w:tc>
          <w:tcPr>
            <w:tcW w:w="1225" w:type="dxa"/>
            <w:vAlign w:val="center"/>
          </w:tcPr>
          <w:p>
            <w:pPr>
              <w:jc w:val="center"/>
              <w:rPr>
                <w:kern w:val="0"/>
                <w:sz w:val="24"/>
                <w:szCs w:val="24"/>
              </w:rPr>
            </w:pPr>
            <w:r>
              <w:rPr>
                <w:rFonts w:hint="eastAsia"/>
                <w:kern w:val="0"/>
                <w:sz w:val="24"/>
                <w:szCs w:val="24"/>
              </w:rPr>
              <w:t xml:space="preserve"> 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2.您对单位内部业务办理流程是否满意</w:t>
            </w:r>
          </w:p>
        </w:tc>
        <w:tc>
          <w:tcPr>
            <w:tcW w:w="1225" w:type="dxa"/>
            <w:vAlign w:val="center"/>
          </w:tcPr>
          <w:p>
            <w:pPr>
              <w:jc w:val="center"/>
              <w:rPr>
                <w:kern w:val="0"/>
                <w:sz w:val="24"/>
                <w:szCs w:val="24"/>
              </w:rPr>
            </w:pPr>
            <w:r>
              <w:rPr>
                <w:rFonts w:hint="eastAsia"/>
                <w:kern w:val="0"/>
                <w:sz w:val="24"/>
                <w:szCs w:val="24"/>
              </w:rPr>
              <w:t xml:space="preserve"> 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3.您对单位开展的知识培训及工作能力提升工作是否满意</w:t>
            </w:r>
          </w:p>
        </w:tc>
        <w:tc>
          <w:tcPr>
            <w:tcW w:w="1225" w:type="dxa"/>
            <w:vAlign w:val="center"/>
          </w:tcPr>
          <w:p>
            <w:pPr>
              <w:jc w:val="center"/>
              <w:rPr>
                <w:kern w:val="0"/>
                <w:sz w:val="24"/>
                <w:szCs w:val="24"/>
              </w:rPr>
            </w:pPr>
            <w:r>
              <w:rPr>
                <w:rFonts w:hint="eastAsia"/>
                <w:kern w:val="0"/>
                <w:sz w:val="24"/>
                <w:szCs w:val="24"/>
              </w:rPr>
              <w:t xml:space="preserve"> 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rPr>
                <w:kern w:val="0"/>
                <w:sz w:val="24"/>
                <w:szCs w:val="24"/>
              </w:rPr>
            </w:pPr>
            <w:r>
              <w:rPr>
                <w:rFonts w:hint="eastAsia"/>
                <w:kern w:val="0"/>
                <w:sz w:val="24"/>
                <w:szCs w:val="24"/>
              </w:rPr>
              <w:t>4.您对单位办公环境整体效果是否满意</w:t>
            </w:r>
          </w:p>
        </w:tc>
        <w:tc>
          <w:tcPr>
            <w:tcW w:w="1225" w:type="dxa"/>
            <w:vAlign w:val="center"/>
          </w:tcPr>
          <w:p>
            <w:pPr>
              <w:jc w:val="center"/>
              <w:rPr>
                <w:kern w:val="0"/>
                <w:sz w:val="24"/>
                <w:szCs w:val="24"/>
              </w:rPr>
            </w:pPr>
            <w:r>
              <w:rPr>
                <w:rFonts w:hint="eastAsia"/>
                <w:kern w:val="0"/>
                <w:sz w:val="24"/>
                <w:szCs w:val="24"/>
              </w:rPr>
              <w:t xml:space="preserve"> 97.26%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4" w:type="dxa"/>
            <w:vAlign w:val="center"/>
          </w:tcPr>
          <w:p>
            <w:pPr>
              <w:jc w:val="center"/>
              <w:rPr>
                <w:b/>
                <w:kern w:val="0"/>
                <w:sz w:val="24"/>
                <w:szCs w:val="24"/>
              </w:rPr>
            </w:pPr>
            <w:r>
              <w:rPr>
                <w:rFonts w:hint="eastAsia"/>
                <w:b/>
                <w:kern w:val="0"/>
                <w:sz w:val="24"/>
                <w:szCs w:val="24"/>
              </w:rPr>
              <w:t>综合满意度</w:t>
            </w:r>
          </w:p>
        </w:tc>
        <w:tc>
          <w:tcPr>
            <w:tcW w:w="1225" w:type="dxa"/>
            <w:vAlign w:val="center"/>
          </w:tcPr>
          <w:p>
            <w:pPr>
              <w:jc w:val="center"/>
              <w:rPr>
                <w:rFonts w:cs="宋体"/>
                <w:b/>
                <w:bCs/>
                <w:color w:val="000000"/>
                <w:sz w:val="24"/>
                <w:szCs w:val="24"/>
              </w:rPr>
            </w:pPr>
            <w:r>
              <w:rPr>
                <w:rFonts w:hint="eastAsia" w:cs="宋体"/>
                <w:b/>
                <w:bCs/>
                <w:color w:val="000000"/>
                <w:sz w:val="24"/>
                <w:szCs w:val="24"/>
              </w:rPr>
              <w:t>98.86%</w:t>
            </w:r>
          </w:p>
        </w:tc>
      </w:tr>
    </w:tbl>
    <w:p>
      <w:pPr>
        <w:pStyle w:val="3"/>
        <w:spacing w:before="0" w:after="156" w:afterLines="50" w:line="560" w:lineRule="exact"/>
        <w:rPr>
          <w:sz w:val="28"/>
        </w:rPr>
      </w:pPr>
    </w:p>
    <w:p>
      <w:pPr>
        <w:pStyle w:val="3"/>
        <w:keepNext w:val="0"/>
        <w:keepLines w:val="0"/>
        <w:widowControl w:val="0"/>
        <w:spacing w:before="0" w:after="0" w:line="560" w:lineRule="exact"/>
        <w:rPr>
          <w:sz w:val="28"/>
        </w:rPr>
      </w:pPr>
    </w:p>
    <w:p>
      <w:pPr>
        <w:pStyle w:val="3"/>
        <w:keepNext w:val="0"/>
        <w:keepLines w:val="0"/>
        <w:widowControl w:val="0"/>
        <w:spacing w:before="0" w:after="0" w:line="560" w:lineRule="exact"/>
        <w:rPr>
          <w:sz w:val="28"/>
        </w:rPr>
      </w:pPr>
    </w:p>
    <w:bookmarkEnd w:id="326"/>
    <w:bookmarkEnd w:id="327"/>
    <w:p>
      <w:pPr>
        <w:pStyle w:val="3"/>
        <w:spacing w:before="0" w:after="156" w:afterLines="50" w:line="560" w:lineRule="exact"/>
        <w:rPr>
          <w:sz w:val="28"/>
        </w:rPr>
      </w:pPr>
      <w:bookmarkStart w:id="337" w:name="_Toc9541"/>
      <w:r>
        <w:rPr>
          <w:rFonts w:hint="eastAsia"/>
          <w:sz w:val="28"/>
        </w:rPr>
        <w:t>附件8：                实地调研照片</w:t>
      </w:r>
      <w:bookmarkEnd w:id="337"/>
    </w:p>
    <w:p>
      <w:pPr>
        <w:pStyle w:val="7"/>
        <w:jc w:val="left"/>
        <w:rPr>
          <w:rFonts w:ascii="仿宋" w:eastAsia="仿宋"/>
          <w:b/>
          <w:bCs/>
          <w:sz w:val="28"/>
        </w:rPr>
      </w:pPr>
      <w:r>
        <w:rPr>
          <w:rFonts w:hint="eastAsia" w:ascii="仿宋" w:eastAsia="仿宋"/>
          <w:b/>
          <w:bCs/>
          <w:sz w:val="28"/>
        </w:rPr>
        <w:t>项目名称：运城市人力资源和社会保障局2021年度部门绩效评价</w:t>
      </w:r>
    </w:p>
    <w:tbl>
      <w:tblPr>
        <w:tblStyle w:val="20"/>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4264" w:type="dxa"/>
            <w:vAlign w:val="center"/>
          </w:tcPr>
          <w:p>
            <w:pPr>
              <w:jc w:val="center"/>
            </w:pPr>
            <w:r>
              <w:rPr>
                <w:rFonts w:hint="eastAsia"/>
              </w:rPr>
              <w:drawing>
                <wp:inline distT="0" distB="0" distL="114300" distR="114300">
                  <wp:extent cx="2567305" cy="1926590"/>
                  <wp:effectExtent l="0" t="0" r="4445" b="16510"/>
                  <wp:docPr id="20" name="图片 20" descr="5c7b0eb449137e519a70655d7296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5c7b0eb449137e519a70655d7296b41"/>
                          <pic:cNvPicPr>
                            <a:picLocks noChangeAspect="1"/>
                          </pic:cNvPicPr>
                        </pic:nvPicPr>
                        <pic:blipFill>
                          <a:blip r:embed="rId16"/>
                          <a:stretch>
                            <a:fillRect/>
                          </a:stretch>
                        </pic:blipFill>
                        <pic:spPr>
                          <a:xfrm>
                            <a:off x="0" y="0"/>
                            <a:ext cx="2567305" cy="1926590"/>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67305" cy="1926590"/>
                  <wp:effectExtent l="0" t="0" r="4445" b="16510"/>
                  <wp:docPr id="21" name="图片 21" descr="c197f13585170b97c24c378913bb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197f13585170b97c24c378913bb105"/>
                          <pic:cNvPicPr>
                            <a:picLocks noChangeAspect="1"/>
                          </pic:cNvPicPr>
                        </pic:nvPicPr>
                        <pic:blipFill>
                          <a:blip r:embed="rId17"/>
                          <a:stretch>
                            <a:fillRect/>
                          </a:stretch>
                        </pic:blipFill>
                        <pic:spPr>
                          <a:xfrm>
                            <a:off x="0" y="0"/>
                            <a:ext cx="2567305" cy="19265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rPr>
            </w:pPr>
            <w:r>
              <w:rPr>
                <w:rFonts w:hint="eastAsia"/>
                <w:sz w:val="22"/>
              </w:rPr>
              <w:t>金保工程“一卡通”建设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4264" w:type="dxa"/>
            <w:vAlign w:val="center"/>
          </w:tcPr>
          <w:p>
            <w:pPr>
              <w:jc w:val="center"/>
            </w:pPr>
            <w:r>
              <w:rPr>
                <w:rFonts w:hint="eastAsia"/>
              </w:rPr>
              <w:drawing>
                <wp:inline distT="0" distB="0" distL="114300" distR="114300">
                  <wp:extent cx="2567305" cy="1926590"/>
                  <wp:effectExtent l="0" t="0" r="4445" b="16510"/>
                  <wp:docPr id="22" name="图片 22" descr="ef552a23efb12d8dd042ad17389de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ef552a23efb12d8dd042ad17389dee8"/>
                          <pic:cNvPicPr>
                            <a:picLocks noChangeAspect="1"/>
                          </pic:cNvPicPr>
                        </pic:nvPicPr>
                        <pic:blipFill>
                          <a:blip r:embed="rId18"/>
                          <a:stretch>
                            <a:fillRect/>
                          </a:stretch>
                        </pic:blipFill>
                        <pic:spPr>
                          <a:xfrm>
                            <a:off x="0" y="0"/>
                            <a:ext cx="2567305" cy="1926590"/>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67305" cy="1926590"/>
                  <wp:effectExtent l="0" t="0" r="4445" b="16510"/>
                  <wp:docPr id="25" name="图片 25" descr="434323aa603e6c6b04dde18c5461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434323aa603e6c6b04dde18c54618a2"/>
                          <pic:cNvPicPr>
                            <a:picLocks noChangeAspect="1"/>
                          </pic:cNvPicPr>
                        </pic:nvPicPr>
                        <pic:blipFill>
                          <a:blip r:embed="rId19"/>
                          <a:stretch>
                            <a:fillRect/>
                          </a:stretch>
                        </pic:blipFill>
                        <pic:spPr>
                          <a:xfrm>
                            <a:off x="0" y="0"/>
                            <a:ext cx="2567305" cy="19265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rPr>
            </w:pPr>
            <w:r>
              <w:rPr>
                <w:rFonts w:hint="eastAsia"/>
                <w:sz w:val="22"/>
              </w:rPr>
              <w:t>仲裁院实体化建设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jc w:val="center"/>
        </w:trPr>
        <w:tc>
          <w:tcPr>
            <w:tcW w:w="4264" w:type="dxa"/>
            <w:vAlign w:val="center"/>
          </w:tcPr>
          <w:p>
            <w:pPr>
              <w:jc w:val="center"/>
            </w:pPr>
            <w:r>
              <w:rPr>
                <w:rFonts w:hint="eastAsia"/>
              </w:rPr>
              <w:drawing>
                <wp:inline distT="0" distB="0" distL="114300" distR="114300">
                  <wp:extent cx="2546350" cy="1220470"/>
                  <wp:effectExtent l="0" t="0" r="6350" b="17780"/>
                  <wp:docPr id="26" name="图片 26" descr="09ce6eaba9106c43afd69364f6278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09ce6eaba9106c43afd69364f62783e"/>
                          <pic:cNvPicPr>
                            <a:picLocks noChangeAspect="1"/>
                          </pic:cNvPicPr>
                        </pic:nvPicPr>
                        <pic:blipFill>
                          <a:blip r:embed="rId20"/>
                          <a:stretch>
                            <a:fillRect/>
                          </a:stretch>
                        </pic:blipFill>
                        <pic:spPr>
                          <a:xfrm>
                            <a:off x="0" y="0"/>
                            <a:ext cx="2546350" cy="1220470"/>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46350" cy="1198880"/>
                  <wp:effectExtent l="0" t="0" r="6350" b="1270"/>
                  <wp:docPr id="27" name="图片 27" descr="471d4909a7ea94fb7b808f4fbee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471d4909a7ea94fb7b808f4fbee1660"/>
                          <pic:cNvPicPr>
                            <a:picLocks noChangeAspect="1"/>
                          </pic:cNvPicPr>
                        </pic:nvPicPr>
                        <pic:blipFill>
                          <a:blip r:embed="rId21"/>
                          <a:stretch>
                            <a:fillRect/>
                          </a:stretch>
                        </pic:blipFill>
                        <pic:spPr>
                          <a:xfrm>
                            <a:off x="0" y="0"/>
                            <a:ext cx="2546350" cy="11988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szCs w:val="22"/>
              </w:rPr>
            </w:pPr>
            <w:r>
              <w:rPr>
                <w:rFonts w:hint="eastAsia"/>
                <w:sz w:val="22"/>
                <w:szCs w:val="22"/>
              </w:rPr>
              <w:t>就业服务中心大厅</w:t>
            </w:r>
          </w:p>
        </w:tc>
      </w:tr>
    </w:tbl>
    <w:p>
      <w:pPr>
        <w:pStyle w:val="2"/>
        <w:ind w:left="0" w:firstLine="0"/>
        <w:sectPr>
          <w:footerReference r:id="rId14" w:type="default"/>
          <w:pgSz w:w="11906" w:h="16838"/>
          <w:pgMar w:top="1440" w:right="1800" w:bottom="1440" w:left="1800" w:header="851" w:footer="992" w:gutter="0"/>
          <w:cols w:space="425" w:num="1"/>
          <w:docGrid w:type="lines" w:linePitch="312" w:charSpace="0"/>
        </w:sectPr>
      </w:pPr>
    </w:p>
    <w:p>
      <w:pPr>
        <w:pStyle w:val="7"/>
        <w:jc w:val="left"/>
        <w:rPr>
          <w:rFonts w:ascii="仿宋" w:eastAsia="仿宋"/>
          <w:b/>
          <w:bCs/>
          <w:sz w:val="28"/>
        </w:rPr>
      </w:pPr>
      <w:r>
        <w:rPr>
          <w:rFonts w:hint="eastAsia" w:ascii="仿宋" w:eastAsia="仿宋"/>
          <w:b/>
          <w:bCs/>
          <w:sz w:val="28"/>
        </w:rPr>
        <w:t>项目名称：运城市人力资源和社会保障局2021年度部门绩效评价</w:t>
      </w:r>
    </w:p>
    <w:tbl>
      <w:tblPr>
        <w:tblStyle w:val="20"/>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4264" w:type="dxa"/>
            <w:vAlign w:val="center"/>
          </w:tcPr>
          <w:p>
            <w:pPr>
              <w:jc w:val="center"/>
            </w:pPr>
            <w:r>
              <w:rPr>
                <w:rFonts w:hint="eastAsia"/>
              </w:rPr>
              <w:drawing>
                <wp:inline distT="0" distB="0" distL="114300" distR="114300">
                  <wp:extent cx="2567305" cy="1926590"/>
                  <wp:effectExtent l="0" t="0" r="4445" b="16510"/>
                  <wp:docPr id="41" name="图片 41" descr="fbf8efb3b1bd54c86216215487a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fbf8efb3b1bd54c86216215487a1798"/>
                          <pic:cNvPicPr>
                            <a:picLocks noChangeAspect="1"/>
                          </pic:cNvPicPr>
                        </pic:nvPicPr>
                        <pic:blipFill>
                          <a:blip r:embed="rId22"/>
                          <a:stretch>
                            <a:fillRect/>
                          </a:stretch>
                        </pic:blipFill>
                        <pic:spPr>
                          <a:xfrm>
                            <a:off x="0" y="0"/>
                            <a:ext cx="2567305" cy="1926590"/>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67305" cy="1926590"/>
                  <wp:effectExtent l="0" t="0" r="4445" b="16510"/>
                  <wp:docPr id="43" name="图片 43" descr="0cff18c5b36693fdd5a232451762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0cff18c5b36693fdd5a232451762aa2"/>
                          <pic:cNvPicPr>
                            <a:picLocks noChangeAspect="1"/>
                          </pic:cNvPicPr>
                        </pic:nvPicPr>
                        <pic:blipFill>
                          <a:blip r:embed="rId23"/>
                          <a:stretch>
                            <a:fillRect/>
                          </a:stretch>
                        </pic:blipFill>
                        <pic:spPr>
                          <a:xfrm>
                            <a:off x="0" y="0"/>
                            <a:ext cx="2567305" cy="19265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rPr>
            </w:pPr>
            <w:r>
              <w:rPr>
                <w:rFonts w:hint="eastAsia"/>
                <w:sz w:val="22"/>
              </w:rPr>
              <w:t>劳动案件监察受理中心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4264" w:type="dxa"/>
            <w:vAlign w:val="center"/>
          </w:tcPr>
          <w:p>
            <w:pPr>
              <w:jc w:val="center"/>
            </w:pPr>
            <w:r>
              <w:rPr>
                <w:rFonts w:hint="eastAsia"/>
              </w:rPr>
              <w:drawing>
                <wp:inline distT="0" distB="0" distL="114300" distR="114300">
                  <wp:extent cx="2516505" cy="1887220"/>
                  <wp:effectExtent l="0" t="0" r="17145" b="17780"/>
                  <wp:docPr id="44" name="图片 44" descr="f3faa010768010be10ef087383ed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f3faa010768010be10ef087383ed968"/>
                          <pic:cNvPicPr>
                            <a:picLocks noChangeAspect="1"/>
                          </pic:cNvPicPr>
                        </pic:nvPicPr>
                        <pic:blipFill>
                          <a:blip r:embed="rId24"/>
                          <a:stretch>
                            <a:fillRect/>
                          </a:stretch>
                        </pic:blipFill>
                        <pic:spPr>
                          <a:xfrm>
                            <a:off x="0" y="0"/>
                            <a:ext cx="2516505" cy="1887220"/>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16505" cy="1887220"/>
                  <wp:effectExtent l="0" t="0" r="17145" b="17780"/>
                  <wp:docPr id="47" name="图片 47" descr="91211739f1b52cc93336972dbeb1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91211739f1b52cc93336972dbeb1a28"/>
                          <pic:cNvPicPr>
                            <a:picLocks noChangeAspect="1"/>
                          </pic:cNvPicPr>
                        </pic:nvPicPr>
                        <pic:blipFill>
                          <a:blip r:embed="rId25"/>
                          <a:stretch>
                            <a:fillRect/>
                          </a:stretch>
                        </pic:blipFill>
                        <pic:spPr>
                          <a:xfrm>
                            <a:off x="0" y="0"/>
                            <a:ext cx="2516505" cy="18872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rPr>
            </w:pPr>
            <w:r>
              <w:rPr>
                <w:rFonts w:hint="eastAsia"/>
                <w:sz w:val="22"/>
              </w:rPr>
              <w:t>技能运城建设服务中心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4264" w:type="dxa"/>
            <w:vAlign w:val="center"/>
          </w:tcPr>
          <w:p>
            <w:pPr>
              <w:jc w:val="center"/>
            </w:pPr>
            <w:r>
              <w:rPr>
                <w:rFonts w:hint="eastAsia"/>
              </w:rPr>
              <w:drawing>
                <wp:inline distT="0" distB="0" distL="114300" distR="114300">
                  <wp:extent cx="2516505" cy="1887220"/>
                  <wp:effectExtent l="0" t="0" r="17145" b="17780"/>
                  <wp:docPr id="48" name="图片 48" descr="63aa57a44a43adee8fe243f34ee9d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63aa57a44a43adee8fe243f34ee9d99"/>
                          <pic:cNvPicPr>
                            <a:picLocks noChangeAspect="1"/>
                          </pic:cNvPicPr>
                        </pic:nvPicPr>
                        <pic:blipFill>
                          <a:blip r:embed="rId26"/>
                          <a:stretch>
                            <a:fillRect/>
                          </a:stretch>
                        </pic:blipFill>
                        <pic:spPr>
                          <a:xfrm>
                            <a:off x="0" y="0"/>
                            <a:ext cx="2516505" cy="1887220"/>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67940" cy="1925955"/>
                  <wp:effectExtent l="0" t="0" r="3810" b="17145"/>
                  <wp:docPr id="49" name="图片 49" descr="5a66fbb12baf80c5c11034e5cebf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5a66fbb12baf80c5c11034e5cebfea5"/>
                          <pic:cNvPicPr>
                            <a:picLocks noChangeAspect="1"/>
                          </pic:cNvPicPr>
                        </pic:nvPicPr>
                        <pic:blipFill>
                          <a:blip r:embed="rId27"/>
                          <a:stretch>
                            <a:fillRect/>
                          </a:stretch>
                        </pic:blipFill>
                        <pic:spPr>
                          <a:xfrm>
                            <a:off x="0" y="0"/>
                            <a:ext cx="2567940" cy="19259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szCs w:val="22"/>
              </w:rPr>
            </w:pPr>
            <w:r>
              <w:rPr>
                <w:rFonts w:hint="eastAsia"/>
                <w:sz w:val="22"/>
                <w:szCs w:val="22"/>
              </w:rPr>
              <w:t>办公桌、文件柜、椅类</w:t>
            </w:r>
          </w:p>
        </w:tc>
      </w:tr>
    </w:tbl>
    <w:p>
      <w:pPr>
        <w:pStyle w:val="7"/>
        <w:jc w:val="left"/>
        <w:rPr>
          <w:rFonts w:ascii="仿宋" w:eastAsia="仿宋"/>
          <w:b/>
          <w:bCs/>
          <w:sz w:val="28"/>
        </w:rPr>
      </w:pPr>
    </w:p>
    <w:p>
      <w:pPr>
        <w:pStyle w:val="7"/>
        <w:jc w:val="left"/>
        <w:rPr>
          <w:rFonts w:ascii="仿宋" w:eastAsia="仿宋"/>
          <w:b/>
          <w:bCs/>
          <w:sz w:val="28"/>
        </w:rPr>
      </w:pPr>
      <w:r>
        <w:rPr>
          <w:rFonts w:hint="eastAsia" w:ascii="仿宋" w:eastAsia="仿宋"/>
          <w:b/>
          <w:bCs/>
          <w:sz w:val="28"/>
        </w:rPr>
        <w:t>项目名称：运城市人力资源和社会保障局2021年度部门绩效评价</w:t>
      </w:r>
    </w:p>
    <w:tbl>
      <w:tblPr>
        <w:tblStyle w:val="20"/>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4264" w:type="dxa"/>
            <w:vAlign w:val="center"/>
          </w:tcPr>
          <w:p>
            <w:pPr>
              <w:jc w:val="center"/>
            </w:pPr>
            <w:r>
              <w:rPr>
                <w:rFonts w:hint="eastAsia"/>
              </w:rPr>
              <w:drawing>
                <wp:inline distT="0" distB="0" distL="114300" distR="114300">
                  <wp:extent cx="2566035" cy="3554095"/>
                  <wp:effectExtent l="0" t="0" r="5715" b="8255"/>
                  <wp:docPr id="51" name="图片 51" descr="17b13fde070e5626089bad5dcf2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17b13fde070e5626089bad5dcf20688"/>
                          <pic:cNvPicPr>
                            <a:picLocks noChangeAspect="1"/>
                          </pic:cNvPicPr>
                        </pic:nvPicPr>
                        <pic:blipFill>
                          <a:blip r:embed="rId28"/>
                          <a:stretch>
                            <a:fillRect/>
                          </a:stretch>
                        </pic:blipFill>
                        <pic:spPr>
                          <a:xfrm>
                            <a:off x="0" y="0"/>
                            <a:ext cx="2566035" cy="3554095"/>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60955" cy="3718560"/>
                  <wp:effectExtent l="0" t="0" r="10795" b="15240"/>
                  <wp:docPr id="52" name="图片 52" descr="589691e3b237d6a1bab8598d1504c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589691e3b237d6a1bab8598d1504c0f"/>
                          <pic:cNvPicPr>
                            <a:picLocks noChangeAspect="1"/>
                          </pic:cNvPicPr>
                        </pic:nvPicPr>
                        <pic:blipFill>
                          <a:blip r:embed="rId29"/>
                          <a:stretch>
                            <a:fillRect/>
                          </a:stretch>
                        </pic:blipFill>
                        <pic:spPr>
                          <a:xfrm>
                            <a:off x="0" y="0"/>
                            <a:ext cx="2560955" cy="37185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rPr>
            </w:pPr>
            <w:r>
              <w:rPr>
                <w:rFonts w:hint="eastAsia"/>
                <w:sz w:val="22"/>
                <w:szCs w:val="22"/>
              </w:rPr>
              <w:t>公务用车(晋M 0589N)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4264" w:type="dxa"/>
            <w:vAlign w:val="center"/>
          </w:tcPr>
          <w:p>
            <w:pPr>
              <w:jc w:val="center"/>
            </w:pPr>
            <w:r>
              <w:rPr>
                <w:rFonts w:hint="eastAsia"/>
              </w:rPr>
              <w:drawing>
                <wp:inline distT="0" distB="0" distL="114300" distR="114300">
                  <wp:extent cx="2568575" cy="3843655"/>
                  <wp:effectExtent l="0" t="0" r="3175" b="4445"/>
                  <wp:docPr id="53" name="图片 53" descr="f63c83abf245b4758a2c11af64a5b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f63c83abf245b4758a2c11af64a5b7f"/>
                          <pic:cNvPicPr>
                            <a:picLocks noChangeAspect="1"/>
                          </pic:cNvPicPr>
                        </pic:nvPicPr>
                        <pic:blipFill>
                          <a:blip r:embed="rId30"/>
                          <a:stretch>
                            <a:fillRect/>
                          </a:stretch>
                        </pic:blipFill>
                        <pic:spPr>
                          <a:xfrm>
                            <a:off x="0" y="0"/>
                            <a:ext cx="2568575" cy="3843655"/>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59050" cy="1440180"/>
                  <wp:effectExtent l="0" t="0" r="12700" b="7620"/>
                  <wp:docPr id="54" name="图片 54" descr="eb4e399815d80288abc13efcee66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eb4e399815d80288abc13efcee665e9"/>
                          <pic:cNvPicPr>
                            <a:picLocks noChangeAspect="1"/>
                          </pic:cNvPicPr>
                        </pic:nvPicPr>
                        <pic:blipFill>
                          <a:blip r:embed="rId31"/>
                          <a:stretch>
                            <a:fillRect/>
                          </a:stretch>
                        </pic:blipFill>
                        <pic:spPr>
                          <a:xfrm>
                            <a:off x="0" y="0"/>
                            <a:ext cx="2559050" cy="14401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rPr>
            </w:pPr>
            <w:r>
              <w:rPr>
                <w:rFonts w:hint="eastAsia"/>
                <w:sz w:val="22"/>
              </w:rPr>
              <w:t>公务用车(晋M 6823N)</w:t>
            </w:r>
          </w:p>
        </w:tc>
      </w:tr>
    </w:tbl>
    <w:p>
      <w:pPr>
        <w:pStyle w:val="7"/>
        <w:rPr>
          <w:rFonts w:ascii="仿宋" w:eastAsia="仿宋"/>
          <w:sz w:val="24"/>
          <w:szCs w:val="24"/>
        </w:rPr>
        <w:sectPr>
          <w:pgSz w:w="11906" w:h="16838"/>
          <w:pgMar w:top="1440" w:right="1800" w:bottom="1440" w:left="1800" w:header="851" w:footer="992" w:gutter="0"/>
          <w:cols w:space="425" w:num="1"/>
          <w:docGrid w:type="lines" w:linePitch="312" w:charSpace="0"/>
        </w:sectPr>
      </w:pPr>
    </w:p>
    <w:p>
      <w:pPr>
        <w:pStyle w:val="7"/>
        <w:jc w:val="left"/>
        <w:rPr>
          <w:rFonts w:ascii="仿宋" w:eastAsia="仿宋"/>
          <w:b/>
          <w:bCs/>
          <w:sz w:val="28"/>
        </w:rPr>
      </w:pPr>
      <w:r>
        <w:rPr>
          <w:rFonts w:hint="eastAsia" w:ascii="仿宋" w:eastAsia="仿宋"/>
          <w:b/>
          <w:bCs/>
          <w:sz w:val="28"/>
        </w:rPr>
        <w:t>项目名称：运城市人力资源和社会保障局2021年度部门绩效评价</w:t>
      </w:r>
    </w:p>
    <w:tbl>
      <w:tblPr>
        <w:tblStyle w:val="20"/>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4264" w:type="dxa"/>
            <w:vAlign w:val="center"/>
          </w:tcPr>
          <w:p>
            <w:pPr>
              <w:jc w:val="center"/>
            </w:pPr>
            <w:r>
              <w:rPr>
                <w:rFonts w:hint="eastAsia"/>
              </w:rPr>
              <w:drawing>
                <wp:inline distT="0" distB="0" distL="114300" distR="114300">
                  <wp:extent cx="2546350" cy="1146175"/>
                  <wp:effectExtent l="0" t="0" r="6350" b="15875"/>
                  <wp:docPr id="10" name="图片 10" descr="0dc17ad4e010bfeaa45b009c3b1ed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dc17ad4e010bfeaa45b009c3b1edd7"/>
                          <pic:cNvPicPr>
                            <a:picLocks noChangeAspect="1"/>
                          </pic:cNvPicPr>
                        </pic:nvPicPr>
                        <pic:blipFill>
                          <a:blip r:embed="rId32"/>
                          <a:stretch>
                            <a:fillRect/>
                          </a:stretch>
                        </pic:blipFill>
                        <pic:spPr>
                          <a:xfrm>
                            <a:off x="0" y="0"/>
                            <a:ext cx="2546350" cy="1146175"/>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46350" cy="1146175"/>
                  <wp:effectExtent l="0" t="0" r="6350" b="15875"/>
                  <wp:docPr id="11" name="图片 11" descr="17eba333423a216193c082a5fdf1a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eba333423a216193c082a5fdf1ac5"/>
                          <pic:cNvPicPr>
                            <a:picLocks noChangeAspect="1"/>
                          </pic:cNvPicPr>
                        </pic:nvPicPr>
                        <pic:blipFill>
                          <a:blip r:embed="rId33"/>
                          <a:stretch>
                            <a:fillRect/>
                          </a:stretch>
                        </pic:blipFill>
                        <pic:spPr>
                          <a:xfrm>
                            <a:off x="0" y="0"/>
                            <a:ext cx="2546350" cy="11461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rPr>
            </w:pPr>
            <w:r>
              <w:rPr>
                <w:rFonts w:hint="eastAsia"/>
                <w:sz w:val="22"/>
              </w:rPr>
              <w:t>会议室办公桌、会议椅、显示屏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4264" w:type="dxa"/>
            <w:vAlign w:val="center"/>
          </w:tcPr>
          <w:p>
            <w:pPr>
              <w:jc w:val="center"/>
            </w:pPr>
            <w:r>
              <w:rPr>
                <w:rFonts w:hint="eastAsia"/>
              </w:rPr>
              <w:drawing>
                <wp:inline distT="0" distB="0" distL="114300" distR="114300">
                  <wp:extent cx="2567940" cy="1193800"/>
                  <wp:effectExtent l="0" t="0" r="3810" b="6350"/>
                  <wp:docPr id="12" name="图片 12" descr="3f9061391fd0b4cccb32a9665ea925f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f9061391fd0b4cccb32a9665ea925f8_"/>
                          <pic:cNvPicPr>
                            <a:picLocks noChangeAspect="1"/>
                          </pic:cNvPicPr>
                        </pic:nvPicPr>
                        <pic:blipFill>
                          <a:blip r:embed="rId34"/>
                          <a:stretch>
                            <a:fillRect/>
                          </a:stretch>
                        </pic:blipFill>
                        <pic:spPr>
                          <a:xfrm>
                            <a:off x="0" y="0"/>
                            <a:ext cx="2567940" cy="1193800"/>
                          </a:xfrm>
                          <a:prstGeom prst="rect">
                            <a:avLst/>
                          </a:prstGeom>
                        </pic:spPr>
                      </pic:pic>
                    </a:graphicData>
                  </a:graphic>
                </wp:inline>
              </w:drawing>
            </w:r>
          </w:p>
        </w:tc>
        <w:tc>
          <w:tcPr>
            <w:tcW w:w="4260" w:type="dxa"/>
            <w:vAlign w:val="center"/>
          </w:tcPr>
          <w:p>
            <w:pPr>
              <w:jc w:val="center"/>
            </w:pPr>
            <w:r>
              <w:rPr>
                <w:rFonts w:hint="eastAsia"/>
              </w:rPr>
              <w:drawing>
                <wp:inline distT="0" distB="0" distL="114300" distR="114300">
                  <wp:extent cx="2567940" cy="1193800"/>
                  <wp:effectExtent l="0" t="0" r="3810" b="6350"/>
                  <wp:docPr id="13" name="图片 13" descr="2f4e8ec9a3073adb166edefc8332647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f4e8ec9a3073adb166edefc8332647e_"/>
                          <pic:cNvPicPr>
                            <a:picLocks noChangeAspect="1"/>
                          </pic:cNvPicPr>
                        </pic:nvPicPr>
                        <pic:blipFill>
                          <a:blip r:embed="rId35"/>
                          <a:stretch>
                            <a:fillRect/>
                          </a:stretch>
                        </pic:blipFill>
                        <pic:spPr>
                          <a:xfrm>
                            <a:off x="0" y="0"/>
                            <a:ext cx="2567940" cy="11938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4" w:type="dxa"/>
            <w:gridSpan w:val="2"/>
            <w:vAlign w:val="center"/>
          </w:tcPr>
          <w:p>
            <w:pPr>
              <w:jc w:val="center"/>
              <w:rPr>
                <w:sz w:val="22"/>
              </w:rPr>
            </w:pPr>
            <w:r>
              <w:rPr>
                <w:rFonts w:hint="eastAsia"/>
                <w:sz w:val="22"/>
              </w:rPr>
              <w:t>山西数字人社一体化平台</w:t>
            </w:r>
          </w:p>
        </w:tc>
      </w:tr>
    </w:tbl>
    <w:p/>
    <w:sectPr>
      <w:pgSz w:w="11906" w:h="16838"/>
      <w:pgMar w:top="1247" w:right="1701" w:bottom="1247" w:left="1701" w:header="851" w:footer="850" w:gutter="0"/>
      <w:cols w:space="720"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left w:val="none" w:color="auto" w:sz="0" w:space="4"/>
        <w:bottom w:val="none" w:color="auto" w:sz="0" w:space="1"/>
        <w:right w:val="none" w:color="auto" w:sz="0" w:space="4"/>
      </w:pBdr>
    </w:pPr>
    <w:r>
      <w:rPr>
        <w:rFonts w:hint="eastAsia"/>
      </w:rPr>
      <w:t>地址：运城经济技术开发区库东路1号尚东SOHO楼1511室            电话：0359-2020283、2068977</w:t>
    </w:r>
  </w:p>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left w:val="none" w:color="auto" w:sz="0" w:space="4"/>
        <w:bottom w:val="none" w:color="auto" w:sz="0" w:space="1"/>
        <w:right w:val="none" w:color="auto" w:sz="0" w:space="4"/>
      </w:pBdr>
    </w:pPr>
    <w:r>
      <w:rPr>
        <w:rFonts w:hint="eastAsia"/>
      </w:rPr>
      <w:t>地址：运城经济技术开发区库东路1号尚东SOHO楼1511室            电话：0359-2020283、2068977</w:t>
    </w:r>
  </w:p>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6</w:t>
                          </w:r>
                          <w:r>
                            <w:fldChar w:fldCharType="end"/>
                          </w:r>
                        </w:p>
                      </w:txbxContent>
                    </wps:txbx>
                    <wps:bodyPr wrap="none" lIns="0" tIns="0" rIns="0" bIns="0">
                      <a:spAutoFit/>
                    </wps:bodyPr>
                  </wps:wsp>
                </a:graphicData>
              </a:graphic>
            </wp:anchor>
          </w:drawing>
        </mc:Choice>
        <mc:Fallback>
          <w:pict>
            <v:shape id="文本框 104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AlNcskBAACfAwAADgAAAGRycy9lMm9Eb2MueG1srVPNjtMwEL4j8Q6W&#10;7zRpF6E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W/ueHMCkMvfvn+7fLj1+XnV7Ys&#10;X66SRL3HiirvPdXG4Y0baHHmOFIwMR/aYNKXODHKk8Dnq8AwRCbTpfVqvS4pJSk3O4RfPFz3AeNb&#10;cIYlo+aBXjALK07vMY6lc0nqZt2d0jq/orZ/BQhzjEBeg+l2YjJOnKw47IeJ3t41Z2LX0yrU3NLm&#10;c6bfWVI6bc1shNnYT0bqiP71MdIYebqEOkIRq+TQu2V+046lxfjTz1UP/9X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kCU1yyQEAAJ8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423038736"/>
                          </w:sdtPr>
                          <w:sdtContent>
                            <w:p>
                              <w:pPr>
                                <w:pStyle w:val="11"/>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7"/>
                          </w:pPr>
                        </w:p>
                      </w:txbxContent>
                    </wps:txbx>
                    <wps:bodyPr wrap="none" lIns="0" tIns="0" rIns="0" bIns="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4Udm8gBAACfAwAADgAAAGRycy9lMm9Eb2MueG1srVPNjtMwEL4j8Q6W&#10;7zRpWaE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bQJN5xZYejFL9+/XX78uvz8ypbl&#10;y5skUe+xosp7T7VxeOMGKp/jSMHEfGiDSV/ixChPAp+vAsMQmUyX1qv1uqSUpNzsEH7xcN0HjG/B&#10;GZaMmgd6wSysOL3HOJbOJambdXdK6/yK2v4VIMwxAnkNptuJyThxsuKwHyZ6e9eciV1Pq1BzS5vP&#10;mX5nSem0NbMRZmM/Gakj+tfHSGPk6RLqCEWskkPvlvlNO5YW408/Vz38V9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FHZvIAQAAnwMAAA4AAAAAAAAAAQAgAAAAHgEAAGRycy9lMm9Eb2Mu&#10;eG1sUEsFBgAAAAAGAAYAWQEAAFgFAAAAAA==&#10;">
              <v:fill on="f" focussize="0,0"/>
              <v:stroke on="f"/>
              <v:imagedata o:title=""/>
              <o:lock v:ext="edit" aspectratio="f"/>
              <v:textbox inset="0mm,0mm,0mm,0mm" style="mso-fit-shape-to-text:t;">
                <w:txbxContent>
                  <w:sdt>
                    <w:sdtPr>
                      <w:id w:val="-423038736"/>
                    </w:sdtPr>
                    <w:sdtContent>
                      <w:p>
                        <w:pPr>
                          <w:pStyle w:val="11"/>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7"/>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164283505"/>
                          </w:sdtPr>
                          <w:sdtContent>
                            <w:p>
                              <w:pPr>
                                <w:pStyle w:val="11"/>
                                <w:jc w:val="center"/>
                              </w:pPr>
                              <w:r>
                                <w:fldChar w:fldCharType="begin"/>
                              </w:r>
                              <w:r>
                                <w:instrText xml:space="preserve">PAGE   \* MERGEFORMAT</w:instrText>
                              </w:r>
                              <w:r>
                                <w:fldChar w:fldCharType="separate"/>
                              </w:r>
                              <w:r>
                                <w:rPr>
                                  <w:lang w:val="zh-CN"/>
                                </w:rPr>
                                <w:t>55</w:t>
                              </w:r>
                              <w:r>
                                <w:rPr>
                                  <w:lang w:val="zh-CN"/>
                                </w:rPr>
                                <w:fldChar w:fldCharType="end"/>
                              </w:r>
                            </w:p>
                          </w:sdtContent>
                        </w:sdt>
                        <w:p>
                          <w:pPr>
                            <w:pStyle w:val="7"/>
                          </w:pPr>
                        </w:p>
                      </w:txbxContent>
                    </wps:txbx>
                    <wps:bodyPr wrap="none" lIns="0" tIns="0" rIns="0" bIns="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8z6IkyQEAAJ8DAAAOAAAAAAAAAAEAIAAAAB4BAABkcnMvZTJvRG9j&#10;LnhtbFBLBQYAAAAABgAGAFkBAABZBQAAAAA=&#10;">
              <v:fill on="f" focussize="0,0"/>
              <v:stroke on="f"/>
              <v:imagedata o:title=""/>
              <o:lock v:ext="edit" aspectratio="f"/>
              <v:textbox inset="0mm,0mm,0mm,0mm" style="mso-fit-shape-to-text:t;">
                <w:txbxContent>
                  <w:sdt>
                    <w:sdtPr>
                      <w:id w:val="164283505"/>
                    </w:sdtPr>
                    <w:sdtContent>
                      <w:p>
                        <w:pPr>
                          <w:pStyle w:val="11"/>
                          <w:jc w:val="center"/>
                        </w:pPr>
                        <w:r>
                          <w:fldChar w:fldCharType="begin"/>
                        </w:r>
                        <w:r>
                          <w:instrText xml:space="preserve">PAGE   \* MERGEFORMAT</w:instrText>
                        </w:r>
                        <w:r>
                          <w:fldChar w:fldCharType="separate"/>
                        </w:r>
                        <w:r>
                          <w:rPr>
                            <w:lang w:val="zh-CN"/>
                          </w:rPr>
                          <w:t>55</w:t>
                        </w:r>
                        <w:r>
                          <w:rPr>
                            <w:lang w:val="zh-CN"/>
                          </w:rPr>
                          <w:fldChar w:fldCharType="end"/>
                        </w:r>
                      </w:p>
                    </w:sdtContent>
                  </w:sdt>
                  <w:p>
                    <w:pPr>
                      <w:pStyle w:val="7"/>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QZF+jQAQAApQMAAA4AAAAAAAAAAQAgAAAAHwEAAGRy&#10;cy9lMm9Eb2MueG1sUEsFBgAAAAAGAAYAWQEAAGE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84</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w9Q8GtIBAACnAwAADgAAAAAAAAABACAAAAAfAQAA&#10;ZHJzL2Uyb0RvYy54bWxQSwUGAAAAAAYABgBZAQAAY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spacing w:line="288"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03EFD"/>
    <w:multiLevelType w:val="multilevel"/>
    <w:tmpl w:val="B8B03EFD"/>
    <w:lvl w:ilvl="0" w:tentative="0">
      <w:start w:val="1"/>
      <w:numFmt w:val="decimal"/>
      <w:suff w:val="nothing"/>
      <w:lvlText w:val="%1、"/>
      <w:lvlJc w:val="left"/>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F8836CC1"/>
    <w:multiLevelType w:val="singleLevel"/>
    <w:tmpl w:val="F8836CC1"/>
    <w:lvl w:ilvl="0" w:tentative="0">
      <w:start w:val="3"/>
      <w:numFmt w:val="chineseCounting"/>
      <w:suff w:val="nothing"/>
      <w:lvlText w:val="（%1）"/>
      <w:lvlJc w:val="left"/>
      <w:rPr>
        <w:rFonts w:hint="eastAsia"/>
      </w:rPr>
    </w:lvl>
  </w:abstractNum>
  <w:abstractNum w:abstractNumId="2">
    <w:nsid w:val="28F5F036"/>
    <w:multiLevelType w:val="singleLevel"/>
    <w:tmpl w:val="28F5F036"/>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ZGZkNWI5ZjJkNGQwMGU5YWQyNzZkMzczN2IyZmIifQ=="/>
  </w:docVars>
  <w:rsids>
    <w:rsidRoot w:val="00172A27"/>
    <w:rsid w:val="00000046"/>
    <w:rsid w:val="00000335"/>
    <w:rsid w:val="00000503"/>
    <w:rsid w:val="0000105F"/>
    <w:rsid w:val="000010EB"/>
    <w:rsid w:val="00001744"/>
    <w:rsid w:val="00001803"/>
    <w:rsid w:val="00001D26"/>
    <w:rsid w:val="000024AB"/>
    <w:rsid w:val="000025F8"/>
    <w:rsid w:val="00002AA2"/>
    <w:rsid w:val="00002BB6"/>
    <w:rsid w:val="00002C15"/>
    <w:rsid w:val="000030AA"/>
    <w:rsid w:val="00003206"/>
    <w:rsid w:val="00003659"/>
    <w:rsid w:val="000038BB"/>
    <w:rsid w:val="000038D6"/>
    <w:rsid w:val="00003C90"/>
    <w:rsid w:val="0000428E"/>
    <w:rsid w:val="000048FA"/>
    <w:rsid w:val="00004E10"/>
    <w:rsid w:val="00005030"/>
    <w:rsid w:val="0000559C"/>
    <w:rsid w:val="0000579A"/>
    <w:rsid w:val="00005C29"/>
    <w:rsid w:val="00005D80"/>
    <w:rsid w:val="000064C5"/>
    <w:rsid w:val="0000650C"/>
    <w:rsid w:val="000070E2"/>
    <w:rsid w:val="0000739C"/>
    <w:rsid w:val="00007E92"/>
    <w:rsid w:val="00010DE1"/>
    <w:rsid w:val="00010ECC"/>
    <w:rsid w:val="00010F84"/>
    <w:rsid w:val="0001147A"/>
    <w:rsid w:val="000118E8"/>
    <w:rsid w:val="00011BB6"/>
    <w:rsid w:val="00012049"/>
    <w:rsid w:val="00012304"/>
    <w:rsid w:val="000123D3"/>
    <w:rsid w:val="0001254A"/>
    <w:rsid w:val="00012621"/>
    <w:rsid w:val="00012C33"/>
    <w:rsid w:val="00012CAF"/>
    <w:rsid w:val="00013090"/>
    <w:rsid w:val="000133CD"/>
    <w:rsid w:val="0001346C"/>
    <w:rsid w:val="00013B21"/>
    <w:rsid w:val="00013D73"/>
    <w:rsid w:val="00013EF1"/>
    <w:rsid w:val="00013FED"/>
    <w:rsid w:val="00014654"/>
    <w:rsid w:val="00014716"/>
    <w:rsid w:val="00014AEE"/>
    <w:rsid w:val="00014CCD"/>
    <w:rsid w:val="00014F7E"/>
    <w:rsid w:val="00014FBF"/>
    <w:rsid w:val="0001511F"/>
    <w:rsid w:val="00015BAF"/>
    <w:rsid w:val="00016085"/>
    <w:rsid w:val="0001652C"/>
    <w:rsid w:val="0001655C"/>
    <w:rsid w:val="000168EF"/>
    <w:rsid w:val="0001731C"/>
    <w:rsid w:val="00017886"/>
    <w:rsid w:val="00017923"/>
    <w:rsid w:val="000179AB"/>
    <w:rsid w:val="00017FA5"/>
    <w:rsid w:val="00017FE9"/>
    <w:rsid w:val="000200F2"/>
    <w:rsid w:val="00020148"/>
    <w:rsid w:val="00020B77"/>
    <w:rsid w:val="00020E98"/>
    <w:rsid w:val="000214DE"/>
    <w:rsid w:val="0002180D"/>
    <w:rsid w:val="00021D51"/>
    <w:rsid w:val="0002263B"/>
    <w:rsid w:val="000227EE"/>
    <w:rsid w:val="000232D3"/>
    <w:rsid w:val="00023848"/>
    <w:rsid w:val="0002414D"/>
    <w:rsid w:val="0002479F"/>
    <w:rsid w:val="0002489A"/>
    <w:rsid w:val="00024A08"/>
    <w:rsid w:val="00024D58"/>
    <w:rsid w:val="00025490"/>
    <w:rsid w:val="00025B1A"/>
    <w:rsid w:val="00025E0C"/>
    <w:rsid w:val="000260CF"/>
    <w:rsid w:val="00026286"/>
    <w:rsid w:val="0002659A"/>
    <w:rsid w:val="00026B03"/>
    <w:rsid w:val="000271BF"/>
    <w:rsid w:val="00027402"/>
    <w:rsid w:val="00027901"/>
    <w:rsid w:val="00027E6C"/>
    <w:rsid w:val="00027FC8"/>
    <w:rsid w:val="0003050C"/>
    <w:rsid w:val="00030D93"/>
    <w:rsid w:val="00030E8F"/>
    <w:rsid w:val="000323CA"/>
    <w:rsid w:val="00032EE2"/>
    <w:rsid w:val="000332FB"/>
    <w:rsid w:val="00033609"/>
    <w:rsid w:val="00033C97"/>
    <w:rsid w:val="00034220"/>
    <w:rsid w:val="00034566"/>
    <w:rsid w:val="0003458B"/>
    <w:rsid w:val="00035084"/>
    <w:rsid w:val="000351CA"/>
    <w:rsid w:val="00035578"/>
    <w:rsid w:val="0003613B"/>
    <w:rsid w:val="000364B7"/>
    <w:rsid w:val="00036959"/>
    <w:rsid w:val="00036FE7"/>
    <w:rsid w:val="00037091"/>
    <w:rsid w:val="000376AA"/>
    <w:rsid w:val="00037B7E"/>
    <w:rsid w:val="0004001A"/>
    <w:rsid w:val="00040266"/>
    <w:rsid w:val="00040709"/>
    <w:rsid w:val="000409BC"/>
    <w:rsid w:val="00041FCD"/>
    <w:rsid w:val="00041FD7"/>
    <w:rsid w:val="00042A12"/>
    <w:rsid w:val="00042E52"/>
    <w:rsid w:val="000430A7"/>
    <w:rsid w:val="000432D3"/>
    <w:rsid w:val="0004368B"/>
    <w:rsid w:val="0004381F"/>
    <w:rsid w:val="00043D3D"/>
    <w:rsid w:val="0004482A"/>
    <w:rsid w:val="000449CF"/>
    <w:rsid w:val="00044B17"/>
    <w:rsid w:val="00044B2C"/>
    <w:rsid w:val="000458DC"/>
    <w:rsid w:val="00045A37"/>
    <w:rsid w:val="00045D55"/>
    <w:rsid w:val="00045F1C"/>
    <w:rsid w:val="0004617B"/>
    <w:rsid w:val="0004669A"/>
    <w:rsid w:val="00046C4F"/>
    <w:rsid w:val="00046E0C"/>
    <w:rsid w:val="000472EE"/>
    <w:rsid w:val="00047887"/>
    <w:rsid w:val="00047CF9"/>
    <w:rsid w:val="00047D8B"/>
    <w:rsid w:val="00050019"/>
    <w:rsid w:val="000508E3"/>
    <w:rsid w:val="00050938"/>
    <w:rsid w:val="000509EC"/>
    <w:rsid w:val="00051940"/>
    <w:rsid w:val="00051FAB"/>
    <w:rsid w:val="0005214A"/>
    <w:rsid w:val="000522AE"/>
    <w:rsid w:val="0005263B"/>
    <w:rsid w:val="0005296C"/>
    <w:rsid w:val="00052D62"/>
    <w:rsid w:val="00053254"/>
    <w:rsid w:val="000534A9"/>
    <w:rsid w:val="0005363E"/>
    <w:rsid w:val="00053B7A"/>
    <w:rsid w:val="0005409B"/>
    <w:rsid w:val="00054BCA"/>
    <w:rsid w:val="00054DA2"/>
    <w:rsid w:val="000556CF"/>
    <w:rsid w:val="00055DAC"/>
    <w:rsid w:val="00056066"/>
    <w:rsid w:val="00056418"/>
    <w:rsid w:val="0005670A"/>
    <w:rsid w:val="00056A7D"/>
    <w:rsid w:val="00056DA6"/>
    <w:rsid w:val="000571DE"/>
    <w:rsid w:val="000575B7"/>
    <w:rsid w:val="00057687"/>
    <w:rsid w:val="00057914"/>
    <w:rsid w:val="00057BA1"/>
    <w:rsid w:val="0006008B"/>
    <w:rsid w:val="00060497"/>
    <w:rsid w:val="000608FD"/>
    <w:rsid w:val="0006093D"/>
    <w:rsid w:val="0006149D"/>
    <w:rsid w:val="00061652"/>
    <w:rsid w:val="00061F5E"/>
    <w:rsid w:val="00062B1F"/>
    <w:rsid w:val="00062BCF"/>
    <w:rsid w:val="00062DDA"/>
    <w:rsid w:val="00062FF7"/>
    <w:rsid w:val="00063072"/>
    <w:rsid w:val="000632CF"/>
    <w:rsid w:val="00063331"/>
    <w:rsid w:val="00063930"/>
    <w:rsid w:val="00063E5E"/>
    <w:rsid w:val="00063E83"/>
    <w:rsid w:val="000641B7"/>
    <w:rsid w:val="0006470D"/>
    <w:rsid w:val="00064730"/>
    <w:rsid w:val="00064835"/>
    <w:rsid w:val="000651F5"/>
    <w:rsid w:val="00065766"/>
    <w:rsid w:val="00065CAB"/>
    <w:rsid w:val="0006643C"/>
    <w:rsid w:val="0006674D"/>
    <w:rsid w:val="0006687E"/>
    <w:rsid w:val="00066B3C"/>
    <w:rsid w:val="000670B2"/>
    <w:rsid w:val="0006712E"/>
    <w:rsid w:val="00067265"/>
    <w:rsid w:val="000679BB"/>
    <w:rsid w:val="00067C01"/>
    <w:rsid w:val="000700CB"/>
    <w:rsid w:val="000707E1"/>
    <w:rsid w:val="00070CB9"/>
    <w:rsid w:val="00070CFB"/>
    <w:rsid w:val="000712FA"/>
    <w:rsid w:val="00071C07"/>
    <w:rsid w:val="0007230B"/>
    <w:rsid w:val="000738AA"/>
    <w:rsid w:val="00073997"/>
    <w:rsid w:val="00073C8A"/>
    <w:rsid w:val="00073CE0"/>
    <w:rsid w:val="00073E6C"/>
    <w:rsid w:val="000742D0"/>
    <w:rsid w:val="00074CB9"/>
    <w:rsid w:val="0007595F"/>
    <w:rsid w:val="00075BF2"/>
    <w:rsid w:val="00075F98"/>
    <w:rsid w:val="00075FDD"/>
    <w:rsid w:val="00076BCD"/>
    <w:rsid w:val="00076C5A"/>
    <w:rsid w:val="00076C96"/>
    <w:rsid w:val="00076E35"/>
    <w:rsid w:val="000770BE"/>
    <w:rsid w:val="0007775B"/>
    <w:rsid w:val="000778C0"/>
    <w:rsid w:val="00077DD6"/>
    <w:rsid w:val="000805DF"/>
    <w:rsid w:val="00080669"/>
    <w:rsid w:val="00080ABE"/>
    <w:rsid w:val="00081025"/>
    <w:rsid w:val="0008130B"/>
    <w:rsid w:val="00081523"/>
    <w:rsid w:val="00081770"/>
    <w:rsid w:val="0008194C"/>
    <w:rsid w:val="000819DE"/>
    <w:rsid w:val="00081C2B"/>
    <w:rsid w:val="00081CCD"/>
    <w:rsid w:val="00082602"/>
    <w:rsid w:val="00082DE8"/>
    <w:rsid w:val="000831C4"/>
    <w:rsid w:val="00083690"/>
    <w:rsid w:val="0008384E"/>
    <w:rsid w:val="0008411A"/>
    <w:rsid w:val="00084A8D"/>
    <w:rsid w:val="00084BA1"/>
    <w:rsid w:val="00084BC2"/>
    <w:rsid w:val="000851D0"/>
    <w:rsid w:val="000852BC"/>
    <w:rsid w:val="000854C8"/>
    <w:rsid w:val="0008554B"/>
    <w:rsid w:val="000856BB"/>
    <w:rsid w:val="000858E6"/>
    <w:rsid w:val="00085A0B"/>
    <w:rsid w:val="00085BA2"/>
    <w:rsid w:val="00085EA6"/>
    <w:rsid w:val="0008659B"/>
    <w:rsid w:val="0008697E"/>
    <w:rsid w:val="00086A93"/>
    <w:rsid w:val="00086D9D"/>
    <w:rsid w:val="00086F68"/>
    <w:rsid w:val="00087026"/>
    <w:rsid w:val="0008724F"/>
    <w:rsid w:val="000873BC"/>
    <w:rsid w:val="00087832"/>
    <w:rsid w:val="00087A6B"/>
    <w:rsid w:val="00090463"/>
    <w:rsid w:val="0009107B"/>
    <w:rsid w:val="000917F6"/>
    <w:rsid w:val="00091C86"/>
    <w:rsid w:val="00091F6C"/>
    <w:rsid w:val="000926B5"/>
    <w:rsid w:val="00092C43"/>
    <w:rsid w:val="0009391B"/>
    <w:rsid w:val="0009466A"/>
    <w:rsid w:val="000946D1"/>
    <w:rsid w:val="00094887"/>
    <w:rsid w:val="00094892"/>
    <w:rsid w:val="00095501"/>
    <w:rsid w:val="00095636"/>
    <w:rsid w:val="00095A0C"/>
    <w:rsid w:val="00096058"/>
    <w:rsid w:val="0009621F"/>
    <w:rsid w:val="00096286"/>
    <w:rsid w:val="000963DB"/>
    <w:rsid w:val="0009645F"/>
    <w:rsid w:val="00096518"/>
    <w:rsid w:val="000966D4"/>
    <w:rsid w:val="00096854"/>
    <w:rsid w:val="00096E0B"/>
    <w:rsid w:val="00096F58"/>
    <w:rsid w:val="00097089"/>
    <w:rsid w:val="0009730E"/>
    <w:rsid w:val="000975AA"/>
    <w:rsid w:val="00097A64"/>
    <w:rsid w:val="000A06B3"/>
    <w:rsid w:val="000A0CBF"/>
    <w:rsid w:val="000A1174"/>
    <w:rsid w:val="000A1598"/>
    <w:rsid w:val="000A15AA"/>
    <w:rsid w:val="000A1874"/>
    <w:rsid w:val="000A1895"/>
    <w:rsid w:val="000A1B3E"/>
    <w:rsid w:val="000A2B85"/>
    <w:rsid w:val="000A3086"/>
    <w:rsid w:val="000A3379"/>
    <w:rsid w:val="000A3C3A"/>
    <w:rsid w:val="000A3D94"/>
    <w:rsid w:val="000A3EE8"/>
    <w:rsid w:val="000A49D6"/>
    <w:rsid w:val="000A4A16"/>
    <w:rsid w:val="000A4A6E"/>
    <w:rsid w:val="000A4B29"/>
    <w:rsid w:val="000A4B92"/>
    <w:rsid w:val="000A4C36"/>
    <w:rsid w:val="000A4F87"/>
    <w:rsid w:val="000A53CD"/>
    <w:rsid w:val="000A56B0"/>
    <w:rsid w:val="000A649F"/>
    <w:rsid w:val="000A686D"/>
    <w:rsid w:val="000A6C08"/>
    <w:rsid w:val="000A6E2C"/>
    <w:rsid w:val="000A7280"/>
    <w:rsid w:val="000A74E6"/>
    <w:rsid w:val="000A7905"/>
    <w:rsid w:val="000A7D1D"/>
    <w:rsid w:val="000B0127"/>
    <w:rsid w:val="000B043E"/>
    <w:rsid w:val="000B047A"/>
    <w:rsid w:val="000B08C6"/>
    <w:rsid w:val="000B0F4B"/>
    <w:rsid w:val="000B1C58"/>
    <w:rsid w:val="000B2E24"/>
    <w:rsid w:val="000B348A"/>
    <w:rsid w:val="000B37A5"/>
    <w:rsid w:val="000B3BFF"/>
    <w:rsid w:val="000B3EF1"/>
    <w:rsid w:val="000B487F"/>
    <w:rsid w:val="000B5694"/>
    <w:rsid w:val="000B5821"/>
    <w:rsid w:val="000B59DE"/>
    <w:rsid w:val="000B5F31"/>
    <w:rsid w:val="000B5FE8"/>
    <w:rsid w:val="000B61E3"/>
    <w:rsid w:val="000B627D"/>
    <w:rsid w:val="000B739A"/>
    <w:rsid w:val="000B76D4"/>
    <w:rsid w:val="000B7983"/>
    <w:rsid w:val="000B7DC7"/>
    <w:rsid w:val="000C0ADF"/>
    <w:rsid w:val="000C1819"/>
    <w:rsid w:val="000C1CDB"/>
    <w:rsid w:val="000C1F17"/>
    <w:rsid w:val="000C24C1"/>
    <w:rsid w:val="000C28EA"/>
    <w:rsid w:val="000C2959"/>
    <w:rsid w:val="000C2D83"/>
    <w:rsid w:val="000C39AA"/>
    <w:rsid w:val="000C3B9C"/>
    <w:rsid w:val="000C3EFC"/>
    <w:rsid w:val="000C41E5"/>
    <w:rsid w:val="000C44F8"/>
    <w:rsid w:val="000C51A0"/>
    <w:rsid w:val="000C5320"/>
    <w:rsid w:val="000C5388"/>
    <w:rsid w:val="000C5D57"/>
    <w:rsid w:val="000C6772"/>
    <w:rsid w:val="000C681E"/>
    <w:rsid w:val="000C716C"/>
    <w:rsid w:val="000C741C"/>
    <w:rsid w:val="000C7903"/>
    <w:rsid w:val="000C7AEE"/>
    <w:rsid w:val="000C7EBD"/>
    <w:rsid w:val="000C7F4A"/>
    <w:rsid w:val="000D01E3"/>
    <w:rsid w:val="000D0524"/>
    <w:rsid w:val="000D058E"/>
    <w:rsid w:val="000D0D05"/>
    <w:rsid w:val="000D1002"/>
    <w:rsid w:val="000D11C1"/>
    <w:rsid w:val="000D12BC"/>
    <w:rsid w:val="000D1584"/>
    <w:rsid w:val="000D1A27"/>
    <w:rsid w:val="000D1BC2"/>
    <w:rsid w:val="000D2067"/>
    <w:rsid w:val="000D2CF7"/>
    <w:rsid w:val="000D2E36"/>
    <w:rsid w:val="000D2FD3"/>
    <w:rsid w:val="000D318E"/>
    <w:rsid w:val="000D3F77"/>
    <w:rsid w:val="000D45A7"/>
    <w:rsid w:val="000D4DAE"/>
    <w:rsid w:val="000D57E7"/>
    <w:rsid w:val="000D598F"/>
    <w:rsid w:val="000D6548"/>
    <w:rsid w:val="000D6820"/>
    <w:rsid w:val="000D69BD"/>
    <w:rsid w:val="000D71A9"/>
    <w:rsid w:val="000D75CE"/>
    <w:rsid w:val="000D771F"/>
    <w:rsid w:val="000D7EFB"/>
    <w:rsid w:val="000E0037"/>
    <w:rsid w:val="000E0592"/>
    <w:rsid w:val="000E06FD"/>
    <w:rsid w:val="000E0782"/>
    <w:rsid w:val="000E0A39"/>
    <w:rsid w:val="000E0B71"/>
    <w:rsid w:val="000E1555"/>
    <w:rsid w:val="000E1A5B"/>
    <w:rsid w:val="000E1FFB"/>
    <w:rsid w:val="000E222C"/>
    <w:rsid w:val="000E2BE1"/>
    <w:rsid w:val="000E2F93"/>
    <w:rsid w:val="000E3166"/>
    <w:rsid w:val="000E383F"/>
    <w:rsid w:val="000E4638"/>
    <w:rsid w:val="000E4B7D"/>
    <w:rsid w:val="000E598E"/>
    <w:rsid w:val="000E59CA"/>
    <w:rsid w:val="000E5C87"/>
    <w:rsid w:val="000E6422"/>
    <w:rsid w:val="000E69E0"/>
    <w:rsid w:val="000E69FD"/>
    <w:rsid w:val="000E746F"/>
    <w:rsid w:val="000E7501"/>
    <w:rsid w:val="000E7B05"/>
    <w:rsid w:val="000E7F7A"/>
    <w:rsid w:val="000F0836"/>
    <w:rsid w:val="000F0CAB"/>
    <w:rsid w:val="000F0E6D"/>
    <w:rsid w:val="000F12A8"/>
    <w:rsid w:val="000F141D"/>
    <w:rsid w:val="000F208F"/>
    <w:rsid w:val="000F2127"/>
    <w:rsid w:val="000F25E4"/>
    <w:rsid w:val="000F2BF2"/>
    <w:rsid w:val="000F31E5"/>
    <w:rsid w:val="000F3841"/>
    <w:rsid w:val="000F3E62"/>
    <w:rsid w:val="000F42D5"/>
    <w:rsid w:val="000F4F76"/>
    <w:rsid w:val="000F5032"/>
    <w:rsid w:val="000F50AA"/>
    <w:rsid w:val="000F541F"/>
    <w:rsid w:val="000F56A7"/>
    <w:rsid w:val="000F594C"/>
    <w:rsid w:val="000F626F"/>
    <w:rsid w:val="000F6507"/>
    <w:rsid w:val="000F6DF2"/>
    <w:rsid w:val="000F70A2"/>
    <w:rsid w:val="0010005E"/>
    <w:rsid w:val="00100627"/>
    <w:rsid w:val="001008EF"/>
    <w:rsid w:val="00100AB4"/>
    <w:rsid w:val="00100F9D"/>
    <w:rsid w:val="0010111D"/>
    <w:rsid w:val="00101364"/>
    <w:rsid w:val="0010170B"/>
    <w:rsid w:val="001020BD"/>
    <w:rsid w:val="0010243D"/>
    <w:rsid w:val="00102876"/>
    <w:rsid w:val="00102CD5"/>
    <w:rsid w:val="00103170"/>
    <w:rsid w:val="001035EF"/>
    <w:rsid w:val="00103D6B"/>
    <w:rsid w:val="00103D81"/>
    <w:rsid w:val="00104A04"/>
    <w:rsid w:val="00105556"/>
    <w:rsid w:val="001060DC"/>
    <w:rsid w:val="001068C7"/>
    <w:rsid w:val="001068EC"/>
    <w:rsid w:val="001070B6"/>
    <w:rsid w:val="001074D7"/>
    <w:rsid w:val="00107D76"/>
    <w:rsid w:val="00107DC7"/>
    <w:rsid w:val="00107FBA"/>
    <w:rsid w:val="00110C77"/>
    <w:rsid w:val="001111D4"/>
    <w:rsid w:val="00111270"/>
    <w:rsid w:val="00111577"/>
    <w:rsid w:val="00111837"/>
    <w:rsid w:val="00111D83"/>
    <w:rsid w:val="00112111"/>
    <w:rsid w:val="001121E9"/>
    <w:rsid w:val="001123D3"/>
    <w:rsid w:val="001127C9"/>
    <w:rsid w:val="00112AC2"/>
    <w:rsid w:val="00112FF1"/>
    <w:rsid w:val="00113CEF"/>
    <w:rsid w:val="00113EFA"/>
    <w:rsid w:val="001144A4"/>
    <w:rsid w:val="001153B8"/>
    <w:rsid w:val="001154AC"/>
    <w:rsid w:val="00115C6F"/>
    <w:rsid w:val="00116002"/>
    <w:rsid w:val="001162D6"/>
    <w:rsid w:val="0011660D"/>
    <w:rsid w:val="00116781"/>
    <w:rsid w:val="001167DA"/>
    <w:rsid w:val="00116EE7"/>
    <w:rsid w:val="0011731D"/>
    <w:rsid w:val="00117456"/>
    <w:rsid w:val="0011745A"/>
    <w:rsid w:val="00117A79"/>
    <w:rsid w:val="00117FC1"/>
    <w:rsid w:val="0012027C"/>
    <w:rsid w:val="0012072D"/>
    <w:rsid w:val="00120AEA"/>
    <w:rsid w:val="00120E3C"/>
    <w:rsid w:val="00120FC6"/>
    <w:rsid w:val="0012106E"/>
    <w:rsid w:val="001211E2"/>
    <w:rsid w:val="00121681"/>
    <w:rsid w:val="0012199C"/>
    <w:rsid w:val="00121EDB"/>
    <w:rsid w:val="001222AD"/>
    <w:rsid w:val="00122415"/>
    <w:rsid w:val="00122BD0"/>
    <w:rsid w:val="0012341D"/>
    <w:rsid w:val="00123B5F"/>
    <w:rsid w:val="00123C49"/>
    <w:rsid w:val="00123CDF"/>
    <w:rsid w:val="00123D4B"/>
    <w:rsid w:val="001242F2"/>
    <w:rsid w:val="00124319"/>
    <w:rsid w:val="00124A68"/>
    <w:rsid w:val="001256E4"/>
    <w:rsid w:val="001257E6"/>
    <w:rsid w:val="00125B27"/>
    <w:rsid w:val="00125CAC"/>
    <w:rsid w:val="00125F71"/>
    <w:rsid w:val="001264E9"/>
    <w:rsid w:val="00126751"/>
    <w:rsid w:val="00126AFD"/>
    <w:rsid w:val="00127170"/>
    <w:rsid w:val="00130112"/>
    <w:rsid w:val="0013057D"/>
    <w:rsid w:val="001307A5"/>
    <w:rsid w:val="00130873"/>
    <w:rsid w:val="00130CAA"/>
    <w:rsid w:val="00130CD4"/>
    <w:rsid w:val="00130D37"/>
    <w:rsid w:val="00130F11"/>
    <w:rsid w:val="00131270"/>
    <w:rsid w:val="001317C4"/>
    <w:rsid w:val="0013200D"/>
    <w:rsid w:val="0013214B"/>
    <w:rsid w:val="00132C5E"/>
    <w:rsid w:val="00133330"/>
    <w:rsid w:val="0013343D"/>
    <w:rsid w:val="00133BC4"/>
    <w:rsid w:val="00133C04"/>
    <w:rsid w:val="00133ECA"/>
    <w:rsid w:val="001342C0"/>
    <w:rsid w:val="001354B0"/>
    <w:rsid w:val="00136C43"/>
    <w:rsid w:val="00136F54"/>
    <w:rsid w:val="001371EE"/>
    <w:rsid w:val="00137252"/>
    <w:rsid w:val="0013759E"/>
    <w:rsid w:val="00137A73"/>
    <w:rsid w:val="00137D91"/>
    <w:rsid w:val="001405A6"/>
    <w:rsid w:val="0014064A"/>
    <w:rsid w:val="00140926"/>
    <w:rsid w:val="0014097D"/>
    <w:rsid w:val="00140E5F"/>
    <w:rsid w:val="001412BC"/>
    <w:rsid w:val="00141A83"/>
    <w:rsid w:val="00143197"/>
    <w:rsid w:val="00143205"/>
    <w:rsid w:val="001439DB"/>
    <w:rsid w:val="00144F63"/>
    <w:rsid w:val="001456CB"/>
    <w:rsid w:val="001457C8"/>
    <w:rsid w:val="00145917"/>
    <w:rsid w:val="0014616F"/>
    <w:rsid w:val="0014617A"/>
    <w:rsid w:val="001462FC"/>
    <w:rsid w:val="00146634"/>
    <w:rsid w:val="0014669A"/>
    <w:rsid w:val="00146A6D"/>
    <w:rsid w:val="00146C5B"/>
    <w:rsid w:val="00146CA7"/>
    <w:rsid w:val="00147059"/>
    <w:rsid w:val="0014747A"/>
    <w:rsid w:val="001476F6"/>
    <w:rsid w:val="00150406"/>
    <w:rsid w:val="00150A90"/>
    <w:rsid w:val="0015113A"/>
    <w:rsid w:val="001511D2"/>
    <w:rsid w:val="0015135C"/>
    <w:rsid w:val="0015137F"/>
    <w:rsid w:val="0015143B"/>
    <w:rsid w:val="0015165A"/>
    <w:rsid w:val="00151C86"/>
    <w:rsid w:val="00151E73"/>
    <w:rsid w:val="001528D2"/>
    <w:rsid w:val="00152B86"/>
    <w:rsid w:val="00152D6A"/>
    <w:rsid w:val="001537B1"/>
    <w:rsid w:val="001539B2"/>
    <w:rsid w:val="00153BD2"/>
    <w:rsid w:val="00153C03"/>
    <w:rsid w:val="00153E07"/>
    <w:rsid w:val="00154516"/>
    <w:rsid w:val="001546B4"/>
    <w:rsid w:val="001548B7"/>
    <w:rsid w:val="001548CF"/>
    <w:rsid w:val="00154B90"/>
    <w:rsid w:val="0015546C"/>
    <w:rsid w:val="00155942"/>
    <w:rsid w:val="00155BE6"/>
    <w:rsid w:val="0015675F"/>
    <w:rsid w:val="00156BE6"/>
    <w:rsid w:val="00156C24"/>
    <w:rsid w:val="00157569"/>
    <w:rsid w:val="001575B6"/>
    <w:rsid w:val="00157D68"/>
    <w:rsid w:val="00157DEB"/>
    <w:rsid w:val="00160165"/>
    <w:rsid w:val="001606BA"/>
    <w:rsid w:val="001606E8"/>
    <w:rsid w:val="00160E5C"/>
    <w:rsid w:val="00161656"/>
    <w:rsid w:val="00161C33"/>
    <w:rsid w:val="001625CB"/>
    <w:rsid w:val="00162B2A"/>
    <w:rsid w:val="00162BA9"/>
    <w:rsid w:val="00162F1F"/>
    <w:rsid w:val="00163806"/>
    <w:rsid w:val="00163CE4"/>
    <w:rsid w:val="00164B93"/>
    <w:rsid w:val="00164CE5"/>
    <w:rsid w:val="0016549F"/>
    <w:rsid w:val="00165979"/>
    <w:rsid w:val="001659A8"/>
    <w:rsid w:val="00165A8E"/>
    <w:rsid w:val="00165AAF"/>
    <w:rsid w:val="00165C51"/>
    <w:rsid w:val="00165C7E"/>
    <w:rsid w:val="00165F31"/>
    <w:rsid w:val="00166095"/>
    <w:rsid w:val="001662FC"/>
    <w:rsid w:val="00166346"/>
    <w:rsid w:val="00166CBB"/>
    <w:rsid w:val="0016786C"/>
    <w:rsid w:val="00167870"/>
    <w:rsid w:val="00167FB1"/>
    <w:rsid w:val="001701E5"/>
    <w:rsid w:val="00170C06"/>
    <w:rsid w:val="00170CCE"/>
    <w:rsid w:val="00171646"/>
    <w:rsid w:val="0017172C"/>
    <w:rsid w:val="00171DF0"/>
    <w:rsid w:val="00172A27"/>
    <w:rsid w:val="00173088"/>
    <w:rsid w:val="0017317E"/>
    <w:rsid w:val="001736C3"/>
    <w:rsid w:val="0017412E"/>
    <w:rsid w:val="0017453D"/>
    <w:rsid w:val="001746E6"/>
    <w:rsid w:val="00174A95"/>
    <w:rsid w:val="00174DEC"/>
    <w:rsid w:val="001753ED"/>
    <w:rsid w:val="001766B3"/>
    <w:rsid w:val="00176E72"/>
    <w:rsid w:val="001770B9"/>
    <w:rsid w:val="0017713E"/>
    <w:rsid w:val="00180764"/>
    <w:rsid w:val="001809BE"/>
    <w:rsid w:val="00180AB2"/>
    <w:rsid w:val="00180B72"/>
    <w:rsid w:val="00180F2A"/>
    <w:rsid w:val="001811E4"/>
    <w:rsid w:val="001812D5"/>
    <w:rsid w:val="0018156D"/>
    <w:rsid w:val="001819A7"/>
    <w:rsid w:val="00181BBB"/>
    <w:rsid w:val="00181C28"/>
    <w:rsid w:val="00181E3B"/>
    <w:rsid w:val="0018227F"/>
    <w:rsid w:val="001829DE"/>
    <w:rsid w:val="00182AE1"/>
    <w:rsid w:val="0018304B"/>
    <w:rsid w:val="0018386B"/>
    <w:rsid w:val="00183FAC"/>
    <w:rsid w:val="0018408E"/>
    <w:rsid w:val="0018415F"/>
    <w:rsid w:val="001842A6"/>
    <w:rsid w:val="00184499"/>
    <w:rsid w:val="00184D6F"/>
    <w:rsid w:val="00184EEE"/>
    <w:rsid w:val="00185091"/>
    <w:rsid w:val="001852DD"/>
    <w:rsid w:val="00185AF7"/>
    <w:rsid w:val="00186166"/>
    <w:rsid w:val="00186170"/>
    <w:rsid w:val="00186435"/>
    <w:rsid w:val="00186527"/>
    <w:rsid w:val="0018680E"/>
    <w:rsid w:val="00186874"/>
    <w:rsid w:val="00186AA1"/>
    <w:rsid w:val="001870D9"/>
    <w:rsid w:val="001870F6"/>
    <w:rsid w:val="00187166"/>
    <w:rsid w:val="001871DE"/>
    <w:rsid w:val="00187B80"/>
    <w:rsid w:val="00187ED1"/>
    <w:rsid w:val="00187FCC"/>
    <w:rsid w:val="001900B7"/>
    <w:rsid w:val="00190233"/>
    <w:rsid w:val="00190266"/>
    <w:rsid w:val="001905B3"/>
    <w:rsid w:val="00191123"/>
    <w:rsid w:val="00191BCE"/>
    <w:rsid w:val="00191DCC"/>
    <w:rsid w:val="001920B2"/>
    <w:rsid w:val="0019236A"/>
    <w:rsid w:val="00192704"/>
    <w:rsid w:val="0019285A"/>
    <w:rsid w:val="00193CCB"/>
    <w:rsid w:val="00193D28"/>
    <w:rsid w:val="001942B9"/>
    <w:rsid w:val="001942C9"/>
    <w:rsid w:val="0019468C"/>
    <w:rsid w:val="001959E2"/>
    <w:rsid w:val="00195C02"/>
    <w:rsid w:val="00195EC3"/>
    <w:rsid w:val="001963C6"/>
    <w:rsid w:val="00197092"/>
    <w:rsid w:val="0019767F"/>
    <w:rsid w:val="0019799F"/>
    <w:rsid w:val="00197DCB"/>
    <w:rsid w:val="00197E09"/>
    <w:rsid w:val="001A00A7"/>
    <w:rsid w:val="001A11A8"/>
    <w:rsid w:val="001A1269"/>
    <w:rsid w:val="001A19DB"/>
    <w:rsid w:val="001A1E91"/>
    <w:rsid w:val="001A2591"/>
    <w:rsid w:val="001A2663"/>
    <w:rsid w:val="001A27EC"/>
    <w:rsid w:val="001A2DA1"/>
    <w:rsid w:val="001A3501"/>
    <w:rsid w:val="001A3571"/>
    <w:rsid w:val="001A35B3"/>
    <w:rsid w:val="001A3AA0"/>
    <w:rsid w:val="001A44E7"/>
    <w:rsid w:val="001A46EC"/>
    <w:rsid w:val="001A4B52"/>
    <w:rsid w:val="001A543D"/>
    <w:rsid w:val="001A5906"/>
    <w:rsid w:val="001A5FFB"/>
    <w:rsid w:val="001A6777"/>
    <w:rsid w:val="001A7BF5"/>
    <w:rsid w:val="001B1316"/>
    <w:rsid w:val="001B1425"/>
    <w:rsid w:val="001B1971"/>
    <w:rsid w:val="001B1FA5"/>
    <w:rsid w:val="001B2049"/>
    <w:rsid w:val="001B2807"/>
    <w:rsid w:val="001B2CD6"/>
    <w:rsid w:val="001B3210"/>
    <w:rsid w:val="001B3528"/>
    <w:rsid w:val="001B3628"/>
    <w:rsid w:val="001B3B9A"/>
    <w:rsid w:val="001B5075"/>
    <w:rsid w:val="001B5732"/>
    <w:rsid w:val="001B5A21"/>
    <w:rsid w:val="001B611A"/>
    <w:rsid w:val="001B659D"/>
    <w:rsid w:val="001B6C66"/>
    <w:rsid w:val="001B7817"/>
    <w:rsid w:val="001B7A46"/>
    <w:rsid w:val="001B7E03"/>
    <w:rsid w:val="001C0139"/>
    <w:rsid w:val="001C04CF"/>
    <w:rsid w:val="001C051B"/>
    <w:rsid w:val="001C0520"/>
    <w:rsid w:val="001C06FC"/>
    <w:rsid w:val="001C0D97"/>
    <w:rsid w:val="001C13BB"/>
    <w:rsid w:val="001C145D"/>
    <w:rsid w:val="001C1AE5"/>
    <w:rsid w:val="001C1CA3"/>
    <w:rsid w:val="001C2531"/>
    <w:rsid w:val="001C2B2C"/>
    <w:rsid w:val="001C2D31"/>
    <w:rsid w:val="001C3595"/>
    <w:rsid w:val="001C3F19"/>
    <w:rsid w:val="001C3FA6"/>
    <w:rsid w:val="001C4293"/>
    <w:rsid w:val="001C43C9"/>
    <w:rsid w:val="001C4808"/>
    <w:rsid w:val="001C4A55"/>
    <w:rsid w:val="001C4BE4"/>
    <w:rsid w:val="001C4F2A"/>
    <w:rsid w:val="001C529B"/>
    <w:rsid w:val="001C5C0B"/>
    <w:rsid w:val="001C6063"/>
    <w:rsid w:val="001C619E"/>
    <w:rsid w:val="001C6348"/>
    <w:rsid w:val="001C63C1"/>
    <w:rsid w:val="001C7164"/>
    <w:rsid w:val="001C7400"/>
    <w:rsid w:val="001C7BC8"/>
    <w:rsid w:val="001C7D85"/>
    <w:rsid w:val="001D00D8"/>
    <w:rsid w:val="001D0581"/>
    <w:rsid w:val="001D0DE6"/>
    <w:rsid w:val="001D0DF7"/>
    <w:rsid w:val="001D0E15"/>
    <w:rsid w:val="001D1055"/>
    <w:rsid w:val="001D116B"/>
    <w:rsid w:val="001D1750"/>
    <w:rsid w:val="001D2F46"/>
    <w:rsid w:val="001D3125"/>
    <w:rsid w:val="001D383F"/>
    <w:rsid w:val="001D3B51"/>
    <w:rsid w:val="001D3BBF"/>
    <w:rsid w:val="001D3C3D"/>
    <w:rsid w:val="001D3E0E"/>
    <w:rsid w:val="001D3E66"/>
    <w:rsid w:val="001D46F8"/>
    <w:rsid w:val="001D4745"/>
    <w:rsid w:val="001D4D7F"/>
    <w:rsid w:val="001D553C"/>
    <w:rsid w:val="001D565D"/>
    <w:rsid w:val="001D6D5A"/>
    <w:rsid w:val="001D6D9F"/>
    <w:rsid w:val="001D6F05"/>
    <w:rsid w:val="001D7101"/>
    <w:rsid w:val="001D71C4"/>
    <w:rsid w:val="001D790C"/>
    <w:rsid w:val="001D7AE1"/>
    <w:rsid w:val="001E065C"/>
    <w:rsid w:val="001E084B"/>
    <w:rsid w:val="001E08BA"/>
    <w:rsid w:val="001E0F69"/>
    <w:rsid w:val="001E1A19"/>
    <w:rsid w:val="001E1B25"/>
    <w:rsid w:val="001E1B3A"/>
    <w:rsid w:val="001E1D79"/>
    <w:rsid w:val="001E1DB4"/>
    <w:rsid w:val="001E2B2E"/>
    <w:rsid w:val="001E3340"/>
    <w:rsid w:val="001E34E3"/>
    <w:rsid w:val="001E372F"/>
    <w:rsid w:val="001E3DCA"/>
    <w:rsid w:val="001E3DD6"/>
    <w:rsid w:val="001E3DF7"/>
    <w:rsid w:val="001E4798"/>
    <w:rsid w:val="001E48FD"/>
    <w:rsid w:val="001E4F57"/>
    <w:rsid w:val="001E53B5"/>
    <w:rsid w:val="001E58AE"/>
    <w:rsid w:val="001E5917"/>
    <w:rsid w:val="001E595F"/>
    <w:rsid w:val="001E5981"/>
    <w:rsid w:val="001E61B4"/>
    <w:rsid w:val="001E68B4"/>
    <w:rsid w:val="001E6905"/>
    <w:rsid w:val="001E6AA1"/>
    <w:rsid w:val="001E6AC2"/>
    <w:rsid w:val="001E6AD9"/>
    <w:rsid w:val="001E6D61"/>
    <w:rsid w:val="001E76FE"/>
    <w:rsid w:val="001E7E9C"/>
    <w:rsid w:val="001F04A6"/>
    <w:rsid w:val="001F05FD"/>
    <w:rsid w:val="001F0F32"/>
    <w:rsid w:val="001F0F7C"/>
    <w:rsid w:val="001F1460"/>
    <w:rsid w:val="001F1B61"/>
    <w:rsid w:val="001F27DF"/>
    <w:rsid w:val="001F31B0"/>
    <w:rsid w:val="001F32A3"/>
    <w:rsid w:val="001F3617"/>
    <w:rsid w:val="001F3D6C"/>
    <w:rsid w:val="001F3E14"/>
    <w:rsid w:val="001F3EF8"/>
    <w:rsid w:val="001F404F"/>
    <w:rsid w:val="001F446B"/>
    <w:rsid w:val="001F4A27"/>
    <w:rsid w:val="001F4B13"/>
    <w:rsid w:val="001F4B40"/>
    <w:rsid w:val="001F4C13"/>
    <w:rsid w:val="001F5666"/>
    <w:rsid w:val="001F5AB5"/>
    <w:rsid w:val="001F5C37"/>
    <w:rsid w:val="001F5D4B"/>
    <w:rsid w:val="001F5D9E"/>
    <w:rsid w:val="001F5F16"/>
    <w:rsid w:val="001F6088"/>
    <w:rsid w:val="001F60B6"/>
    <w:rsid w:val="001F6A01"/>
    <w:rsid w:val="001F6AFD"/>
    <w:rsid w:val="001F6B44"/>
    <w:rsid w:val="001F6CA0"/>
    <w:rsid w:val="001F7084"/>
    <w:rsid w:val="001F74F2"/>
    <w:rsid w:val="001F74F6"/>
    <w:rsid w:val="001F7750"/>
    <w:rsid w:val="001F7E97"/>
    <w:rsid w:val="00200145"/>
    <w:rsid w:val="00200A48"/>
    <w:rsid w:val="00201402"/>
    <w:rsid w:val="0020158D"/>
    <w:rsid w:val="00201730"/>
    <w:rsid w:val="002018A2"/>
    <w:rsid w:val="00202B77"/>
    <w:rsid w:val="002038B5"/>
    <w:rsid w:val="00203C38"/>
    <w:rsid w:val="00203EED"/>
    <w:rsid w:val="00204E60"/>
    <w:rsid w:val="0020599D"/>
    <w:rsid w:val="0020655A"/>
    <w:rsid w:val="00206B30"/>
    <w:rsid w:val="00206BE2"/>
    <w:rsid w:val="00207092"/>
    <w:rsid w:val="00207323"/>
    <w:rsid w:val="0020781F"/>
    <w:rsid w:val="00210058"/>
    <w:rsid w:val="0021044D"/>
    <w:rsid w:val="00210652"/>
    <w:rsid w:val="00210715"/>
    <w:rsid w:val="0021090D"/>
    <w:rsid w:val="0021157A"/>
    <w:rsid w:val="00211602"/>
    <w:rsid w:val="00211A35"/>
    <w:rsid w:val="00211B81"/>
    <w:rsid w:val="0021213A"/>
    <w:rsid w:val="0021294B"/>
    <w:rsid w:val="00212A0A"/>
    <w:rsid w:val="0021314D"/>
    <w:rsid w:val="00213239"/>
    <w:rsid w:val="00213508"/>
    <w:rsid w:val="00213929"/>
    <w:rsid w:val="002147C4"/>
    <w:rsid w:val="0021500E"/>
    <w:rsid w:val="002152A4"/>
    <w:rsid w:val="002155E9"/>
    <w:rsid w:val="002157D1"/>
    <w:rsid w:val="00215E80"/>
    <w:rsid w:val="00216FB2"/>
    <w:rsid w:val="00217582"/>
    <w:rsid w:val="0021772D"/>
    <w:rsid w:val="00217CC0"/>
    <w:rsid w:val="00217EDD"/>
    <w:rsid w:val="00220575"/>
    <w:rsid w:val="00220577"/>
    <w:rsid w:val="0022064D"/>
    <w:rsid w:val="00220701"/>
    <w:rsid w:val="00220EEC"/>
    <w:rsid w:val="00221070"/>
    <w:rsid w:val="002211EA"/>
    <w:rsid w:val="00221A10"/>
    <w:rsid w:val="00221A53"/>
    <w:rsid w:val="00221BA7"/>
    <w:rsid w:val="00221D3B"/>
    <w:rsid w:val="002220A9"/>
    <w:rsid w:val="002222EE"/>
    <w:rsid w:val="00222407"/>
    <w:rsid w:val="002224CD"/>
    <w:rsid w:val="00222796"/>
    <w:rsid w:val="00222AF2"/>
    <w:rsid w:val="00222B0B"/>
    <w:rsid w:val="00222C4B"/>
    <w:rsid w:val="00222C4F"/>
    <w:rsid w:val="00223288"/>
    <w:rsid w:val="00223328"/>
    <w:rsid w:val="00223406"/>
    <w:rsid w:val="00223590"/>
    <w:rsid w:val="0022383D"/>
    <w:rsid w:val="00224668"/>
    <w:rsid w:val="00224F63"/>
    <w:rsid w:val="00225606"/>
    <w:rsid w:val="00226CFF"/>
    <w:rsid w:val="00226D38"/>
    <w:rsid w:val="0022757B"/>
    <w:rsid w:val="00230B32"/>
    <w:rsid w:val="00230B72"/>
    <w:rsid w:val="00230C59"/>
    <w:rsid w:val="00231077"/>
    <w:rsid w:val="00232C63"/>
    <w:rsid w:val="00232F11"/>
    <w:rsid w:val="0023301F"/>
    <w:rsid w:val="0023387B"/>
    <w:rsid w:val="0023449A"/>
    <w:rsid w:val="00234652"/>
    <w:rsid w:val="002346BA"/>
    <w:rsid w:val="00234AC7"/>
    <w:rsid w:val="00234C15"/>
    <w:rsid w:val="00235615"/>
    <w:rsid w:val="0023566D"/>
    <w:rsid w:val="00235E65"/>
    <w:rsid w:val="0023630D"/>
    <w:rsid w:val="002364E7"/>
    <w:rsid w:val="00236710"/>
    <w:rsid w:val="0023683E"/>
    <w:rsid w:val="0023687E"/>
    <w:rsid w:val="00236DA5"/>
    <w:rsid w:val="00237527"/>
    <w:rsid w:val="00237785"/>
    <w:rsid w:val="00237797"/>
    <w:rsid w:val="002378FA"/>
    <w:rsid w:val="00237AFA"/>
    <w:rsid w:val="00237E36"/>
    <w:rsid w:val="00240D0E"/>
    <w:rsid w:val="0024135F"/>
    <w:rsid w:val="0024167D"/>
    <w:rsid w:val="00241CFE"/>
    <w:rsid w:val="00241FB1"/>
    <w:rsid w:val="00242040"/>
    <w:rsid w:val="002422DC"/>
    <w:rsid w:val="00242782"/>
    <w:rsid w:val="00242ED1"/>
    <w:rsid w:val="0024305B"/>
    <w:rsid w:val="00243342"/>
    <w:rsid w:val="002433FC"/>
    <w:rsid w:val="002437C3"/>
    <w:rsid w:val="00243DA3"/>
    <w:rsid w:val="00244523"/>
    <w:rsid w:val="00244668"/>
    <w:rsid w:val="00244A2B"/>
    <w:rsid w:val="00245E85"/>
    <w:rsid w:val="0024682B"/>
    <w:rsid w:val="00246BEC"/>
    <w:rsid w:val="00246E22"/>
    <w:rsid w:val="00247BCD"/>
    <w:rsid w:val="00247CB9"/>
    <w:rsid w:val="00247E0F"/>
    <w:rsid w:val="00247E92"/>
    <w:rsid w:val="00250152"/>
    <w:rsid w:val="0025020F"/>
    <w:rsid w:val="00250313"/>
    <w:rsid w:val="0025039A"/>
    <w:rsid w:val="00250BDD"/>
    <w:rsid w:val="00250CD2"/>
    <w:rsid w:val="00250CE1"/>
    <w:rsid w:val="00250E19"/>
    <w:rsid w:val="00250EB1"/>
    <w:rsid w:val="00251451"/>
    <w:rsid w:val="00251B19"/>
    <w:rsid w:val="00251B41"/>
    <w:rsid w:val="00251F12"/>
    <w:rsid w:val="00252256"/>
    <w:rsid w:val="00252579"/>
    <w:rsid w:val="00252B94"/>
    <w:rsid w:val="00252C8E"/>
    <w:rsid w:val="00252D02"/>
    <w:rsid w:val="002531AD"/>
    <w:rsid w:val="002534DB"/>
    <w:rsid w:val="00253B77"/>
    <w:rsid w:val="002545CE"/>
    <w:rsid w:val="00254937"/>
    <w:rsid w:val="00254AB5"/>
    <w:rsid w:val="00254D93"/>
    <w:rsid w:val="00254ECD"/>
    <w:rsid w:val="00255450"/>
    <w:rsid w:val="0025550D"/>
    <w:rsid w:val="00255781"/>
    <w:rsid w:val="00255AC9"/>
    <w:rsid w:val="00255AD3"/>
    <w:rsid w:val="0025622E"/>
    <w:rsid w:val="00256730"/>
    <w:rsid w:val="00256E15"/>
    <w:rsid w:val="00257206"/>
    <w:rsid w:val="002579EB"/>
    <w:rsid w:val="00257C82"/>
    <w:rsid w:val="00260548"/>
    <w:rsid w:val="00261628"/>
    <w:rsid w:val="00261C8D"/>
    <w:rsid w:val="00261DC8"/>
    <w:rsid w:val="00262387"/>
    <w:rsid w:val="00262398"/>
    <w:rsid w:val="002628A4"/>
    <w:rsid w:val="00262A1F"/>
    <w:rsid w:val="00262A6B"/>
    <w:rsid w:val="00262FCF"/>
    <w:rsid w:val="00263B34"/>
    <w:rsid w:val="00263CC6"/>
    <w:rsid w:val="002644D0"/>
    <w:rsid w:val="00264721"/>
    <w:rsid w:val="00264A37"/>
    <w:rsid w:val="00264C18"/>
    <w:rsid w:val="00264F9A"/>
    <w:rsid w:val="00265557"/>
    <w:rsid w:val="00265F24"/>
    <w:rsid w:val="002670C4"/>
    <w:rsid w:val="00267480"/>
    <w:rsid w:val="002703D1"/>
    <w:rsid w:val="002707E0"/>
    <w:rsid w:val="0027104B"/>
    <w:rsid w:val="00271ECE"/>
    <w:rsid w:val="00272294"/>
    <w:rsid w:val="002723B1"/>
    <w:rsid w:val="0027261B"/>
    <w:rsid w:val="00272967"/>
    <w:rsid w:val="00272B90"/>
    <w:rsid w:val="00272C30"/>
    <w:rsid w:val="002731B5"/>
    <w:rsid w:val="0027384C"/>
    <w:rsid w:val="00273C33"/>
    <w:rsid w:val="002742E8"/>
    <w:rsid w:val="00274397"/>
    <w:rsid w:val="00274E1F"/>
    <w:rsid w:val="0027574C"/>
    <w:rsid w:val="002758CB"/>
    <w:rsid w:val="002758F6"/>
    <w:rsid w:val="0027590F"/>
    <w:rsid w:val="002759CF"/>
    <w:rsid w:val="00275BD0"/>
    <w:rsid w:val="00275EBE"/>
    <w:rsid w:val="00275F3C"/>
    <w:rsid w:val="00276108"/>
    <w:rsid w:val="0027647E"/>
    <w:rsid w:val="0027649E"/>
    <w:rsid w:val="0027657F"/>
    <w:rsid w:val="002766FD"/>
    <w:rsid w:val="00276B96"/>
    <w:rsid w:val="00276E66"/>
    <w:rsid w:val="00277204"/>
    <w:rsid w:val="00277551"/>
    <w:rsid w:val="00277F84"/>
    <w:rsid w:val="00280058"/>
    <w:rsid w:val="002800F0"/>
    <w:rsid w:val="00280ABC"/>
    <w:rsid w:val="00280B86"/>
    <w:rsid w:val="00280D9A"/>
    <w:rsid w:val="00280E29"/>
    <w:rsid w:val="0028122E"/>
    <w:rsid w:val="0028165B"/>
    <w:rsid w:val="00281984"/>
    <w:rsid w:val="00281D4B"/>
    <w:rsid w:val="00282400"/>
    <w:rsid w:val="00282403"/>
    <w:rsid w:val="00282AEF"/>
    <w:rsid w:val="00282B90"/>
    <w:rsid w:val="0028354D"/>
    <w:rsid w:val="0028383E"/>
    <w:rsid w:val="00283A8D"/>
    <w:rsid w:val="002846BA"/>
    <w:rsid w:val="00284CC1"/>
    <w:rsid w:val="00284D07"/>
    <w:rsid w:val="00284D74"/>
    <w:rsid w:val="00285624"/>
    <w:rsid w:val="0028576C"/>
    <w:rsid w:val="00286371"/>
    <w:rsid w:val="0028682F"/>
    <w:rsid w:val="002868F2"/>
    <w:rsid w:val="0028691F"/>
    <w:rsid w:val="002871DF"/>
    <w:rsid w:val="002878A6"/>
    <w:rsid w:val="0028794D"/>
    <w:rsid w:val="002905CA"/>
    <w:rsid w:val="002910AA"/>
    <w:rsid w:val="0029112F"/>
    <w:rsid w:val="002914E4"/>
    <w:rsid w:val="002916FF"/>
    <w:rsid w:val="00291AFB"/>
    <w:rsid w:val="00293635"/>
    <w:rsid w:val="002937C0"/>
    <w:rsid w:val="0029389E"/>
    <w:rsid w:val="0029418E"/>
    <w:rsid w:val="00294BD1"/>
    <w:rsid w:val="00294C2D"/>
    <w:rsid w:val="00294CDA"/>
    <w:rsid w:val="0029527F"/>
    <w:rsid w:val="0029565E"/>
    <w:rsid w:val="0029581E"/>
    <w:rsid w:val="00295917"/>
    <w:rsid w:val="00295ADD"/>
    <w:rsid w:val="00295C18"/>
    <w:rsid w:val="00296B5D"/>
    <w:rsid w:val="00296C6F"/>
    <w:rsid w:val="00296D12"/>
    <w:rsid w:val="00297093"/>
    <w:rsid w:val="002970A4"/>
    <w:rsid w:val="002971CD"/>
    <w:rsid w:val="002972DE"/>
    <w:rsid w:val="002972FD"/>
    <w:rsid w:val="002973BD"/>
    <w:rsid w:val="002974B7"/>
    <w:rsid w:val="00297660"/>
    <w:rsid w:val="00297DDA"/>
    <w:rsid w:val="002A02CE"/>
    <w:rsid w:val="002A0634"/>
    <w:rsid w:val="002A096B"/>
    <w:rsid w:val="002A0A27"/>
    <w:rsid w:val="002A14D1"/>
    <w:rsid w:val="002A19BB"/>
    <w:rsid w:val="002A272D"/>
    <w:rsid w:val="002A2919"/>
    <w:rsid w:val="002A2A39"/>
    <w:rsid w:val="002A2BB0"/>
    <w:rsid w:val="002A2F22"/>
    <w:rsid w:val="002A350F"/>
    <w:rsid w:val="002A3C1A"/>
    <w:rsid w:val="002A3DAA"/>
    <w:rsid w:val="002A43EC"/>
    <w:rsid w:val="002A456B"/>
    <w:rsid w:val="002A46AF"/>
    <w:rsid w:val="002A4779"/>
    <w:rsid w:val="002A4875"/>
    <w:rsid w:val="002A4D7D"/>
    <w:rsid w:val="002A4FB3"/>
    <w:rsid w:val="002A59CB"/>
    <w:rsid w:val="002A5D2E"/>
    <w:rsid w:val="002A5F79"/>
    <w:rsid w:val="002A6456"/>
    <w:rsid w:val="002A6536"/>
    <w:rsid w:val="002A696E"/>
    <w:rsid w:val="002A6A6D"/>
    <w:rsid w:val="002A7486"/>
    <w:rsid w:val="002A7543"/>
    <w:rsid w:val="002A7836"/>
    <w:rsid w:val="002A7903"/>
    <w:rsid w:val="002B00D8"/>
    <w:rsid w:val="002B0A15"/>
    <w:rsid w:val="002B0BC5"/>
    <w:rsid w:val="002B0D5F"/>
    <w:rsid w:val="002B0FF1"/>
    <w:rsid w:val="002B1383"/>
    <w:rsid w:val="002B1EB0"/>
    <w:rsid w:val="002B20D6"/>
    <w:rsid w:val="002B243B"/>
    <w:rsid w:val="002B248F"/>
    <w:rsid w:val="002B24A4"/>
    <w:rsid w:val="002B270E"/>
    <w:rsid w:val="002B28CF"/>
    <w:rsid w:val="002B2AC2"/>
    <w:rsid w:val="002B3275"/>
    <w:rsid w:val="002B3352"/>
    <w:rsid w:val="002B33EA"/>
    <w:rsid w:val="002B3CE3"/>
    <w:rsid w:val="002B46FB"/>
    <w:rsid w:val="002B599E"/>
    <w:rsid w:val="002B61FA"/>
    <w:rsid w:val="002B63E7"/>
    <w:rsid w:val="002B64F6"/>
    <w:rsid w:val="002B6EB4"/>
    <w:rsid w:val="002B7024"/>
    <w:rsid w:val="002B75AA"/>
    <w:rsid w:val="002B765B"/>
    <w:rsid w:val="002B78A1"/>
    <w:rsid w:val="002B7C73"/>
    <w:rsid w:val="002B7CD9"/>
    <w:rsid w:val="002C07EA"/>
    <w:rsid w:val="002C09BF"/>
    <w:rsid w:val="002C11A6"/>
    <w:rsid w:val="002C192B"/>
    <w:rsid w:val="002C1CE8"/>
    <w:rsid w:val="002C26E7"/>
    <w:rsid w:val="002C28F0"/>
    <w:rsid w:val="002C3400"/>
    <w:rsid w:val="002C3F20"/>
    <w:rsid w:val="002C4182"/>
    <w:rsid w:val="002C46FE"/>
    <w:rsid w:val="002C479F"/>
    <w:rsid w:val="002C4C18"/>
    <w:rsid w:val="002C5098"/>
    <w:rsid w:val="002C575F"/>
    <w:rsid w:val="002C5812"/>
    <w:rsid w:val="002C5A4D"/>
    <w:rsid w:val="002C5C32"/>
    <w:rsid w:val="002C7204"/>
    <w:rsid w:val="002C72B2"/>
    <w:rsid w:val="002C79FD"/>
    <w:rsid w:val="002C7A83"/>
    <w:rsid w:val="002C7AED"/>
    <w:rsid w:val="002C7E01"/>
    <w:rsid w:val="002C7F87"/>
    <w:rsid w:val="002D03EF"/>
    <w:rsid w:val="002D05EF"/>
    <w:rsid w:val="002D0BC4"/>
    <w:rsid w:val="002D13C6"/>
    <w:rsid w:val="002D13E6"/>
    <w:rsid w:val="002D14F3"/>
    <w:rsid w:val="002D16E4"/>
    <w:rsid w:val="002D1DD9"/>
    <w:rsid w:val="002D24BD"/>
    <w:rsid w:val="002D2CA1"/>
    <w:rsid w:val="002D2F8C"/>
    <w:rsid w:val="002D3322"/>
    <w:rsid w:val="002D34F4"/>
    <w:rsid w:val="002D3930"/>
    <w:rsid w:val="002D3A37"/>
    <w:rsid w:val="002D3A86"/>
    <w:rsid w:val="002D3AC9"/>
    <w:rsid w:val="002D3C4A"/>
    <w:rsid w:val="002D4DD2"/>
    <w:rsid w:val="002D4EBE"/>
    <w:rsid w:val="002D5073"/>
    <w:rsid w:val="002D5836"/>
    <w:rsid w:val="002D5EB9"/>
    <w:rsid w:val="002D609D"/>
    <w:rsid w:val="002D65D3"/>
    <w:rsid w:val="002D680F"/>
    <w:rsid w:val="002D6A45"/>
    <w:rsid w:val="002D6DFC"/>
    <w:rsid w:val="002D7392"/>
    <w:rsid w:val="002D7B2C"/>
    <w:rsid w:val="002E01C1"/>
    <w:rsid w:val="002E0AED"/>
    <w:rsid w:val="002E11F0"/>
    <w:rsid w:val="002E1311"/>
    <w:rsid w:val="002E1717"/>
    <w:rsid w:val="002E235A"/>
    <w:rsid w:val="002E2B88"/>
    <w:rsid w:val="002E3242"/>
    <w:rsid w:val="002E33BD"/>
    <w:rsid w:val="002E385A"/>
    <w:rsid w:val="002E394A"/>
    <w:rsid w:val="002E3D34"/>
    <w:rsid w:val="002E4421"/>
    <w:rsid w:val="002E4AFC"/>
    <w:rsid w:val="002E5242"/>
    <w:rsid w:val="002E5260"/>
    <w:rsid w:val="002E531A"/>
    <w:rsid w:val="002E5595"/>
    <w:rsid w:val="002E5B07"/>
    <w:rsid w:val="002E5BBD"/>
    <w:rsid w:val="002E747C"/>
    <w:rsid w:val="002E75F8"/>
    <w:rsid w:val="002E77D2"/>
    <w:rsid w:val="002E788F"/>
    <w:rsid w:val="002E7A67"/>
    <w:rsid w:val="002E7DE8"/>
    <w:rsid w:val="002F0ACA"/>
    <w:rsid w:val="002F1560"/>
    <w:rsid w:val="002F1700"/>
    <w:rsid w:val="002F24E5"/>
    <w:rsid w:val="002F256B"/>
    <w:rsid w:val="002F2C47"/>
    <w:rsid w:val="002F2CFD"/>
    <w:rsid w:val="002F3210"/>
    <w:rsid w:val="002F34DF"/>
    <w:rsid w:val="002F37A8"/>
    <w:rsid w:val="002F3915"/>
    <w:rsid w:val="002F3AB1"/>
    <w:rsid w:val="002F4775"/>
    <w:rsid w:val="002F4CA6"/>
    <w:rsid w:val="002F51CB"/>
    <w:rsid w:val="002F564A"/>
    <w:rsid w:val="002F5E89"/>
    <w:rsid w:val="002F5ED6"/>
    <w:rsid w:val="002F607F"/>
    <w:rsid w:val="002F60D4"/>
    <w:rsid w:val="002F62AA"/>
    <w:rsid w:val="002F63DF"/>
    <w:rsid w:val="002F64EE"/>
    <w:rsid w:val="002F6D12"/>
    <w:rsid w:val="002F6E00"/>
    <w:rsid w:val="002F7034"/>
    <w:rsid w:val="002F71EC"/>
    <w:rsid w:val="002F7299"/>
    <w:rsid w:val="002F74B7"/>
    <w:rsid w:val="002F7C13"/>
    <w:rsid w:val="002F7C4B"/>
    <w:rsid w:val="002F7EEA"/>
    <w:rsid w:val="00300670"/>
    <w:rsid w:val="003006C1"/>
    <w:rsid w:val="00300D3E"/>
    <w:rsid w:val="00301B17"/>
    <w:rsid w:val="00301D0F"/>
    <w:rsid w:val="00301E9A"/>
    <w:rsid w:val="0030222E"/>
    <w:rsid w:val="00302303"/>
    <w:rsid w:val="00302BB4"/>
    <w:rsid w:val="00302DB3"/>
    <w:rsid w:val="00302F8B"/>
    <w:rsid w:val="0030311F"/>
    <w:rsid w:val="003033CB"/>
    <w:rsid w:val="00303550"/>
    <w:rsid w:val="00304CD8"/>
    <w:rsid w:val="00304E7B"/>
    <w:rsid w:val="00304E9E"/>
    <w:rsid w:val="003053B6"/>
    <w:rsid w:val="003054B0"/>
    <w:rsid w:val="003058B8"/>
    <w:rsid w:val="00305EE2"/>
    <w:rsid w:val="003061D1"/>
    <w:rsid w:val="00306470"/>
    <w:rsid w:val="00306A36"/>
    <w:rsid w:val="00306BE6"/>
    <w:rsid w:val="00306C10"/>
    <w:rsid w:val="00306F3B"/>
    <w:rsid w:val="003074CF"/>
    <w:rsid w:val="00307882"/>
    <w:rsid w:val="00307AAE"/>
    <w:rsid w:val="00307EA3"/>
    <w:rsid w:val="00307F81"/>
    <w:rsid w:val="00310476"/>
    <w:rsid w:val="00310697"/>
    <w:rsid w:val="00310821"/>
    <w:rsid w:val="00310A59"/>
    <w:rsid w:val="00310DB6"/>
    <w:rsid w:val="00311107"/>
    <w:rsid w:val="00311356"/>
    <w:rsid w:val="0031142F"/>
    <w:rsid w:val="003116E9"/>
    <w:rsid w:val="0031267D"/>
    <w:rsid w:val="0031291E"/>
    <w:rsid w:val="00312A47"/>
    <w:rsid w:val="00312C6A"/>
    <w:rsid w:val="00312D5C"/>
    <w:rsid w:val="0031314A"/>
    <w:rsid w:val="0031353B"/>
    <w:rsid w:val="00314940"/>
    <w:rsid w:val="003149AE"/>
    <w:rsid w:val="00314A36"/>
    <w:rsid w:val="00314C27"/>
    <w:rsid w:val="00314E26"/>
    <w:rsid w:val="00315073"/>
    <w:rsid w:val="00315266"/>
    <w:rsid w:val="00315889"/>
    <w:rsid w:val="00315D7E"/>
    <w:rsid w:val="00316088"/>
    <w:rsid w:val="0031615E"/>
    <w:rsid w:val="00316311"/>
    <w:rsid w:val="00316B86"/>
    <w:rsid w:val="003173A3"/>
    <w:rsid w:val="003173E5"/>
    <w:rsid w:val="003174FB"/>
    <w:rsid w:val="00317708"/>
    <w:rsid w:val="00317B71"/>
    <w:rsid w:val="00317FA8"/>
    <w:rsid w:val="003203C0"/>
    <w:rsid w:val="00320AD1"/>
    <w:rsid w:val="00320E33"/>
    <w:rsid w:val="00321164"/>
    <w:rsid w:val="00321338"/>
    <w:rsid w:val="003213DE"/>
    <w:rsid w:val="003218D7"/>
    <w:rsid w:val="00321DC2"/>
    <w:rsid w:val="00321F40"/>
    <w:rsid w:val="00322851"/>
    <w:rsid w:val="0032298C"/>
    <w:rsid w:val="00322EBF"/>
    <w:rsid w:val="0032326E"/>
    <w:rsid w:val="00323B93"/>
    <w:rsid w:val="00324A5F"/>
    <w:rsid w:val="00324B8E"/>
    <w:rsid w:val="00325441"/>
    <w:rsid w:val="003254C0"/>
    <w:rsid w:val="00325D61"/>
    <w:rsid w:val="00326130"/>
    <w:rsid w:val="00326149"/>
    <w:rsid w:val="0032633F"/>
    <w:rsid w:val="003263CA"/>
    <w:rsid w:val="00326A2F"/>
    <w:rsid w:val="00326C54"/>
    <w:rsid w:val="00326CF1"/>
    <w:rsid w:val="00327129"/>
    <w:rsid w:val="003271C6"/>
    <w:rsid w:val="00327516"/>
    <w:rsid w:val="0032772B"/>
    <w:rsid w:val="003278D5"/>
    <w:rsid w:val="00327CB7"/>
    <w:rsid w:val="00327FCE"/>
    <w:rsid w:val="003308B3"/>
    <w:rsid w:val="00330D00"/>
    <w:rsid w:val="0033120F"/>
    <w:rsid w:val="00331274"/>
    <w:rsid w:val="003313D1"/>
    <w:rsid w:val="003314B3"/>
    <w:rsid w:val="00331BB4"/>
    <w:rsid w:val="00331C92"/>
    <w:rsid w:val="003320A0"/>
    <w:rsid w:val="00332219"/>
    <w:rsid w:val="003324EC"/>
    <w:rsid w:val="003324F1"/>
    <w:rsid w:val="0033318E"/>
    <w:rsid w:val="00333397"/>
    <w:rsid w:val="00333426"/>
    <w:rsid w:val="003339CF"/>
    <w:rsid w:val="00333AF2"/>
    <w:rsid w:val="00333C00"/>
    <w:rsid w:val="0033404C"/>
    <w:rsid w:val="00334402"/>
    <w:rsid w:val="003349FC"/>
    <w:rsid w:val="00334B9A"/>
    <w:rsid w:val="0033529E"/>
    <w:rsid w:val="003358D7"/>
    <w:rsid w:val="00336091"/>
    <w:rsid w:val="0033619C"/>
    <w:rsid w:val="00336222"/>
    <w:rsid w:val="0033658A"/>
    <w:rsid w:val="0033687F"/>
    <w:rsid w:val="00336ADF"/>
    <w:rsid w:val="0033797E"/>
    <w:rsid w:val="00337CC2"/>
    <w:rsid w:val="00337E84"/>
    <w:rsid w:val="00340099"/>
    <w:rsid w:val="003409A7"/>
    <w:rsid w:val="00341600"/>
    <w:rsid w:val="00341A82"/>
    <w:rsid w:val="00341BF9"/>
    <w:rsid w:val="00341F3E"/>
    <w:rsid w:val="00341F8B"/>
    <w:rsid w:val="00342335"/>
    <w:rsid w:val="003429AF"/>
    <w:rsid w:val="00342DD2"/>
    <w:rsid w:val="00342E5F"/>
    <w:rsid w:val="003431E0"/>
    <w:rsid w:val="003433E0"/>
    <w:rsid w:val="00343537"/>
    <w:rsid w:val="00343569"/>
    <w:rsid w:val="003438D6"/>
    <w:rsid w:val="00343D18"/>
    <w:rsid w:val="00343DFB"/>
    <w:rsid w:val="00343EF8"/>
    <w:rsid w:val="003443A6"/>
    <w:rsid w:val="003448AF"/>
    <w:rsid w:val="003455DC"/>
    <w:rsid w:val="00345C6B"/>
    <w:rsid w:val="00345FE2"/>
    <w:rsid w:val="00346660"/>
    <w:rsid w:val="00346D4D"/>
    <w:rsid w:val="00346F1D"/>
    <w:rsid w:val="0034760D"/>
    <w:rsid w:val="00347AC3"/>
    <w:rsid w:val="00347F92"/>
    <w:rsid w:val="0035016C"/>
    <w:rsid w:val="00350286"/>
    <w:rsid w:val="00350484"/>
    <w:rsid w:val="003504A0"/>
    <w:rsid w:val="00350D92"/>
    <w:rsid w:val="00350EB9"/>
    <w:rsid w:val="00351544"/>
    <w:rsid w:val="00351636"/>
    <w:rsid w:val="00351A0A"/>
    <w:rsid w:val="00351A37"/>
    <w:rsid w:val="00351AF0"/>
    <w:rsid w:val="00351C80"/>
    <w:rsid w:val="003521EB"/>
    <w:rsid w:val="0035233C"/>
    <w:rsid w:val="0035309D"/>
    <w:rsid w:val="00353990"/>
    <w:rsid w:val="00353A70"/>
    <w:rsid w:val="00353B4C"/>
    <w:rsid w:val="00353D77"/>
    <w:rsid w:val="00353EC4"/>
    <w:rsid w:val="0035429B"/>
    <w:rsid w:val="00354322"/>
    <w:rsid w:val="0035481C"/>
    <w:rsid w:val="00355083"/>
    <w:rsid w:val="0035512E"/>
    <w:rsid w:val="0035514E"/>
    <w:rsid w:val="00355313"/>
    <w:rsid w:val="00355662"/>
    <w:rsid w:val="00355712"/>
    <w:rsid w:val="003558F9"/>
    <w:rsid w:val="00355C28"/>
    <w:rsid w:val="00356242"/>
    <w:rsid w:val="00356626"/>
    <w:rsid w:val="00356A72"/>
    <w:rsid w:val="00356C13"/>
    <w:rsid w:val="00357AF2"/>
    <w:rsid w:val="00357C46"/>
    <w:rsid w:val="00360326"/>
    <w:rsid w:val="003609A6"/>
    <w:rsid w:val="00360AD9"/>
    <w:rsid w:val="00360C32"/>
    <w:rsid w:val="003611B1"/>
    <w:rsid w:val="003615E0"/>
    <w:rsid w:val="003615E5"/>
    <w:rsid w:val="00361782"/>
    <w:rsid w:val="0036182E"/>
    <w:rsid w:val="00361ABE"/>
    <w:rsid w:val="003620AA"/>
    <w:rsid w:val="003623B8"/>
    <w:rsid w:val="00362CD5"/>
    <w:rsid w:val="00362F65"/>
    <w:rsid w:val="00363B68"/>
    <w:rsid w:val="00363BEE"/>
    <w:rsid w:val="0036411C"/>
    <w:rsid w:val="00364AEE"/>
    <w:rsid w:val="00364FE1"/>
    <w:rsid w:val="00365470"/>
    <w:rsid w:val="00365A32"/>
    <w:rsid w:val="00365B7B"/>
    <w:rsid w:val="00365EDB"/>
    <w:rsid w:val="00365F58"/>
    <w:rsid w:val="003668E0"/>
    <w:rsid w:val="00366AB1"/>
    <w:rsid w:val="00366D16"/>
    <w:rsid w:val="00367002"/>
    <w:rsid w:val="0036737F"/>
    <w:rsid w:val="00367604"/>
    <w:rsid w:val="003677CC"/>
    <w:rsid w:val="003678BB"/>
    <w:rsid w:val="00367F2A"/>
    <w:rsid w:val="00367FB7"/>
    <w:rsid w:val="0037009E"/>
    <w:rsid w:val="003704F8"/>
    <w:rsid w:val="00370A6A"/>
    <w:rsid w:val="00370B30"/>
    <w:rsid w:val="003710D7"/>
    <w:rsid w:val="0037126D"/>
    <w:rsid w:val="003716A6"/>
    <w:rsid w:val="00371BC7"/>
    <w:rsid w:val="00371ECF"/>
    <w:rsid w:val="00371FE9"/>
    <w:rsid w:val="003722DC"/>
    <w:rsid w:val="00372318"/>
    <w:rsid w:val="0037238F"/>
    <w:rsid w:val="00372911"/>
    <w:rsid w:val="00372B53"/>
    <w:rsid w:val="00372B55"/>
    <w:rsid w:val="00372EEE"/>
    <w:rsid w:val="003737C9"/>
    <w:rsid w:val="00373E18"/>
    <w:rsid w:val="003741DB"/>
    <w:rsid w:val="003745DA"/>
    <w:rsid w:val="00374BC1"/>
    <w:rsid w:val="00375056"/>
    <w:rsid w:val="00375395"/>
    <w:rsid w:val="0037591C"/>
    <w:rsid w:val="00375EC0"/>
    <w:rsid w:val="00376374"/>
    <w:rsid w:val="003768AC"/>
    <w:rsid w:val="003769F6"/>
    <w:rsid w:val="0037768A"/>
    <w:rsid w:val="00377C61"/>
    <w:rsid w:val="003800CE"/>
    <w:rsid w:val="00380230"/>
    <w:rsid w:val="00380853"/>
    <w:rsid w:val="00380D24"/>
    <w:rsid w:val="003818D8"/>
    <w:rsid w:val="00381C63"/>
    <w:rsid w:val="00382324"/>
    <w:rsid w:val="00382331"/>
    <w:rsid w:val="003826A8"/>
    <w:rsid w:val="00382B8F"/>
    <w:rsid w:val="00382E72"/>
    <w:rsid w:val="00383055"/>
    <w:rsid w:val="00383C0E"/>
    <w:rsid w:val="00384202"/>
    <w:rsid w:val="003842EB"/>
    <w:rsid w:val="003844DD"/>
    <w:rsid w:val="003845F3"/>
    <w:rsid w:val="003848BA"/>
    <w:rsid w:val="00384BFE"/>
    <w:rsid w:val="003852C0"/>
    <w:rsid w:val="00385641"/>
    <w:rsid w:val="003858D8"/>
    <w:rsid w:val="00385943"/>
    <w:rsid w:val="003859AE"/>
    <w:rsid w:val="003869D3"/>
    <w:rsid w:val="00386B11"/>
    <w:rsid w:val="00386C87"/>
    <w:rsid w:val="003870BB"/>
    <w:rsid w:val="00387377"/>
    <w:rsid w:val="003878A6"/>
    <w:rsid w:val="00387DC3"/>
    <w:rsid w:val="0039006F"/>
    <w:rsid w:val="00390542"/>
    <w:rsid w:val="00390A99"/>
    <w:rsid w:val="00390F24"/>
    <w:rsid w:val="00391514"/>
    <w:rsid w:val="0039164A"/>
    <w:rsid w:val="00391743"/>
    <w:rsid w:val="003918DC"/>
    <w:rsid w:val="003919EA"/>
    <w:rsid w:val="00391A27"/>
    <w:rsid w:val="00391D66"/>
    <w:rsid w:val="0039212B"/>
    <w:rsid w:val="0039230E"/>
    <w:rsid w:val="00392506"/>
    <w:rsid w:val="003928C9"/>
    <w:rsid w:val="00392EA3"/>
    <w:rsid w:val="00393183"/>
    <w:rsid w:val="00393277"/>
    <w:rsid w:val="003937FF"/>
    <w:rsid w:val="00393F12"/>
    <w:rsid w:val="00393F1F"/>
    <w:rsid w:val="00393F49"/>
    <w:rsid w:val="00393FED"/>
    <w:rsid w:val="0039404C"/>
    <w:rsid w:val="0039415C"/>
    <w:rsid w:val="00394922"/>
    <w:rsid w:val="00394C58"/>
    <w:rsid w:val="00394E1F"/>
    <w:rsid w:val="00395C83"/>
    <w:rsid w:val="00395CE3"/>
    <w:rsid w:val="00396009"/>
    <w:rsid w:val="00396C0C"/>
    <w:rsid w:val="00396C36"/>
    <w:rsid w:val="00396C4F"/>
    <w:rsid w:val="00396F63"/>
    <w:rsid w:val="0039755C"/>
    <w:rsid w:val="003976B9"/>
    <w:rsid w:val="003976DE"/>
    <w:rsid w:val="00397FC1"/>
    <w:rsid w:val="003A0003"/>
    <w:rsid w:val="003A0199"/>
    <w:rsid w:val="003A067E"/>
    <w:rsid w:val="003A15FB"/>
    <w:rsid w:val="003A1752"/>
    <w:rsid w:val="003A1942"/>
    <w:rsid w:val="003A1B49"/>
    <w:rsid w:val="003A2459"/>
    <w:rsid w:val="003A2AA8"/>
    <w:rsid w:val="003A2B94"/>
    <w:rsid w:val="003A3443"/>
    <w:rsid w:val="003A350C"/>
    <w:rsid w:val="003A3675"/>
    <w:rsid w:val="003A397C"/>
    <w:rsid w:val="003A4042"/>
    <w:rsid w:val="003A432A"/>
    <w:rsid w:val="003A4331"/>
    <w:rsid w:val="003A438E"/>
    <w:rsid w:val="003A492B"/>
    <w:rsid w:val="003A510E"/>
    <w:rsid w:val="003A639C"/>
    <w:rsid w:val="003A63F4"/>
    <w:rsid w:val="003A669D"/>
    <w:rsid w:val="003A675B"/>
    <w:rsid w:val="003A67A3"/>
    <w:rsid w:val="003A68FE"/>
    <w:rsid w:val="003A6B12"/>
    <w:rsid w:val="003A6DE4"/>
    <w:rsid w:val="003A7584"/>
    <w:rsid w:val="003A7681"/>
    <w:rsid w:val="003A7E6C"/>
    <w:rsid w:val="003A7F24"/>
    <w:rsid w:val="003A7FC2"/>
    <w:rsid w:val="003B0065"/>
    <w:rsid w:val="003B0829"/>
    <w:rsid w:val="003B0BB5"/>
    <w:rsid w:val="003B0F27"/>
    <w:rsid w:val="003B1725"/>
    <w:rsid w:val="003B17E1"/>
    <w:rsid w:val="003B2210"/>
    <w:rsid w:val="003B2361"/>
    <w:rsid w:val="003B28FE"/>
    <w:rsid w:val="003B2AD4"/>
    <w:rsid w:val="003B3BD2"/>
    <w:rsid w:val="003B3D09"/>
    <w:rsid w:val="003B44D9"/>
    <w:rsid w:val="003B4819"/>
    <w:rsid w:val="003B4B50"/>
    <w:rsid w:val="003B4CBE"/>
    <w:rsid w:val="003B4D92"/>
    <w:rsid w:val="003B5456"/>
    <w:rsid w:val="003B561F"/>
    <w:rsid w:val="003B5C10"/>
    <w:rsid w:val="003B5C63"/>
    <w:rsid w:val="003B5CBB"/>
    <w:rsid w:val="003B5D5D"/>
    <w:rsid w:val="003B6777"/>
    <w:rsid w:val="003B6B75"/>
    <w:rsid w:val="003B73AA"/>
    <w:rsid w:val="003B74F2"/>
    <w:rsid w:val="003B7AF3"/>
    <w:rsid w:val="003C0166"/>
    <w:rsid w:val="003C0A8B"/>
    <w:rsid w:val="003C0EA4"/>
    <w:rsid w:val="003C10BC"/>
    <w:rsid w:val="003C1B4C"/>
    <w:rsid w:val="003C1C33"/>
    <w:rsid w:val="003C24A4"/>
    <w:rsid w:val="003C2701"/>
    <w:rsid w:val="003C28BD"/>
    <w:rsid w:val="003C2A1E"/>
    <w:rsid w:val="003C2B46"/>
    <w:rsid w:val="003C2DA6"/>
    <w:rsid w:val="003C3460"/>
    <w:rsid w:val="003C41DB"/>
    <w:rsid w:val="003C44E2"/>
    <w:rsid w:val="003C4697"/>
    <w:rsid w:val="003C4A45"/>
    <w:rsid w:val="003C581F"/>
    <w:rsid w:val="003C61BD"/>
    <w:rsid w:val="003C6214"/>
    <w:rsid w:val="003C67D6"/>
    <w:rsid w:val="003C6ADA"/>
    <w:rsid w:val="003C6F37"/>
    <w:rsid w:val="003C7656"/>
    <w:rsid w:val="003C7AA4"/>
    <w:rsid w:val="003C7C2A"/>
    <w:rsid w:val="003C7C69"/>
    <w:rsid w:val="003D07FC"/>
    <w:rsid w:val="003D0A31"/>
    <w:rsid w:val="003D0BB6"/>
    <w:rsid w:val="003D0BEC"/>
    <w:rsid w:val="003D1596"/>
    <w:rsid w:val="003D188B"/>
    <w:rsid w:val="003D1A70"/>
    <w:rsid w:val="003D20D4"/>
    <w:rsid w:val="003D237E"/>
    <w:rsid w:val="003D23DB"/>
    <w:rsid w:val="003D24F4"/>
    <w:rsid w:val="003D26F8"/>
    <w:rsid w:val="003D2A7A"/>
    <w:rsid w:val="003D2F16"/>
    <w:rsid w:val="003D3146"/>
    <w:rsid w:val="003D40B9"/>
    <w:rsid w:val="003D4374"/>
    <w:rsid w:val="003D47AD"/>
    <w:rsid w:val="003D480A"/>
    <w:rsid w:val="003D4E4C"/>
    <w:rsid w:val="003D5161"/>
    <w:rsid w:val="003D55FD"/>
    <w:rsid w:val="003D5E1C"/>
    <w:rsid w:val="003D63C2"/>
    <w:rsid w:val="003D67E1"/>
    <w:rsid w:val="003D6A6A"/>
    <w:rsid w:val="003D6CBA"/>
    <w:rsid w:val="003D6D13"/>
    <w:rsid w:val="003D72B8"/>
    <w:rsid w:val="003D7F75"/>
    <w:rsid w:val="003E026C"/>
    <w:rsid w:val="003E0F23"/>
    <w:rsid w:val="003E159C"/>
    <w:rsid w:val="003E1B81"/>
    <w:rsid w:val="003E2341"/>
    <w:rsid w:val="003E2357"/>
    <w:rsid w:val="003E25FC"/>
    <w:rsid w:val="003E319D"/>
    <w:rsid w:val="003E3C34"/>
    <w:rsid w:val="003E4DF2"/>
    <w:rsid w:val="003E4F8F"/>
    <w:rsid w:val="003E4FE7"/>
    <w:rsid w:val="003E559E"/>
    <w:rsid w:val="003E5982"/>
    <w:rsid w:val="003E5B61"/>
    <w:rsid w:val="003E682C"/>
    <w:rsid w:val="003E6C51"/>
    <w:rsid w:val="003E7474"/>
    <w:rsid w:val="003E7849"/>
    <w:rsid w:val="003E7891"/>
    <w:rsid w:val="003E7B09"/>
    <w:rsid w:val="003F0362"/>
    <w:rsid w:val="003F07FE"/>
    <w:rsid w:val="003F1175"/>
    <w:rsid w:val="003F1746"/>
    <w:rsid w:val="003F1B63"/>
    <w:rsid w:val="003F1BFB"/>
    <w:rsid w:val="003F2A5B"/>
    <w:rsid w:val="003F2BB5"/>
    <w:rsid w:val="003F2BBA"/>
    <w:rsid w:val="003F30E1"/>
    <w:rsid w:val="003F3C60"/>
    <w:rsid w:val="003F4A35"/>
    <w:rsid w:val="003F4EE7"/>
    <w:rsid w:val="003F5476"/>
    <w:rsid w:val="003F689F"/>
    <w:rsid w:val="003F6B42"/>
    <w:rsid w:val="004007BB"/>
    <w:rsid w:val="0040097A"/>
    <w:rsid w:val="00400AD1"/>
    <w:rsid w:val="00400FE7"/>
    <w:rsid w:val="004010D1"/>
    <w:rsid w:val="004015D7"/>
    <w:rsid w:val="0040160A"/>
    <w:rsid w:val="00401FE2"/>
    <w:rsid w:val="00402121"/>
    <w:rsid w:val="00402B0A"/>
    <w:rsid w:val="004031FE"/>
    <w:rsid w:val="004036AB"/>
    <w:rsid w:val="004036D6"/>
    <w:rsid w:val="004036F8"/>
    <w:rsid w:val="00403C03"/>
    <w:rsid w:val="00403DDE"/>
    <w:rsid w:val="0040416F"/>
    <w:rsid w:val="0040423A"/>
    <w:rsid w:val="00404717"/>
    <w:rsid w:val="00404E41"/>
    <w:rsid w:val="004052CC"/>
    <w:rsid w:val="004054BB"/>
    <w:rsid w:val="00405D4E"/>
    <w:rsid w:val="00405F9B"/>
    <w:rsid w:val="00406114"/>
    <w:rsid w:val="0040654E"/>
    <w:rsid w:val="00406599"/>
    <w:rsid w:val="00406DA9"/>
    <w:rsid w:val="00407091"/>
    <w:rsid w:val="004072FC"/>
    <w:rsid w:val="0040773E"/>
    <w:rsid w:val="00407866"/>
    <w:rsid w:val="00407BC4"/>
    <w:rsid w:val="0041001F"/>
    <w:rsid w:val="00410BE9"/>
    <w:rsid w:val="00410C73"/>
    <w:rsid w:val="00410CEF"/>
    <w:rsid w:val="004111E0"/>
    <w:rsid w:val="00411947"/>
    <w:rsid w:val="00411FAA"/>
    <w:rsid w:val="0041221C"/>
    <w:rsid w:val="00412BA6"/>
    <w:rsid w:val="004132D9"/>
    <w:rsid w:val="00413A45"/>
    <w:rsid w:val="00413E2B"/>
    <w:rsid w:val="00414453"/>
    <w:rsid w:val="00414467"/>
    <w:rsid w:val="00414A4B"/>
    <w:rsid w:val="00414CF1"/>
    <w:rsid w:val="004156B4"/>
    <w:rsid w:val="004160EB"/>
    <w:rsid w:val="00416154"/>
    <w:rsid w:val="00416801"/>
    <w:rsid w:val="00416A09"/>
    <w:rsid w:val="00416AB1"/>
    <w:rsid w:val="00416BA2"/>
    <w:rsid w:val="00416C44"/>
    <w:rsid w:val="00416ECE"/>
    <w:rsid w:val="00417CE0"/>
    <w:rsid w:val="00417D0F"/>
    <w:rsid w:val="00417F78"/>
    <w:rsid w:val="0042085C"/>
    <w:rsid w:val="00420B74"/>
    <w:rsid w:val="004214B3"/>
    <w:rsid w:val="00421548"/>
    <w:rsid w:val="0042179F"/>
    <w:rsid w:val="00421CE7"/>
    <w:rsid w:val="0042206F"/>
    <w:rsid w:val="0042208B"/>
    <w:rsid w:val="004228EE"/>
    <w:rsid w:val="00422D78"/>
    <w:rsid w:val="00422DE3"/>
    <w:rsid w:val="00422E01"/>
    <w:rsid w:val="00422FF6"/>
    <w:rsid w:val="00423106"/>
    <w:rsid w:val="00423693"/>
    <w:rsid w:val="004241C6"/>
    <w:rsid w:val="004248FD"/>
    <w:rsid w:val="00424C40"/>
    <w:rsid w:val="00424D92"/>
    <w:rsid w:val="00425143"/>
    <w:rsid w:val="00426471"/>
    <w:rsid w:val="004264CF"/>
    <w:rsid w:val="00426905"/>
    <w:rsid w:val="004269A9"/>
    <w:rsid w:val="00426C42"/>
    <w:rsid w:val="00426CA2"/>
    <w:rsid w:val="00427636"/>
    <w:rsid w:val="004276A9"/>
    <w:rsid w:val="00427907"/>
    <w:rsid w:val="00427DC3"/>
    <w:rsid w:val="004303AD"/>
    <w:rsid w:val="0043047B"/>
    <w:rsid w:val="004307B7"/>
    <w:rsid w:val="00430B63"/>
    <w:rsid w:val="00430FDA"/>
    <w:rsid w:val="00431161"/>
    <w:rsid w:val="004311B8"/>
    <w:rsid w:val="00431A55"/>
    <w:rsid w:val="00431C2E"/>
    <w:rsid w:val="00431E49"/>
    <w:rsid w:val="00432BB8"/>
    <w:rsid w:val="0043328F"/>
    <w:rsid w:val="0043361D"/>
    <w:rsid w:val="0043381E"/>
    <w:rsid w:val="00433F7C"/>
    <w:rsid w:val="00434138"/>
    <w:rsid w:val="004344F5"/>
    <w:rsid w:val="00435988"/>
    <w:rsid w:val="00435B43"/>
    <w:rsid w:val="00436300"/>
    <w:rsid w:val="0043670A"/>
    <w:rsid w:val="004369F6"/>
    <w:rsid w:val="00436C97"/>
    <w:rsid w:val="00436D53"/>
    <w:rsid w:val="0043743A"/>
    <w:rsid w:val="0043764D"/>
    <w:rsid w:val="00437814"/>
    <w:rsid w:val="004378DC"/>
    <w:rsid w:val="00437A94"/>
    <w:rsid w:val="00437F00"/>
    <w:rsid w:val="004402B8"/>
    <w:rsid w:val="0044043F"/>
    <w:rsid w:val="004413ED"/>
    <w:rsid w:val="0044146D"/>
    <w:rsid w:val="0044163B"/>
    <w:rsid w:val="004426BB"/>
    <w:rsid w:val="00442EE2"/>
    <w:rsid w:val="004430B5"/>
    <w:rsid w:val="004431D9"/>
    <w:rsid w:val="00443651"/>
    <w:rsid w:val="00443C50"/>
    <w:rsid w:val="004442EB"/>
    <w:rsid w:val="00444693"/>
    <w:rsid w:val="004447F3"/>
    <w:rsid w:val="00444997"/>
    <w:rsid w:val="00444CBF"/>
    <w:rsid w:val="00445502"/>
    <w:rsid w:val="00445658"/>
    <w:rsid w:val="00445693"/>
    <w:rsid w:val="00445731"/>
    <w:rsid w:val="00445BF2"/>
    <w:rsid w:val="0044620C"/>
    <w:rsid w:val="0044621E"/>
    <w:rsid w:val="00446253"/>
    <w:rsid w:val="00446C65"/>
    <w:rsid w:val="00446F62"/>
    <w:rsid w:val="00446FB2"/>
    <w:rsid w:val="00447289"/>
    <w:rsid w:val="00447375"/>
    <w:rsid w:val="004476A6"/>
    <w:rsid w:val="004507D0"/>
    <w:rsid w:val="0045098A"/>
    <w:rsid w:val="00450B62"/>
    <w:rsid w:val="00450C72"/>
    <w:rsid w:val="004516AA"/>
    <w:rsid w:val="00451FCB"/>
    <w:rsid w:val="00452153"/>
    <w:rsid w:val="0045232D"/>
    <w:rsid w:val="00452D4B"/>
    <w:rsid w:val="00452FDA"/>
    <w:rsid w:val="00454388"/>
    <w:rsid w:val="004545F5"/>
    <w:rsid w:val="00454701"/>
    <w:rsid w:val="0045483C"/>
    <w:rsid w:val="00455081"/>
    <w:rsid w:val="00455453"/>
    <w:rsid w:val="0045582D"/>
    <w:rsid w:val="004558E3"/>
    <w:rsid w:val="00455DD8"/>
    <w:rsid w:val="00455F06"/>
    <w:rsid w:val="004565A2"/>
    <w:rsid w:val="00456C01"/>
    <w:rsid w:val="00457912"/>
    <w:rsid w:val="0045794A"/>
    <w:rsid w:val="00460472"/>
    <w:rsid w:val="00460940"/>
    <w:rsid w:val="00460A57"/>
    <w:rsid w:val="00460AB0"/>
    <w:rsid w:val="00460CA9"/>
    <w:rsid w:val="004613FE"/>
    <w:rsid w:val="00461B3E"/>
    <w:rsid w:val="004624BB"/>
    <w:rsid w:val="0046252C"/>
    <w:rsid w:val="0046265A"/>
    <w:rsid w:val="0046284D"/>
    <w:rsid w:val="00462874"/>
    <w:rsid w:val="00462B39"/>
    <w:rsid w:val="00462E9D"/>
    <w:rsid w:val="00463030"/>
    <w:rsid w:val="0046326F"/>
    <w:rsid w:val="004635AD"/>
    <w:rsid w:val="0046367D"/>
    <w:rsid w:val="004636BD"/>
    <w:rsid w:val="00463905"/>
    <w:rsid w:val="00463B0C"/>
    <w:rsid w:val="00463FDA"/>
    <w:rsid w:val="004648C4"/>
    <w:rsid w:val="00464EB9"/>
    <w:rsid w:val="00464EC1"/>
    <w:rsid w:val="00465144"/>
    <w:rsid w:val="004653A0"/>
    <w:rsid w:val="00465494"/>
    <w:rsid w:val="00465CA0"/>
    <w:rsid w:val="00466413"/>
    <w:rsid w:val="00466AE5"/>
    <w:rsid w:val="00466E1D"/>
    <w:rsid w:val="00467222"/>
    <w:rsid w:val="0046727C"/>
    <w:rsid w:val="00467395"/>
    <w:rsid w:val="00467577"/>
    <w:rsid w:val="00467AB8"/>
    <w:rsid w:val="00467AF2"/>
    <w:rsid w:val="0047002C"/>
    <w:rsid w:val="00470304"/>
    <w:rsid w:val="00470B51"/>
    <w:rsid w:val="0047119D"/>
    <w:rsid w:val="00471627"/>
    <w:rsid w:val="00471E66"/>
    <w:rsid w:val="00472308"/>
    <w:rsid w:val="004728B9"/>
    <w:rsid w:val="00472F0F"/>
    <w:rsid w:val="0047440B"/>
    <w:rsid w:val="00474EE0"/>
    <w:rsid w:val="00475353"/>
    <w:rsid w:val="0047556C"/>
    <w:rsid w:val="004759D7"/>
    <w:rsid w:val="00476231"/>
    <w:rsid w:val="004762C2"/>
    <w:rsid w:val="004764FF"/>
    <w:rsid w:val="00476DC7"/>
    <w:rsid w:val="004770C9"/>
    <w:rsid w:val="004770DA"/>
    <w:rsid w:val="00477220"/>
    <w:rsid w:val="00477336"/>
    <w:rsid w:val="00481210"/>
    <w:rsid w:val="00481C9E"/>
    <w:rsid w:val="00481E4A"/>
    <w:rsid w:val="004823AD"/>
    <w:rsid w:val="00482A3E"/>
    <w:rsid w:val="00482AD7"/>
    <w:rsid w:val="004837DC"/>
    <w:rsid w:val="00483C75"/>
    <w:rsid w:val="00483DE3"/>
    <w:rsid w:val="00483FF2"/>
    <w:rsid w:val="004840CB"/>
    <w:rsid w:val="00484326"/>
    <w:rsid w:val="00484373"/>
    <w:rsid w:val="0048437F"/>
    <w:rsid w:val="0048505A"/>
    <w:rsid w:val="00485545"/>
    <w:rsid w:val="00485C9F"/>
    <w:rsid w:val="00485DE9"/>
    <w:rsid w:val="00485E85"/>
    <w:rsid w:val="00486620"/>
    <w:rsid w:val="004866D4"/>
    <w:rsid w:val="00486A85"/>
    <w:rsid w:val="004872D7"/>
    <w:rsid w:val="00487654"/>
    <w:rsid w:val="00487A1F"/>
    <w:rsid w:val="00487BF2"/>
    <w:rsid w:val="00490C05"/>
    <w:rsid w:val="00490D84"/>
    <w:rsid w:val="00490E85"/>
    <w:rsid w:val="00491056"/>
    <w:rsid w:val="00491172"/>
    <w:rsid w:val="004911FC"/>
    <w:rsid w:val="0049127B"/>
    <w:rsid w:val="004919C5"/>
    <w:rsid w:val="00491C35"/>
    <w:rsid w:val="00491E4E"/>
    <w:rsid w:val="00491EEA"/>
    <w:rsid w:val="00492702"/>
    <w:rsid w:val="00492820"/>
    <w:rsid w:val="00492833"/>
    <w:rsid w:val="0049284A"/>
    <w:rsid w:val="00492ABE"/>
    <w:rsid w:val="004930AD"/>
    <w:rsid w:val="00493144"/>
    <w:rsid w:val="0049344C"/>
    <w:rsid w:val="004938FC"/>
    <w:rsid w:val="0049427E"/>
    <w:rsid w:val="00494418"/>
    <w:rsid w:val="00494722"/>
    <w:rsid w:val="0049497B"/>
    <w:rsid w:val="00495593"/>
    <w:rsid w:val="00495733"/>
    <w:rsid w:val="00495A4C"/>
    <w:rsid w:val="004964CD"/>
    <w:rsid w:val="00497005"/>
    <w:rsid w:val="00497959"/>
    <w:rsid w:val="00497B4E"/>
    <w:rsid w:val="00497C18"/>
    <w:rsid w:val="00497F93"/>
    <w:rsid w:val="004A0060"/>
    <w:rsid w:val="004A0229"/>
    <w:rsid w:val="004A062D"/>
    <w:rsid w:val="004A118B"/>
    <w:rsid w:val="004A1D62"/>
    <w:rsid w:val="004A1DE6"/>
    <w:rsid w:val="004A1F7C"/>
    <w:rsid w:val="004A241A"/>
    <w:rsid w:val="004A25AB"/>
    <w:rsid w:val="004A2AA1"/>
    <w:rsid w:val="004A2D9B"/>
    <w:rsid w:val="004A3B20"/>
    <w:rsid w:val="004A40C2"/>
    <w:rsid w:val="004A448C"/>
    <w:rsid w:val="004A44DA"/>
    <w:rsid w:val="004A4500"/>
    <w:rsid w:val="004A4539"/>
    <w:rsid w:val="004A4BE0"/>
    <w:rsid w:val="004A57D1"/>
    <w:rsid w:val="004A5808"/>
    <w:rsid w:val="004A593C"/>
    <w:rsid w:val="004A59F2"/>
    <w:rsid w:val="004A5DBE"/>
    <w:rsid w:val="004A6023"/>
    <w:rsid w:val="004A6297"/>
    <w:rsid w:val="004A6310"/>
    <w:rsid w:val="004A78C0"/>
    <w:rsid w:val="004A7926"/>
    <w:rsid w:val="004A7AF7"/>
    <w:rsid w:val="004A7F72"/>
    <w:rsid w:val="004B00AD"/>
    <w:rsid w:val="004B0728"/>
    <w:rsid w:val="004B134B"/>
    <w:rsid w:val="004B1740"/>
    <w:rsid w:val="004B1AEB"/>
    <w:rsid w:val="004B1E4F"/>
    <w:rsid w:val="004B20D5"/>
    <w:rsid w:val="004B21F5"/>
    <w:rsid w:val="004B251E"/>
    <w:rsid w:val="004B281F"/>
    <w:rsid w:val="004B2A2A"/>
    <w:rsid w:val="004B2C79"/>
    <w:rsid w:val="004B3B87"/>
    <w:rsid w:val="004B3CE0"/>
    <w:rsid w:val="004B4959"/>
    <w:rsid w:val="004B5171"/>
    <w:rsid w:val="004B53B6"/>
    <w:rsid w:val="004B5828"/>
    <w:rsid w:val="004B5912"/>
    <w:rsid w:val="004B598C"/>
    <w:rsid w:val="004B5AA5"/>
    <w:rsid w:val="004B6021"/>
    <w:rsid w:val="004B6039"/>
    <w:rsid w:val="004B685A"/>
    <w:rsid w:val="004B6A2F"/>
    <w:rsid w:val="004B6E8D"/>
    <w:rsid w:val="004B7027"/>
    <w:rsid w:val="004B71FB"/>
    <w:rsid w:val="004B74D1"/>
    <w:rsid w:val="004B75CA"/>
    <w:rsid w:val="004B7692"/>
    <w:rsid w:val="004B7877"/>
    <w:rsid w:val="004B7900"/>
    <w:rsid w:val="004B7DDC"/>
    <w:rsid w:val="004C002E"/>
    <w:rsid w:val="004C01C2"/>
    <w:rsid w:val="004C05A0"/>
    <w:rsid w:val="004C07F0"/>
    <w:rsid w:val="004C0C4A"/>
    <w:rsid w:val="004C0D70"/>
    <w:rsid w:val="004C11E3"/>
    <w:rsid w:val="004C124A"/>
    <w:rsid w:val="004C1698"/>
    <w:rsid w:val="004C1A98"/>
    <w:rsid w:val="004C1CA2"/>
    <w:rsid w:val="004C1E59"/>
    <w:rsid w:val="004C2317"/>
    <w:rsid w:val="004C2502"/>
    <w:rsid w:val="004C26D1"/>
    <w:rsid w:val="004C27F7"/>
    <w:rsid w:val="004C28B6"/>
    <w:rsid w:val="004C3043"/>
    <w:rsid w:val="004C3363"/>
    <w:rsid w:val="004C3476"/>
    <w:rsid w:val="004C35D4"/>
    <w:rsid w:val="004C36FF"/>
    <w:rsid w:val="004C3B4C"/>
    <w:rsid w:val="004C431C"/>
    <w:rsid w:val="004C4578"/>
    <w:rsid w:val="004C470F"/>
    <w:rsid w:val="004C4DAE"/>
    <w:rsid w:val="004C5149"/>
    <w:rsid w:val="004C515E"/>
    <w:rsid w:val="004C5496"/>
    <w:rsid w:val="004C54F0"/>
    <w:rsid w:val="004C5530"/>
    <w:rsid w:val="004C58A0"/>
    <w:rsid w:val="004C58AB"/>
    <w:rsid w:val="004C694C"/>
    <w:rsid w:val="004C733C"/>
    <w:rsid w:val="004C75A0"/>
    <w:rsid w:val="004C7722"/>
    <w:rsid w:val="004C796E"/>
    <w:rsid w:val="004C7BAE"/>
    <w:rsid w:val="004C7C8A"/>
    <w:rsid w:val="004D015C"/>
    <w:rsid w:val="004D0D1C"/>
    <w:rsid w:val="004D0DCE"/>
    <w:rsid w:val="004D1A2D"/>
    <w:rsid w:val="004D2889"/>
    <w:rsid w:val="004D2E8E"/>
    <w:rsid w:val="004D2ED4"/>
    <w:rsid w:val="004D3037"/>
    <w:rsid w:val="004D3734"/>
    <w:rsid w:val="004D39E1"/>
    <w:rsid w:val="004D3A59"/>
    <w:rsid w:val="004D4046"/>
    <w:rsid w:val="004D4060"/>
    <w:rsid w:val="004D42C6"/>
    <w:rsid w:val="004D434A"/>
    <w:rsid w:val="004D44F3"/>
    <w:rsid w:val="004D49AD"/>
    <w:rsid w:val="004D4D06"/>
    <w:rsid w:val="004D4DD4"/>
    <w:rsid w:val="004D539B"/>
    <w:rsid w:val="004D58E4"/>
    <w:rsid w:val="004D5C7A"/>
    <w:rsid w:val="004D5C86"/>
    <w:rsid w:val="004D5E86"/>
    <w:rsid w:val="004D7349"/>
    <w:rsid w:val="004D7814"/>
    <w:rsid w:val="004E02B1"/>
    <w:rsid w:val="004E0596"/>
    <w:rsid w:val="004E0D28"/>
    <w:rsid w:val="004E1367"/>
    <w:rsid w:val="004E17E1"/>
    <w:rsid w:val="004E18E1"/>
    <w:rsid w:val="004E19A9"/>
    <w:rsid w:val="004E1A64"/>
    <w:rsid w:val="004E1C21"/>
    <w:rsid w:val="004E2C55"/>
    <w:rsid w:val="004E2D9C"/>
    <w:rsid w:val="004E2EFA"/>
    <w:rsid w:val="004E305C"/>
    <w:rsid w:val="004E3908"/>
    <w:rsid w:val="004E47F3"/>
    <w:rsid w:val="004E489F"/>
    <w:rsid w:val="004E49B1"/>
    <w:rsid w:val="004E4B2D"/>
    <w:rsid w:val="004E569F"/>
    <w:rsid w:val="004E5761"/>
    <w:rsid w:val="004E5D88"/>
    <w:rsid w:val="004E634B"/>
    <w:rsid w:val="004E6AA8"/>
    <w:rsid w:val="004E6C04"/>
    <w:rsid w:val="004E7238"/>
    <w:rsid w:val="004E7359"/>
    <w:rsid w:val="004E73EF"/>
    <w:rsid w:val="004E79B3"/>
    <w:rsid w:val="004F00E3"/>
    <w:rsid w:val="004F02D4"/>
    <w:rsid w:val="004F081A"/>
    <w:rsid w:val="004F08D3"/>
    <w:rsid w:val="004F0F80"/>
    <w:rsid w:val="004F13C0"/>
    <w:rsid w:val="004F15A2"/>
    <w:rsid w:val="004F1A58"/>
    <w:rsid w:val="004F1EE9"/>
    <w:rsid w:val="004F2012"/>
    <w:rsid w:val="004F2112"/>
    <w:rsid w:val="004F23CA"/>
    <w:rsid w:val="004F2D11"/>
    <w:rsid w:val="004F2DEA"/>
    <w:rsid w:val="004F2DF8"/>
    <w:rsid w:val="004F2EFD"/>
    <w:rsid w:val="004F3C86"/>
    <w:rsid w:val="004F3E4E"/>
    <w:rsid w:val="004F3E4F"/>
    <w:rsid w:val="004F45CF"/>
    <w:rsid w:val="004F4E08"/>
    <w:rsid w:val="004F4E34"/>
    <w:rsid w:val="004F5026"/>
    <w:rsid w:val="004F5273"/>
    <w:rsid w:val="004F5E5F"/>
    <w:rsid w:val="004F6798"/>
    <w:rsid w:val="004F6F60"/>
    <w:rsid w:val="004F6F75"/>
    <w:rsid w:val="004F7187"/>
    <w:rsid w:val="004F77C9"/>
    <w:rsid w:val="004F7B12"/>
    <w:rsid w:val="0050079C"/>
    <w:rsid w:val="00500A4A"/>
    <w:rsid w:val="00500AC1"/>
    <w:rsid w:val="00500F8D"/>
    <w:rsid w:val="005018D1"/>
    <w:rsid w:val="00501F37"/>
    <w:rsid w:val="00501F9B"/>
    <w:rsid w:val="00502291"/>
    <w:rsid w:val="00502966"/>
    <w:rsid w:val="00502D89"/>
    <w:rsid w:val="00502F4F"/>
    <w:rsid w:val="00502F77"/>
    <w:rsid w:val="0050333B"/>
    <w:rsid w:val="00503649"/>
    <w:rsid w:val="00503898"/>
    <w:rsid w:val="00503A42"/>
    <w:rsid w:val="00503BE9"/>
    <w:rsid w:val="00503D28"/>
    <w:rsid w:val="00503FDD"/>
    <w:rsid w:val="00504EC2"/>
    <w:rsid w:val="00504ECE"/>
    <w:rsid w:val="00504F66"/>
    <w:rsid w:val="005054C1"/>
    <w:rsid w:val="0050551A"/>
    <w:rsid w:val="005055F5"/>
    <w:rsid w:val="00505A72"/>
    <w:rsid w:val="0050618C"/>
    <w:rsid w:val="00506B1F"/>
    <w:rsid w:val="00506D68"/>
    <w:rsid w:val="00507F3C"/>
    <w:rsid w:val="005103A0"/>
    <w:rsid w:val="0051154A"/>
    <w:rsid w:val="005117C3"/>
    <w:rsid w:val="00511A87"/>
    <w:rsid w:val="00511AEC"/>
    <w:rsid w:val="00511B6D"/>
    <w:rsid w:val="005120F9"/>
    <w:rsid w:val="0051249E"/>
    <w:rsid w:val="005127CD"/>
    <w:rsid w:val="00512848"/>
    <w:rsid w:val="00512B71"/>
    <w:rsid w:val="00513212"/>
    <w:rsid w:val="00513EEF"/>
    <w:rsid w:val="00514021"/>
    <w:rsid w:val="00514095"/>
    <w:rsid w:val="00514144"/>
    <w:rsid w:val="00514DF5"/>
    <w:rsid w:val="00514F61"/>
    <w:rsid w:val="00515140"/>
    <w:rsid w:val="00515837"/>
    <w:rsid w:val="005159E5"/>
    <w:rsid w:val="00515AF3"/>
    <w:rsid w:val="0051653B"/>
    <w:rsid w:val="00516638"/>
    <w:rsid w:val="00516C69"/>
    <w:rsid w:val="00516D0A"/>
    <w:rsid w:val="00516DD3"/>
    <w:rsid w:val="00517316"/>
    <w:rsid w:val="00517703"/>
    <w:rsid w:val="005178DB"/>
    <w:rsid w:val="00517E67"/>
    <w:rsid w:val="005202B6"/>
    <w:rsid w:val="00520337"/>
    <w:rsid w:val="005203D7"/>
    <w:rsid w:val="0052040D"/>
    <w:rsid w:val="00520442"/>
    <w:rsid w:val="005205DA"/>
    <w:rsid w:val="00520BEE"/>
    <w:rsid w:val="00520F57"/>
    <w:rsid w:val="005211CB"/>
    <w:rsid w:val="00521921"/>
    <w:rsid w:val="00521ADE"/>
    <w:rsid w:val="00521CAD"/>
    <w:rsid w:val="00521F55"/>
    <w:rsid w:val="00521FA2"/>
    <w:rsid w:val="00522083"/>
    <w:rsid w:val="005228BC"/>
    <w:rsid w:val="00522D0E"/>
    <w:rsid w:val="00522FB9"/>
    <w:rsid w:val="00523607"/>
    <w:rsid w:val="00524323"/>
    <w:rsid w:val="005244C3"/>
    <w:rsid w:val="00524865"/>
    <w:rsid w:val="0052487C"/>
    <w:rsid w:val="00524A19"/>
    <w:rsid w:val="00524D36"/>
    <w:rsid w:val="005253EE"/>
    <w:rsid w:val="00525E79"/>
    <w:rsid w:val="005262FF"/>
    <w:rsid w:val="005266D5"/>
    <w:rsid w:val="0052757A"/>
    <w:rsid w:val="00527A73"/>
    <w:rsid w:val="00527CF3"/>
    <w:rsid w:val="0053068C"/>
    <w:rsid w:val="005308CA"/>
    <w:rsid w:val="00530913"/>
    <w:rsid w:val="00530EE2"/>
    <w:rsid w:val="0053152B"/>
    <w:rsid w:val="005315A9"/>
    <w:rsid w:val="005325DB"/>
    <w:rsid w:val="005325EB"/>
    <w:rsid w:val="00534B91"/>
    <w:rsid w:val="00534BF6"/>
    <w:rsid w:val="00534E9B"/>
    <w:rsid w:val="00535916"/>
    <w:rsid w:val="005365DD"/>
    <w:rsid w:val="0053668F"/>
    <w:rsid w:val="0053721A"/>
    <w:rsid w:val="005373D7"/>
    <w:rsid w:val="005378DF"/>
    <w:rsid w:val="005379E7"/>
    <w:rsid w:val="00540016"/>
    <w:rsid w:val="0054073D"/>
    <w:rsid w:val="00540D9F"/>
    <w:rsid w:val="00541396"/>
    <w:rsid w:val="0054208B"/>
    <w:rsid w:val="0054239F"/>
    <w:rsid w:val="00542A52"/>
    <w:rsid w:val="00542C41"/>
    <w:rsid w:val="00542EAB"/>
    <w:rsid w:val="005432BA"/>
    <w:rsid w:val="005432EA"/>
    <w:rsid w:val="005433F6"/>
    <w:rsid w:val="00543772"/>
    <w:rsid w:val="00543FA6"/>
    <w:rsid w:val="00544CEE"/>
    <w:rsid w:val="00545A50"/>
    <w:rsid w:val="00545F97"/>
    <w:rsid w:val="0054625E"/>
    <w:rsid w:val="0054647F"/>
    <w:rsid w:val="00546B57"/>
    <w:rsid w:val="00546F7C"/>
    <w:rsid w:val="005470C0"/>
    <w:rsid w:val="0054746B"/>
    <w:rsid w:val="00547977"/>
    <w:rsid w:val="00550186"/>
    <w:rsid w:val="005501CA"/>
    <w:rsid w:val="0055033D"/>
    <w:rsid w:val="005503F5"/>
    <w:rsid w:val="00550530"/>
    <w:rsid w:val="00550731"/>
    <w:rsid w:val="00550DD2"/>
    <w:rsid w:val="00551303"/>
    <w:rsid w:val="00551E43"/>
    <w:rsid w:val="00551E46"/>
    <w:rsid w:val="00551F22"/>
    <w:rsid w:val="005522C6"/>
    <w:rsid w:val="005527E4"/>
    <w:rsid w:val="0055302A"/>
    <w:rsid w:val="0055319C"/>
    <w:rsid w:val="00553526"/>
    <w:rsid w:val="0055361F"/>
    <w:rsid w:val="00553B3A"/>
    <w:rsid w:val="00553BAB"/>
    <w:rsid w:val="00553BB8"/>
    <w:rsid w:val="00553D21"/>
    <w:rsid w:val="005545DE"/>
    <w:rsid w:val="005546E2"/>
    <w:rsid w:val="00554E59"/>
    <w:rsid w:val="0055539A"/>
    <w:rsid w:val="00555639"/>
    <w:rsid w:val="0055563B"/>
    <w:rsid w:val="0055573C"/>
    <w:rsid w:val="005557D6"/>
    <w:rsid w:val="005557DE"/>
    <w:rsid w:val="005559E0"/>
    <w:rsid w:val="00556556"/>
    <w:rsid w:val="005571A1"/>
    <w:rsid w:val="005577EF"/>
    <w:rsid w:val="00557EF8"/>
    <w:rsid w:val="00560641"/>
    <w:rsid w:val="00560850"/>
    <w:rsid w:val="0056088B"/>
    <w:rsid w:val="00560A4F"/>
    <w:rsid w:val="00560FFF"/>
    <w:rsid w:val="00561295"/>
    <w:rsid w:val="005613C0"/>
    <w:rsid w:val="0056151E"/>
    <w:rsid w:val="005618D7"/>
    <w:rsid w:val="00561BEC"/>
    <w:rsid w:val="0056211B"/>
    <w:rsid w:val="0056223C"/>
    <w:rsid w:val="00562417"/>
    <w:rsid w:val="00562678"/>
    <w:rsid w:val="00562CB8"/>
    <w:rsid w:val="00563771"/>
    <w:rsid w:val="00563C00"/>
    <w:rsid w:val="0056499A"/>
    <w:rsid w:val="00564AC6"/>
    <w:rsid w:val="00564B8A"/>
    <w:rsid w:val="00564CF1"/>
    <w:rsid w:val="00564D35"/>
    <w:rsid w:val="00564EE1"/>
    <w:rsid w:val="00565396"/>
    <w:rsid w:val="00565CDC"/>
    <w:rsid w:val="00565E69"/>
    <w:rsid w:val="00565FE4"/>
    <w:rsid w:val="00566638"/>
    <w:rsid w:val="00566708"/>
    <w:rsid w:val="0056694D"/>
    <w:rsid w:val="00566B50"/>
    <w:rsid w:val="00567015"/>
    <w:rsid w:val="00567265"/>
    <w:rsid w:val="00567D89"/>
    <w:rsid w:val="00567FD3"/>
    <w:rsid w:val="00570838"/>
    <w:rsid w:val="0057093A"/>
    <w:rsid w:val="005709DF"/>
    <w:rsid w:val="00570C3C"/>
    <w:rsid w:val="0057177A"/>
    <w:rsid w:val="005717FB"/>
    <w:rsid w:val="0057219E"/>
    <w:rsid w:val="005726FC"/>
    <w:rsid w:val="00572B94"/>
    <w:rsid w:val="00572DCD"/>
    <w:rsid w:val="00573329"/>
    <w:rsid w:val="0057335D"/>
    <w:rsid w:val="0057336E"/>
    <w:rsid w:val="0057359D"/>
    <w:rsid w:val="00573A0E"/>
    <w:rsid w:val="00573A9A"/>
    <w:rsid w:val="00573BBD"/>
    <w:rsid w:val="00574461"/>
    <w:rsid w:val="00574701"/>
    <w:rsid w:val="00574FA4"/>
    <w:rsid w:val="00574FAB"/>
    <w:rsid w:val="00575801"/>
    <w:rsid w:val="005766D9"/>
    <w:rsid w:val="00576AC3"/>
    <w:rsid w:val="005771AB"/>
    <w:rsid w:val="005772B4"/>
    <w:rsid w:val="005774A0"/>
    <w:rsid w:val="00577875"/>
    <w:rsid w:val="005778DF"/>
    <w:rsid w:val="00577AD8"/>
    <w:rsid w:val="0058014B"/>
    <w:rsid w:val="005803B6"/>
    <w:rsid w:val="00580B4A"/>
    <w:rsid w:val="00580BCE"/>
    <w:rsid w:val="00580C46"/>
    <w:rsid w:val="0058121D"/>
    <w:rsid w:val="00581B9F"/>
    <w:rsid w:val="00581BB6"/>
    <w:rsid w:val="00581CBB"/>
    <w:rsid w:val="00581F60"/>
    <w:rsid w:val="00581FB0"/>
    <w:rsid w:val="0058264C"/>
    <w:rsid w:val="00582A19"/>
    <w:rsid w:val="00582AAB"/>
    <w:rsid w:val="005846FF"/>
    <w:rsid w:val="00584A45"/>
    <w:rsid w:val="0058523E"/>
    <w:rsid w:val="005856A5"/>
    <w:rsid w:val="00586004"/>
    <w:rsid w:val="005862A2"/>
    <w:rsid w:val="005862F5"/>
    <w:rsid w:val="005873EC"/>
    <w:rsid w:val="00587D64"/>
    <w:rsid w:val="00587DED"/>
    <w:rsid w:val="00590001"/>
    <w:rsid w:val="00590D85"/>
    <w:rsid w:val="00590E5B"/>
    <w:rsid w:val="00591060"/>
    <w:rsid w:val="005911C6"/>
    <w:rsid w:val="00591992"/>
    <w:rsid w:val="005919EC"/>
    <w:rsid w:val="00591AC2"/>
    <w:rsid w:val="00591C5E"/>
    <w:rsid w:val="00592533"/>
    <w:rsid w:val="0059283B"/>
    <w:rsid w:val="00592A34"/>
    <w:rsid w:val="00592C72"/>
    <w:rsid w:val="00592E57"/>
    <w:rsid w:val="005934F0"/>
    <w:rsid w:val="0059380D"/>
    <w:rsid w:val="005948B9"/>
    <w:rsid w:val="00594AA3"/>
    <w:rsid w:val="00594EDE"/>
    <w:rsid w:val="00594FC0"/>
    <w:rsid w:val="00595343"/>
    <w:rsid w:val="005955A3"/>
    <w:rsid w:val="00595C2A"/>
    <w:rsid w:val="0059640E"/>
    <w:rsid w:val="00596506"/>
    <w:rsid w:val="005966BE"/>
    <w:rsid w:val="00597761"/>
    <w:rsid w:val="00597DBF"/>
    <w:rsid w:val="005A0408"/>
    <w:rsid w:val="005A0786"/>
    <w:rsid w:val="005A0BF9"/>
    <w:rsid w:val="005A0C19"/>
    <w:rsid w:val="005A0F0F"/>
    <w:rsid w:val="005A2866"/>
    <w:rsid w:val="005A2D1D"/>
    <w:rsid w:val="005A2E5B"/>
    <w:rsid w:val="005A2EEB"/>
    <w:rsid w:val="005A3084"/>
    <w:rsid w:val="005A3807"/>
    <w:rsid w:val="005A3925"/>
    <w:rsid w:val="005A39BB"/>
    <w:rsid w:val="005A4065"/>
    <w:rsid w:val="005A439E"/>
    <w:rsid w:val="005A59FD"/>
    <w:rsid w:val="005A5AD4"/>
    <w:rsid w:val="005A61FD"/>
    <w:rsid w:val="005A622C"/>
    <w:rsid w:val="005A6649"/>
    <w:rsid w:val="005A6819"/>
    <w:rsid w:val="005A695C"/>
    <w:rsid w:val="005A6B4C"/>
    <w:rsid w:val="005A6EF7"/>
    <w:rsid w:val="005A79C0"/>
    <w:rsid w:val="005B00A5"/>
    <w:rsid w:val="005B01C4"/>
    <w:rsid w:val="005B04B1"/>
    <w:rsid w:val="005B06D7"/>
    <w:rsid w:val="005B13FA"/>
    <w:rsid w:val="005B17FE"/>
    <w:rsid w:val="005B1D4E"/>
    <w:rsid w:val="005B1DC0"/>
    <w:rsid w:val="005B1E25"/>
    <w:rsid w:val="005B1EC2"/>
    <w:rsid w:val="005B1FF8"/>
    <w:rsid w:val="005B219D"/>
    <w:rsid w:val="005B22AB"/>
    <w:rsid w:val="005B22C9"/>
    <w:rsid w:val="005B257D"/>
    <w:rsid w:val="005B274E"/>
    <w:rsid w:val="005B28DB"/>
    <w:rsid w:val="005B2923"/>
    <w:rsid w:val="005B2FD6"/>
    <w:rsid w:val="005B3103"/>
    <w:rsid w:val="005B3241"/>
    <w:rsid w:val="005B3D57"/>
    <w:rsid w:val="005B3E2A"/>
    <w:rsid w:val="005B41F8"/>
    <w:rsid w:val="005B44E8"/>
    <w:rsid w:val="005B48D8"/>
    <w:rsid w:val="005B4971"/>
    <w:rsid w:val="005B4EC3"/>
    <w:rsid w:val="005B542F"/>
    <w:rsid w:val="005B5589"/>
    <w:rsid w:val="005B5CD0"/>
    <w:rsid w:val="005B5F70"/>
    <w:rsid w:val="005B6161"/>
    <w:rsid w:val="005B64FF"/>
    <w:rsid w:val="005B65C5"/>
    <w:rsid w:val="005B67FD"/>
    <w:rsid w:val="005B6CC5"/>
    <w:rsid w:val="005B6FF1"/>
    <w:rsid w:val="005B70CA"/>
    <w:rsid w:val="005B75B7"/>
    <w:rsid w:val="005B75E6"/>
    <w:rsid w:val="005B764E"/>
    <w:rsid w:val="005B78A6"/>
    <w:rsid w:val="005B79E7"/>
    <w:rsid w:val="005B7C1B"/>
    <w:rsid w:val="005B7EB0"/>
    <w:rsid w:val="005B7EE6"/>
    <w:rsid w:val="005C06BB"/>
    <w:rsid w:val="005C08DF"/>
    <w:rsid w:val="005C09D3"/>
    <w:rsid w:val="005C0DD4"/>
    <w:rsid w:val="005C121F"/>
    <w:rsid w:val="005C16A5"/>
    <w:rsid w:val="005C187F"/>
    <w:rsid w:val="005C1B52"/>
    <w:rsid w:val="005C1F06"/>
    <w:rsid w:val="005C1F63"/>
    <w:rsid w:val="005C1F6D"/>
    <w:rsid w:val="005C2148"/>
    <w:rsid w:val="005C2EB1"/>
    <w:rsid w:val="005C2F7B"/>
    <w:rsid w:val="005C30DC"/>
    <w:rsid w:val="005C317D"/>
    <w:rsid w:val="005C3520"/>
    <w:rsid w:val="005C37A0"/>
    <w:rsid w:val="005C3AAE"/>
    <w:rsid w:val="005C3C29"/>
    <w:rsid w:val="005C3C40"/>
    <w:rsid w:val="005C3CA6"/>
    <w:rsid w:val="005C3D61"/>
    <w:rsid w:val="005C4210"/>
    <w:rsid w:val="005C43D6"/>
    <w:rsid w:val="005C44CF"/>
    <w:rsid w:val="005C4833"/>
    <w:rsid w:val="005C4EEE"/>
    <w:rsid w:val="005C5496"/>
    <w:rsid w:val="005C6001"/>
    <w:rsid w:val="005C66C0"/>
    <w:rsid w:val="005C693B"/>
    <w:rsid w:val="005C6A97"/>
    <w:rsid w:val="005C7B20"/>
    <w:rsid w:val="005D00D3"/>
    <w:rsid w:val="005D056D"/>
    <w:rsid w:val="005D08C5"/>
    <w:rsid w:val="005D0CB8"/>
    <w:rsid w:val="005D0E10"/>
    <w:rsid w:val="005D1341"/>
    <w:rsid w:val="005D17DB"/>
    <w:rsid w:val="005D1CF3"/>
    <w:rsid w:val="005D2A10"/>
    <w:rsid w:val="005D2B1D"/>
    <w:rsid w:val="005D2C23"/>
    <w:rsid w:val="005D2C50"/>
    <w:rsid w:val="005D2D06"/>
    <w:rsid w:val="005D2F83"/>
    <w:rsid w:val="005D32E4"/>
    <w:rsid w:val="005D3B6C"/>
    <w:rsid w:val="005D4198"/>
    <w:rsid w:val="005D4234"/>
    <w:rsid w:val="005D46DC"/>
    <w:rsid w:val="005D5215"/>
    <w:rsid w:val="005D59F0"/>
    <w:rsid w:val="005D5F2B"/>
    <w:rsid w:val="005D6108"/>
    <w:rsid w:val="005D655C"/>
    <w:rsid w:val="005D66D1"/>
    <w:rsid w:val="005D6A71"/>
    <w:rsid w:val="005D6A77"/>
    <w:rsid w:val="005D73BF"/>
    <w:rsid w:val="005D74F9"/>
    <w:rsid w:val="005D7ACB"/>
    <w:rsid w:val="005D7C4D"/>
    <w:rsid w:val="005E0531"/>
    <w:rsid w:val="005E0A4C"/>
    <w:rsid w:val="005E0CFD"/>
    <w:rsid w:val="005E19DA"/>
    <w:rsid w:val="005E2360"/>
    <w:rsid w:val="005E2A58"/>
    <w:rsid w:val="005E2AA3"/>
    <w:rsid w:val="005E2E4A"/>
    <w:rsid w:val="005E2EA2"/>
    <w:rsid w:val="005E32F9"/>
    <w:rsid w:val="005E34E7"/>
    <w:rsid w:val="005E371E"/>
    <w:rsid w:val="005E374C"/>
    <w:rsid w:val="005E3E8A"/>
    <w:rsid w:val="005E4310"/>
    <w:rsid w:val="005E4317"/>
    <w:rsid w:val="005E4B9E"/>
    <w:rsid w:val="005E4E79"/>
    <w:rsid w:val="005E4FF0"/>
    <w:rsid w:val="005E52F3"/>
    <w:rsid w:val="005E560A"/>
    <w:rsid w:val="005E5761"/>
    <w:rsid w:val="005E5989"/>
    <w:rsid w:val="005E5E75"/>
    <w:rsid w:val="005E62F7"/>
    <w:rsid w:val="005E6554"/>
    <w:rsid w:val="005E66BF"/>
    <w:rsid w:val="005E676C"/>
    <w:rsid w:val="005E6DEC"/>
    <w:rsid w:val="005E6F8F"/>
    <w:rsid w:val="005E7203"/>
    <w:rsid w:val="005E7BF1"/>
    <w:rsid w:val="005F0307"/>
    <w:rsid w:val="005F0661"/>
    <w:rsid w:val="005F118C"/>
    <w:rsid w:val="005F18F3"/>
    <w:rsid w:val="005F1D6E"/>
    <w:rsid w:val="005F2349"/>
    <w:rsid w:val="005F25B4"/>
    <w:rsid w:val="005F306D"/>
    <w:rsid w:val="005F33B6"/>
    <w:rsid w:val="005F340D"/>
    <w:rsid w:val="005F3C35"/>
    <w:rsid w:val="005F4599"/>
    <w:rsid w:val="005F54AE"/>
    <w:rsid w:val="005F561F"/>
    <w:rsid w:val="005F5E20"/>
    <w:rsid w:val="005F610A"/>
    <w:rsid w:val="005F643B"/>
    <w:rsid w:val="005F64BE"/>
    <w:rsid w:val="005F6634"/>
    <w:rsid w:val="005F6979"/>
    <w:rsid w:val="005F69B9"/>
    <w:rsid w:val="005F6E16"/>
    <w:rsid w:val="005F6E6F"/>
    <w:rsid w:val="005F6E86"/>
    <w:rsid w:val="005F705A"/>
    <w:rsid w:val="005F71B4"/>
    <w:rsid w:val="005F742C"/>
    <w:rsid w:val="005F7B97"/>
    <w:rsid w:val="005F7E0F"/>
    <w:rsid w:val="005F7F48"/>
    <w:rsid w:val="0060071A"/>
    <w:rsid w:val="0060083B"/>
    <w:rsid w:val="00600A0F"/>
    <w:rsid w:val="00600A15"/>
    <w:rsid w:val="006012E8"/>
    <w:rsid w:val="006014E3"/>
    <w:rsid w:val="00601A5B"/>
    <w:rsid w:val="00601B24"/>
    <w:rsid w:val="00602322"/>
    <w:rsid w:val="006026CE"/>
    <w:rsid w:val="006028B5"/>
    <w:rsid w:val="00602BB1"/>
    <w:rsid w:val="00602D0A"/>
    <w:rsid w:val="00602EF6"/>
    <w:rsid w:val="00603336"/>
    <w:rsid w:val="006033DB"/>
    <w:rsid w:val="00603F8C"/>
    <w:rsid w:val="006041C4"/>
    <w:rsid w:val="00604AD2"/>
    <w:rsid w:val="00604CE9"/>
    <w:rsid w:val="00606249"/>
    <w:rsid w:val="0060634A"/>
    <w:rsid w:val="00607205"/>
    <w:rsid w:val="00607537"/>
    <w:rsid w:val="00607EDB"/>
    <w:rsid w:val="006105A1"/>
    <w:rsid w:val="00610B14"/>
    <w:rsid w:val="00610EDC"/>
    <w:rsid w:val="00611237"/>
    <w:rsid w:val="00611243"/>
    <w:rsid w:val="00611375"/>
    <w:rsid w:val="00611863"/>
    <w:rsid w:val="00611A02"/>
    <w:rsid w:val="00611CF3"/>
    <w:rsid w:val="0061257C"/>
    <w:rsid w:val="006127D6"/>
    <w:rsid w:val="006128E9"/>
    <w:rsid w:val="0061300E"/>
    <w:rsid w:val="0061364F"/>
    <w:rsid w:val="00613762"/>
    <w:rsid w:val="00613765"/>
    <w:rsid w:val="00613B46"/>
    <w:rsid w:val="00613B6D"/>
    <w:rsid w:val="0061461A"/>
    <w:rsid w:val="00614CF3"/>
    <w:rsid w:val="00614D4A"/>
    <w:rsid w:val="00615096"/>
    <w:rsid w:val="006154D6"/>
    <w:rsid w:val="00615CD3"/>
    <w:rsid w:val="0061601E"/>
    <w:rsid w:val="00616197"/>
    <w:rsid w:val="0061640B"/>
    <w:rsid w:val="006178C5"/>
    <w:rsid w:val="006178D4"/>
    <w:rsid w:val="00617D0C"/>
    <w:rsid w:val="00617E7A"/>
    <w:rsid w:val="006201BC"/>
    <w:rsid w:val="00620448"/>
    <w:rsid w:val="00620A1C"/>
    <w:rsid w:val="00620B33"/>
    <w:rsid w:val="00620F4F"/>
    <w:rsid w:val="006211FE"/>
    <w:rsid w:val="0062158B"/>
    <w:rsid w:val="006219E0"/>
    <w:rsid w:val="006221E8"/>
    <w:rsid w:val="0062227B"/>
    <w:rsid w:val="0062277B"/>
    <w:rsid w:val="00622AAA"/>
    <w:rsid w:val="0062320D"/>
    <w:rsid w:val="00623314"/>
    <w:rsid w:val="0062387F"/>
    <w:rsid w:val="00623D81"/>
    <w:rsid w:val="0062405D"/>
    <w:rsid w:val="0062415B"/>
    <w:rsid w:val="00624414"/>
    <w:rsid w:val="00624455"/>
    <w:rsid w:val="0062459A"/>
    <w:rsid w:val="006246EA"/>
    <w:rsid w:val="006254B4"/>
    <w:rsid w:val="0062586E"/>
    <w:rsid w:val="00625F81"/>
    <w:rsid w:val="00626E02"/>
    <w:rsid w:val="006275E7"/>
    <w:rsid w:val="00627F4B"/>
    <w:rsid w:val="00627F9F"/>
    <w:rsid w:val="00630013"/>
    <w:rsid w:val="006300F3"/>
    <w:rsid w:val="00630130"/>
    <w:rsid w:val="00630182"/>
    <w:rsid w:val="0063059A"/>
    <w:rsid w:val="0063069E"/>
    <w:rsid w:val="006307B5"/>
    <w:rsid w:val="00630941"/>
    <w:rsid w:val="00630B2A"/>
    <w:rsid w:val="006313C8"/>
    <w:rsid w:val="00631E4B"/>
    <w:rsid w:val="0063218B"/>
    <w:rsid w:val="00632553"/>
    <w:rsid w:val="006330BF"/>
    <w:rsid w:val="006338D5"/>
    <w:rsid w:val="00633DAD"/>
    <w:rsid w:val="0063431F"/>
    <w:rsid w:val="00634D32"/>
    <w:rsid w:val="00634E81"/>
    <w:rsid w:val="00634FC7"/>
    <w:rsid w:val="00635144"/>
    <w:rsid w:val="006354C4"/>
    <w:rsid w:val="006356A3"/>
    <w:rsid w:val="00635D91"/>
    <w:rsid w:val="00636511"/>
    <w:rsid w:val="00636A84"/>
    <w:rsid w:val="0063705C"/>
    <w:rsid w:val="00637655"/>
    <w:rsid w:val="00637D1D"/>
    <w:rsid w:val="00640427"/>
    <w:rsid w:val="00640A3E"/>
    <w:rsid w:val="00641404"/>
    <w:rsid w:val="00641967"/>
    <w:rsid w:val="0064269B"/>
    <w:rsid w:val="006426FD"/>
    <w:rsid w:val="00642866"/>
    <w:rsid w:val="006429EF"/>
    <w:rsid w:val="00643324"/>
    <w:rsid w:val="00643841"/>
    <w:rsid w:val="00643C13"/>
    <w:rsid w:val="00643D82"/>
    <w:rsid w:val="0064412D"/>
    <w:rsid w:val="006448EF"/>
    <w:rsid w:val="00645346"/>
    <w:rsid w:val="00645359"/>
    <w:rsid w:val="0064579E"/>
    <w:rsid w:val="00645A7A"/>
    <w:rsid w:val="00645CB5"/>
    <w:rsid w:val="00645D2D"/>
    <w:rsid w:val="006463C1"/>
    <w:rsid w:val="006465CE"/>
    <w:rsid w:val="0064667E"/>
    <w:rsid w:val="00646A57"/>
    <w:rsid w:val="00647109"/>
    <w:rsid w:val="006476E2"/>
    <w:rsid w:val="0064778D"/>
    <w:rsid w:val="00647AAC"/>
    <w:rsid w:val="00647E58"/>
    <w:rsid w:val="00650215"/>
    <w:rsid w:val="00650BD8"/>
    <w:rsid w:val="00650C68"/>
    <w:rsid w:val="00650F09"/>
    <w:rsid w:val="006520F6"/>
    <w:rsid w:val="006522AD"/>
    <w:rsid w:val="006522C4"/>
    <w:rsid w:val="006524F9"/>
    <w:rsid w:val="00652F6B"/>
    <w:rsid w:val="0065331B"/>
    <w:rsid w:val="006533AF"/>
    <w:rsid w:val="006535D6"/>
    <w:rsid w:val="00653777"/>
    <w:rsid w:val="0065407B"/>
    <w:rsid w:val="006547C7"/>
    <w:rsid w:val="00654817"/>
    <w:rsid w:val="00654A2A"/>
    <w:rsid w:val="00654CFF"/>
    <w:rsid w:val="006552F2"/>
    <w:rsid w:val="00655521"/>
    <w:rsid w:val="006560F3"/>
    <w:rsid w:val="00656206"/>
    <w:rsid w:val="00656603"/>
    <w:rsid w:val="00656C7A"/>
    <w:rsid w:val="0065725D"/>
    <w:rsid w:val="00657BDB"/>
    <w:rsid w:val="00657C7A"/>
    <w:rsid w:val="00660551"/>
    <w:rsid w:val="00660561"/>
    <w:rsid w:val="006608BA"/>
    <w:rsid w:val="00660B4B"/>
    <w:rsid w:val="00660EB3"/>
    <w:rsid w:val="0066178F"/>
    <w:rsid w:val="00662025"/>
    <w:rsid w:val="00662588"/>
    <w:rsid w:val="00662663"/>
    <w:rsid w:val="00662863"/>
    <w:rsid w:val="00662934"/>
    <w:rsid w:val="00662C32"/>
    <w:rsid w:val="00663CBC"/>
    <w:rsid w:val="00663DE1"/>
    <w:rsid w:val="006647F7"/>
    <w:rsid w:val="00664D68"/>
    <w:rsid w:val="00664DEC"/>
    <w:rsid w:val="00665137"/>
    <w:rsid w:val="0066529A"/>
    <w:rsid w:val="00665CE6"/>
    <w:rsid w:val="00665EBF"/>
    <w:rsid w:val="00665EDB"/>
    <w:rsid w:val="00666043"/>
    <w:rsid w:val="00666772"/>
    <w:rsid w:val="006669C2"/>
    <w:rsid w:val="00666C80"/>
    <w:rsid w:val="0066737B"/>
    <w:rsid w:val="00667681"/>
    <w:rsid w:val="0066768B"/>
    <w:rsid w:val="00670149"/>
    <w:rsid w:val="00670334"/>
    <w:rsid w:val="00670436"/>
    <w:rsid w:val="00670782"/>
    <w:rsid w:val="00670FDC"/>
    <w:rsid w:val="006713BE"/>
    <w:rsid w:val="00671945"/>
    <w:rsid w:val="00671F1F"/>
    <w:rsid w:val="0067251F"/>
    <w:rsid w:val="006727F4"/>
    <w:rsid w:val="006728C1"/>
    <w:rsid w:val="00672935"/>
    <w:rsid w:val="006729E2"/>
    <w:rsid w:val="00672D18"/>
    <w:rsid w:val="00672E7F"/>
    <w:rsid w:val="006731A6"/>
    <w:rsid w:val="0067369F"/>
    <w:rsid w:val="00673833"/>
    <w:rsid w:val="006738BF"/>
    <w:rsid w:val="006738CB"/>
    <w:rsid w:val="00674181"/>
    <w:rsid w:val="00674297"/>
    <w:rsid w:val="006746BB"/>
    <w:rsid w:val="0067481F"/>
    <w:rsid w:val="00674E23"/>
    <w:rsid w:val="00675279"/>
    <w:rsid w:val="00675282"/>
    <w:rsid w:val="006754FF"/>
    <w:rsid w:val="0067550A"/>
    <w:rsid w:val="006757F7"/>
    <w:rsid w:val="00676CFF"/>
    <w:rsid w:val="00677121"/>
    <w:rsid w:val="0067740D"/>
    <w:rsid w:val="0067799C"/>
    <w:rsid w:val="006800F9"/>
    <w:rsid w:val="006802EC"/>
    <w:rsid w:val="0068072C"/>
    <w:rsid w:val="00680798"/>
    <w:rsid w:val="006810F6"/>
    <w:rsid w:val="00681911"/>
    <w:rsid w:val="00681A9A"/>
    <w:rsid w:val="00681DE2"/>
    <w:rsid w:val="00681E15"/>
    <w:rsid w:val="00682601"/>
    <w:rsid w:val="00683904"/>
    <w:rsid w:val="00683EB1"/>
    <w:rsid w:val="00683F41"/>
    <w:rsid w:val="0068406C"/>
    <w:rsid w:val="00684390"/>
    <w:rsid w:val="006844A2"/>
    <w:rsid w:val="00684A58"/>
    <w:rsid w:val="00684C26"/>
    <w:rsid w:val="006862AB"/>
    <w:rsid w:val="00686C5E"/>
    <w:rsid w:val="00686D44"/>
    <w:rsid w:val="00686E02"/>
    <w:rsid w:val="00686FF6"/>
    <w:rsid w:val="00687228"/>
    <w:rsid w:val="006872CA"/>
    <w:rsid w:val="00687CA1"/>
    <w:rsid w:val="006906F9"/>
    <w:rsid w:val="00690F53"/>
    <w:rsid w:val="006917A8"/>
    <w:rsid w:val="00691EE6"/>
    <w:rsid w:val="006923D0"/>
    <w:rsid w:val="006924B5"/>
    <w:rsid w:val="00692BFF"/>
    <w:rsid w:val="00693201"/>
    <w:rsid w:val="00693511"/>
    <w:rsid w:val="00693D30"/>
    <w:rsid w:val="006949BF"/>
    <w:rsid w:val="00694AA2"/>
    <w:rsid w:val="00694DAC"/>
    <w:rsid w:val="0069538B"/>
    <w:rsid w:val="00695BAC"/>
    <w:rsid w:val="006966DA"/>
    <w:rsid w:val="00696A5B"/>
    <w:rsid w:val="00697191"/>
    <w:rsid w:val="006977A0"/>
    <w:rsid w:val="0069790A"/>
    <w:rsid w:val="00697929"/>
    <w:rsid w:val="006979E1"/>
    <w:rsid w:val="00697ADF"/>
    <w:rsid w:val="00697B70"/>
    <w:rsid w:val="00697C99"/>
    <w:rsid w:val="00697E45"/>
    <w:rsid w:val="006A08F1"/>
    <w:rsid w:val="006A141F"/>
    <w:rsid w:val="006A1684"/>
    <w:rsid w:val="006A1893"/>
    <w:rsid w:val="006A207E"/>
    <w:rsid w:val="006A28A1"/>
    <w:rsid w:val="006A2CEA"/>
    <w:rsid w:val="006A30BA"/>
    <w:rsid w:val="006A33E3"/>
    <w:rsid w:val="006A3845"/>
    <w:rsid w:val="006A3AF2"/>
    <w:rsid w:val="006A3C09"/>
    <w:rsid w:val="006A3CD2"/>
    <w:rsid w:val="006A407A"/>
    <w:rsid w:val="006A40CF"/>
    <w:rsid w:val="006A43EB"/>
    <w:rsid w:val="006A4681"/>
    <w:rsid w:val="006A509A"/>
    <w:rsid w:val="006A6290"/>
    <w:rsid w:val="006A6955"/>
    <w:rsid w:val="006A709A"/>
    <w:rsid w:val="006A7104"/>
    <w:rsid w:val="006A7A34"/>
    <w:rsid w:val="006A7A99"/>
    <w:rsid w:val="006B0014"/>
    <w:rsid w:val="006B0992"/>
    <w:rsid w:val="006B0BDA"/>
    <w:rsid w:val="006B13AD"/>
    <w:rsid w:val="006B13E1"/>
    <w:rsid w:val="006B176B"/>
    <w:rsid w:val="006B1DD6"/>
    <w:rsid w:val="006B1E97"/>
    <w:rsid w:val="006B1FED"/>
    <w:rsid w:val="006B25F1"/>
    <w:rsid w:val="006B2850"/>
    <w:rsid w:val="006B29E2"/>
    <w:rsid w:val="006B3918"/>
    <w:rsid w:val="006B39BE"/>
    <w:rsid w:val="006B3C4E"/>
    <w:rsid w:val="006B3C8D"/>
    <w:rsid w:val="006B42CD"/>
    <w:rsid w:val="006B4435"/>
    <w:rsid w:val="006B46F6"/>
    <w:rsid w:val="006B47C0"/>
    <w:rsid w:val="006B47D4"/>
    <w:rsid w:val="006B4C8C"/>
    <w:rsid w:val="006B51C5"/>
    <w:rsid w:val="006B5308"/>
    <w:rsid w:val="006B56A1"/>
    <w:rsid w:val="006B58B6"/>
    <w:rsid w:val="006B5990"/>
    <w:rsid w:val="006B5C0B"/>
    <w:rsid w:val="006B6820"/>
    <w:rsid w:val="006B6D3B"/>
    <w:rsid w:val="006B6E15"/>
    <w:rsid w:val="006B6F74"/>
    <w:rsid w:val="006B769C"/>
    <w:rsid w:val="006B788A"/>
    <w:rsid w:val="006B79AF"/>
    <w:rsid w:val="006B7CDE"/>
    <w:rsid w:val="006B7DB2"/>
    <w:rsid w:val="006B7DB3"/>
    <w:rsid w:val="006C0851"/>
    <w:rsid w:val="006C096D"/>
    <w:rsid w:val="006C0B92"/>
    <w:rsid w:val="006C0CB1"/>
    <w:rsid w:val="006C1526"/>
    <w:rsid w:val="006C1ED9"/>
    <w:rsid w:val="006C1F46"/>
    <w:rsid w:val="006C2473"/>
    <w:rsid w:val="006C2993"/>
    <w:rsid w:val="006C389F"/>
    <w:rsid w:val="006C3A50"/>
    <w:rsid w:val="006C486E"/>
    <w:rsid w:val="006C4BBB"/>
    <w:rsid w:val="006C4D88"/>
    <w:rsid w:val="006C5317"/>
    <w:rsid w:val="006C5B12"/>
    <w:rsid w:val="006C5C97"/>
    <w:rsid w:val="006C638D"/>
    <w:rsid w:val="006C726E"/>
    <w:rsid w:val="006C7574"/>
    <w:rsid w:val="006C7A6F"/>
    <w:rsid w:val="006D03AA"/>
    <w:rsid w:val="006D1391"/>
    <w:rsid w:val="006D13BF"/>
    <w:rsid w:val="006D19C8"/>
    <w:rsid w:val="006D2111"/>
    <w:rsid w:val="006D24CA"/>
    <w:rsid w:val="006D2D9C"/>
    <w:rsid w:val="006D3805"/>
    <w:rsid w:val="006D397A"/>
    <w:rsid w:val="006D3D22"/>
    <w:rsid w:val="006D3E64"/>
    <w:rsid w:val="006D3F73"/>
    <w:rsid w:val="006D3FEC"/>
    <w:rsid w:val="006D423B"/>
    <w:rsid w:val="006D4D34"/>
    <w:rsid w:val="006D4DD0"/>
    <w:rsid w:val="006D506C"/>
    <w:rsid w:val="006D50A2"/>
    <w:rsid w:val="006D5464"/>
    <w:rsid w:val="006D5469"/>
    <w:rsid w:val="006D55BB"/>
    <w:rsid w:val="006D59AF"/>
    <w:rsid w:val="006D664C"/>
    <w:rsid w:val="006D6CA0"/>
    <w:rsid w:val="006D73B4"/>
    <w:rsid w:val="006D785A"/>
    <w:rsid w:val="006E04EF"/>
    <w:rsid w:val="006E0575"/>
    <w:rsid w:val="006E09DC"/>
    <w:rsid w:val="006E0B48"/>
    <w:rsid w:val="006E0C71"/>
    <w:rsid w:val="006E10F1"/>
    <w:rsid w:val="006E1304"/>
    <w:rsid w:val="006E136A"/>
    <w:rsid w:val="006E1750"/>
    <w:rsid w:val="006E196F"/>
    <w:rsid w:val="006E1F67"/>
    <w:rsid w:val="006E2193"/>
    <w:rsid w:val="006E24DD"/>
    <w:rsid w:val="006E275C"/>
    <w:rsid w:val="006E2908"/>
    <w:rsid w:val="006E298B"/>
    <w:rsid w:val="006E29B5"/>
    <w:rsid w:val="006E2A9F"/>
    <w:rsid w:val="006E2AA7"/>
    <w:rsid w:val="006E2C62"/>
    <w:rsid w:val="006E2E6E"/>
    <w:rsid w:val="006E3233"/>
    <w:rsid w:val="006E3FA4"/>
    <w:rsid w:val="006E3FD1"/>
    <w:rsid w:val="006E40C1"/>
    <w:rsid w:val="006E423A"/>
    <w:rsid w:val="006E498E"/>
    <w:rsid w:val="006E4D34"/>
    <w:rsid w:val="006E4FE4"/>
    <w:rsid w:val="006E507E"/>
    <w:rsid w:val="006E5355"/>
    <w:rsid w:val="006E560C"/>
    <w:rsid w:val="006E561D"/>
    <w:rsid w:val="006E60B5"/>
    <w:rsid w:val="006E6654"/>
    <w:rsid w:val="006E67A4"/>
    <w:rsid w:val="006E6A2B"/>
    <w:rsid w:val="006E71F0"/>
    <w:rsid w:val="006E75D1"/>
    <w:rsid w:val="006E7705"/>
    <w:rsid w:val="006E7D43"/>
    <w:rsid w:val="006E7F5C"/>
    <w:rsid w:val="006F00A1"/>
    <w:rsid w:val="006F0241"/>
    <w:rsid w:val="006F08E1"/>
    <w:rsid w:val="006F0AA2"/>
    <w:rsid w:val="006F0C5B"/>
    <w:rsid w:val="006F0E0D"/>
    <w:rsid w:val="006F116D"/>
    <w:rsid w:val="006F1180"/>
    <w:rsid w:val="006F1365"/>
    <w:rsid w:val="006F19B8"/>
    <w:rsid w:val="006F1C0C"/>
    <w:rsid w:val="006F20F2"/>
    <w:rsid w:val="006F236E"/>
    <w:rsid w:val="006F252A"/>
    <w:rsid w:val="006F25AC"/>
    <w:rsid w:val="006F2755"/>
    <w:rsid w:val="006F2A8D"/>
    <w:rsid w:val="006F2CEB"/>
    <w:rsid w:val="006F2CF3"/>
    <w:rsid w:val="006F2F68"/>
    <w:rsid w:val="006F308B"/>
    <w:rsid w:val="006F35A1"/>
    <w:rsid w:val="006F3F3B"/>
    <w:rsid w:val="006F423A"/>
    <w:rsid w:val="006F44C6"/>
    <w:rsid w:val="006F4A1A"/>
    <w:rsid w:val="006F4A41"/>
    <w:rsid w:val="006F4AEB"/>
    <w:rsid w:val="006F5C3A"/>
    <w:rsid w:val="006F6A54"/>
    <w:rsid w:val="006F6E16"/>
    <w:rsid w:val="006F6FC2"/>
    <w:rsid w:val="006F744F"/>
    <w:rsid w:val="006F74DE"/>
    <w:rsid w:val="006F7541"/>
    <w:rsid w:val="006F7C05"/>
    <w:rsid w:val="006F7D44"/>
    <w:rsid w:val="006F7FAC"/>
    <w:rsid w:val="007001EC"/>
    <w:rsid w:val="00700C2A"/>
    <w:rsid w:val="00701A70"/>
    <w:rsid w:val="0070278E"/>
    <w:rsid w:val="00702A34"/>
    <w:rsid w:val="00702DE6"/>
    <w:rsid w:val="00702F0A"/>
    <w:rsid w:val="00703847"/>
    <w:rsid w:val="00703CF7"/>
    <w:rsid w:val="00703DC2"/>
    <w:rsid w:val="00703EDA"/>
    <w:rsid w:val="007044E3"/>
    <w:rsid w:val="00704AAE"/>
    <w:rsid w:val="00704ED9"/>
    <w:rsid w:val="00705BD5"/>
    <w:rsid w:val="007067BB"/>
    <w:rsid w:val="00706F79"/>
    <w:rsid w:val="00707722"/>
    <w:rsid w:val="00707772"/>
    <w:rsid w:val="007078BB"/>
    <w:rsid w:val="00707D9A"/>
    <w:rsid w:val="00707F07"/>
    <w:rsid w:val="00710743"/>
    <w:rsid w:val="00710DE7"/>
    <w:rsid w:val="00710E82"/>
    <w:rsid w:val="00710F85"/>
    <w:rsid w:val="00711336"/>
    <w:rsid w:val="0071160E"/>
    <w:rsid w:val="00711662"/>
    <w:rsid w:val="007118DD"/>
    <w:rsid w:val="00711A9A"/>
    <w:rsid w:val="0071221A"/>
    <w:rsid w:val="00712A8B"/>
    <w:rsid w:val="00712CE9"/>
    <w:rsid w:val="00713E62"/>
    <w:rsid w:val="00713F22"/>
    <w:rsid w:val="007140DB"/>
    <w:rsid w:val="007149DD"/>
    <w:rsid w:val="00714A34"/>
    <w:rsid w:val="00715435"/>
    <w:rsid w:val="00715592"/>
    <w:rsid w:val="00715B30"/>
    <w:rsid w:val="0071607F"/>
    <w:rsid w:val="0071626C"/>
    <w:rsid w:val="00716341"/>
    <w:rsid w:val="00716436"/>
    <w:rsid w:val="007167F8"/>
    <w:rsid w:val="00716EF2"/>
    <w:rsid w:val="007173EC"/>
    <w:rsid w:val="00717BDE"/>
    <w:rsid w:val="0072007D"/>
    <w:rsid w:val="00720109"/>
    <w:rsid w:val="0072018B"/>
    <w:rsid w:val="007201F6"/>
    <w:rsid w:val="00720339"/>
    <w:rsid w:val="00720A4A"/>
    <w:rsid w:val="00721381"/>
    <w:rsid w:val="00721613"/>
    <w:rsid w:val="00721B63"/>
    <w:rsid w:val="0072209C"/>
    <w:rsid w:val="00722286"/>
    <w:rsid w:val="0072235F"/>
    <w:rsid w:val="007228F5"/>
    <w:rsid w:val="00722C96"/>
    <w:rsid w:val="00722DCF"/>
    <w:rsid w:val="00722EFF"/>
    <w:rsid w:val="00723401"/>
    <w:rsid w:val="007235AA"/>
    <w:rsid w:val="00723CF0"/>
    <w:rsid w:val="007240D8"/>
    <w:rsid w:val="00724124"/>
    <w:rsid w:val="00724C2B"/>
    <w:rsid w:val="007262FD"/>
    <w:rsid w:val="0072630C"/>
    <w:rsid w:val="00726706"/>
    <w:rsid w:val="00726B3A"/>
    <w:rsid w:val="00726FD9"/>
    <w:rsid w:val="007271BB"/>
    <w:rsid w:val="00727439"/>
    <w:rsid w:val="00727543"/>
    <w:rsid w:val="00727C2D"/>
    <w:rsid w:val="007304E9"/>
    <w:rsid w:val="0073079C"/>
    <w:rsid w:val="00730BA8"/>
    <w:rsid w:val="00731926"/>
    <w:rsid w:val="00731FEB"/>
    <w:rsid w:val="00732516"/>
    <w:rsid w:val="0073271D"/>
    <w:rsid w:val="00732835"/>
    <w:rsid w:val="007328CC"/>
    <w:rsid w:val="00732DDA"/>
    <w:rsid w:val="007331B9"/>
    <w:rsid w:val="007332E5"/>
    <w:rsid w:val="007337E0"/>
    <w:rsid w:val="00733830"/>
    <w:rsid w:val="007339C2"/>
    <w:rsid w:val="00733AE0"/>
    <w:rsid w:val="007342C8"/>
    <w:rsid w:val="0073439A"/>
    <w:rsid w:val="00734673"/>
    <w:rsid w:val="007348EA"/>
    <w:rsid w:val="00734A48"/>
    <w:rsid w:val="00734E7A"/>
    <w:rsid w:val="007350C5"/>
    <w:rsid w:val="00735775"/>
    <w:rsid w:val="00735FED"/>
    <w:rsid w:val="00735FF6"/>
    <w:rsid w:val="007360E6"/>
    <w:rsid w:val="00736175"/>
    <w:rsid w:val="007366E3"/>
    <w:rsid w:val="00736DDF"/>
    <w:rsid w:val="00737664"/>
    <w:rsid w:val="00737E44"/>
    <w:rsid w:val="007400E5"/>
    <w:rsid w:val="007409D4"/>
    <w:rsid w:val="007411DB"/>
    <w:rsid w:val="007413C9"/>
    <w:rsid w:val="00741B1D"/>
    <w:rsid w:val="00741D31"/>
    <w:rsid w:val="00742133"/>
    <w:rsid w:val="00742228"/>
    <w:rsid w:val="007425A9"/>
    <w:rsid w:val="007429DF"/>
    <w:rsid w:val="007431F7"/>
    <w:rsid w:val="00743A13"/>
    <w:rsid w:val="00743C0C"/>
    <w:rsid w:val="007446F9"/>
    <w:rsid w:val="00744A6B"/>
    <w:rsid w:val="00744EF6"/>
    <w:rsid w:val="007455F7"/>
    <w:rsid w:val="007460A7"/>
    <w:rsid w:val="0074641B"/>
    <w:rsid w:val="0074669E"/>
    <w:rsid w:val="0074704F"/>
    <w:rsid w:val="007479A0"/>
    <w:rsid w:val="00750FFD"/>
    <w:rsid w:val="00751012"/>
    <w:rsid w:val="00751719"/>
    <w:rsid w:val="00751A79"/>
    <w:rsid w:val="00751BA7"/>
    <w:rsid w:val="00752442"/>
    <w:rsid w:val="007526B2"/>
    <w:rsid w:val="00752E88"/>
    <w:rsid w:val="00752FA4"/>
    <w:rsid w:val="00753122"/>
    <w:rsid w:val="0075345E"/>
    <w:rsid w:val="00753D33"/>
    <w:rsid w:val="00753E3E"/>
    <w:rsid w:val="007541D6"/>
    <w:rsid w:val="0075424B"/>
    <w:rsid w:val="0075427D"/>
    <w:rsid w:val="00754A3F"/>
    <w:rsid w:val="00754ACE"/>
    <w:rsid w:val="00754D5E"/>
    <w:rsid w:val="00754ED3"/>
    <w:rsid w:val="0075553D"/>
    <w:rsid w:val="00755A79"/>
    <w:rsid w:val="00755BC8"/>
    <w:rsid w:val="007568A6"/>
    <w:rsid w:val="007568CD"/>
    <w:rsid w:val="00756C7E"/>
    <w:rsid w:val="00756D35"/>
    <w:rsid w:val="007575EA"/>
    <w:rsid w:val="007577C8"/>
    <w:rsid w:val="00757C13"/>
    <w:rsid w:val="00757FCB"/>
    <w:rsid w:val="007603BA"/>
    <w:rsid w:val="00760B46"/>
    <w:rsid w:val="00761126"/>
    <w:rsid w:val="00761357"/>
    <w:rsid w:val="0076169E"/>
    <w:rsid w:val="00761849"/>
    <w:rsid w:val="007618C6"/>
    <w:rsid w:val="00761ED1"/>
    <w:rsid w:val="0076288A"/>
    <w:rsid w:val="00762ADD"/>
    <w:rsid w:val="00762CCF"/>
    <w:rsid w:val="00762F6F"/>
    <w:rsid w:val="00763752"/>
    <w:rsid w:val="0076389F"/>
    <w:rsid w:val="00763F11"/>
    <w:rsid w:val="007642BC"/>
    <w:rsid w:val="007642CA"/>
    <w:rsid w:val="0076452F"/>
    <w:rsid w:val="00764BC3"/>
    <w:rsid w:val="00764D15"/>
    <w:rsid w:val="00765918"/>
    <w:rsid w:val="00765A4C"/>
    <w:rsid w:val="00765D42"/>
    <w:rsid w:val="007667CD"/>
    <w:rsid w:val="00766BCB"/>
    <w:rsid w:val="00766E85"/>
    <w:rsid w:val="00767E8D"/>
    <w:rsid w:val="0077088E"/>
    <w:rsid w:val="00772277"/>
    <w:rsid w:val="00772351"/>
    <w:rsid w:val="0077261B"/>
    <w:rsid w:val="00772D4F"/>
    <w:rsid w:val="00773473"/>
    <w:rsid w:val="007735B2"/>
    <w:rsid w:val="0077409B"/>
    <w:rsid w:val="0077409F"/>
    <w:rsid w:val="00774956"/>
    <w:rsid w:val="00774F99"/>
    <w:rsid w:val="00775187"/>
    <w:rsid w:val="00775663"/>
    <w:rsid w:val="00775B86"/>
    <w:rsid w:val="00775FB5"/>
    <w:rsid w:val="0077604C"/>
    <w:rsid w:val="00776133"/>
    <w:rsid w:val="00776EB7"/>
    <w:rsid w:val="00776F02"/>
    <w:rsid w:val="00777134"/>
    <w:rsid w:val="0077728E"/>
    <w:rsid w:val="00777339"/>
    <w:rsid w:val="00777A49"/>
    <w:rsid w:val="00777B0D"/>
    <w:rsid w:val="00777B4F"/>
    <w:rsid w:val="007801A4"/>
    <w:rsid w:val="00780609"/>
    <w:rsid w:val="00780621"/>
    <w:rsid w:val="0078068D"/>
    <w:rsid w:val="00780A15"/>
    <w:rsid w:val="00780A81"/>
    <w:rsid w:val="007813F0"/>
    <w:rsid w:val="007814B8"/>
    <w:rsid w:val="00781705"/>
    <w:rsid w:val="007818F8"/>
    <w:rsid w:val="00781A15"/>
    <w:rsid w:val="00781BD6"/>
    <w:rsid w:val="007825B2"/>
    <w:rsid w:val="007829E4"/>
    <w:rsid w:val="00782D55"/>
    <w:rsid w:val="0078313F"/>
    <w:rsid w:val="007835C0"/>
    <w:rsid w:val="00783637"/>
    <w:rsid w:val="00783A6D"/>
    <w:rsid w:val="00783A82"/>
    <w:rsid w:val="00783C2D"/>
    <w:rsid w:val="00784020"/>
    <w:rsid w:val="007843E6"/>
    <w:rsid w:val="00784AD6"/>
    <w:rsid w:val="007851C0"/>
    <w:rsid w:val="00785419"/>
    <w:rsid w:val="00785830"/>
    <w:rsid w:val="00785B22"/>
    <w:rsid w:val="00786560"/>
    <w:rsid w:val="0078669A"/>
    <w:rsid w:val="00786AC9"/>
    <w:rsid w:val="00786C4B"/>
    <w:rsid w:val="00786F14"/>
    <w:rsid w:val="00786FA7"/>
    <w:rsid w:val="00787245"/>
    <w:rsid w:val="00787394"/>
    <w:rsid w:val="007874B1"/>
    <w:rsid w:val="00787CDB"/>
    <w:rsid w:val="00787F2D"/>
    <w:rsid w:val="00790224"/>
    <w:rsid w:val="00790303"/>
    <w:rsid w:val="00790388"/>
    <w:rsid w:val="00790497"/>
    <w:rsid w:val="00790A1F"/>
    <w:rsid w:val="00790BB9"/>
    <w:rsid w:val="00790C81"/>
    <w:rsid w:val="00790EBE"/>
    <w:rsid w:val="00791356"/>
    <w:rsid w:val="007914B8"/>
    <w:rsid w:val="007916D6"/>
    <w:rsid w:val="007917F5"/>
    <w:rsid w:val="00791981"/>
    <w:rsid w:val="0079217A"/>
    <w:rsid w:val="0079275B"/>
    <w:rsid w:val="00792794"/>
    <w:rsid w:val="00792BC8"/>
    <w:rsid w:val="00792FCA"/>
    <w:rsid w:val="007935B5"/>
    <w:rsid w:val="0079372C"/>
    <w:rsid w:val="007937C6"/>
    <w:rsid w:val="007938C1"/>
    <w:rsid w:val="00793CBA"/>
    <w:rsid w:val="007948B2"/>
    <w:rsid w:val="00795B9B"/>
    <w:rsid w:val="0079685C"/>
    <w:rsid w:val="0079728C"/>
    <w:rsid w:val="00797B66"/>
    <w:rsid w:val="007A03FC"/>
    <w:rsid w:val="007A0AE7"/>
    <w:rsid w:val="007A0F6C"/>
    <w:rsid w:val="007A166C"/>
    <w:rsid w:val="007A16AF"/>
    <w:rsid w:val="007A16CD"/>
    <w:rsid w:val="007A1A4E"/>
    <w:rsid w:val="007A1EEC"/>
    <w:rsid w:val="007A1EEE"/>
    <w:rsid w:val="007A2563"/>
    <w:rsid w:val="007A2A32"/>
    <w:rsid w:val="007A2D97"/>
    <w:rsid w:val="007A2DC1"/>
    <w:rsid w:val="007A3187"/>
    <w:rsid w:val="007A362B"/>
    <w:rsid w:val="007A36EA"/>
    <w:rsid w:val="007A3A02"/>
    <w:rsid w:val="007A3BBB"/>
    <w:rsid w:val="007A3C81"/>
    <w:rsid w:val="007A3CB3"/>
    <w:rsid w:val="007A3D8D"/>
    <w:rsid w:val="007A4ADE"/>
    <w:rsid w:val="007A5A96"/>
    <w:rsid w:val="007A62E1"/>
    <w:rsid w:val="007A64E0"/>
    <w:rsid w:val="007A710C"/>
    <w:rsid w:val="007A76E2"/>
    <w:rsid w:val="007A78D9"/>
    <w:rsid w:val="007A7908"/>
    <w:rsid w:val="007B0DC3"/>
    <w:rsid w:val="007B0E74"/>
    <w:rsid w:val="007B12AA"/>
    <w:rsid w:val="007B1486"/>
    <w:rsid w:val="007B1591"/>
    <w:rsid w:val="007B1A90"/>
    <w:rsid w:val="007B1B02"/>
    <w:rsid w:val="007B2474"/>
    <w:rsid w:val="007B24F5"/>
    <w:rsid w:val="007B26C6"/>
    <w:rsid w:val="007B2767"/>
    <w:rsid w:val="007B2998"/>
    <w:rsid w:val="007B31A6"/>
    <w:rsid w:val="007B3337"/>
    <w:rsid w:val="007B362A"/>
    <w:rsid w:val="007B43FD"/>
    <w:rsid w:val="007B450A"/>
    <w:rsid w:val="007B4667"/>
    <w:rsid w:val="007B46E1"/>
    <w:rsid w:val="007B48CD"/>
    <w:rsid w:val="007B4A29"/>
    <w:rsid w:val="007B4ACF"/>
    <w:rsid w:val="007B4BEA"/>
    <w:rsid w:val="007B4EFB"/>
    <w:rsid w:val="007B6240"/>
    <w:rsid w:val="007B7D5C"/>
    <w:rsid w:val="007C0591"/>
    <w:rsid w:val="007C06F4"/>
    <w:rsid w:val="007C077C"/>
    <w:rsid w:val="007C2817"/>
    <w:rsid w:val="007C28BA"/>
    <w:rsid w:val="007C2BDA"/>
    <w:rsid w:val="007C2ED0"/>
    <w:rsid w:val="007C3342"/>
    <w:rsid w:val="007C3345"/>
    <w:rsid w:val="007C35F3"/>
    <w:rsid w:val="007C386E"/>
    <w:rsid w:val="007C38DE"/>
    <w:rsid w:val="007C3E7C"/>
    <w:rsid w:val="007C3F88"/>
    <w:rsid w:val="007C407A"/>
    <w:rsid w:val="007C482C"/>
    <w:rsid w:val="007C488A"/>
    <w:rsid w:val="007C4BCF"/>
    <w:rsid w:val="007C4F41"/>
    <w:rsid w:val="007C520B"/>
    <w:rsid w:val="007C5E49"/>
    <w:rsid w:val="007C5FCE"/>
    <w:rsid w:val="007C5FE5"/>
    <w:rsid w:val="007C67F3"/>
    <w:rsid w:val="007C6A1E"/>
    <w:rsid w:val="007C6F31"/>
    <w:rsid w:val="007C71D2"/>
    <w:rsid w:val="007C72D2"/>
    <w:rsid w:val="007C7376"/>
    <w:rsid w:val="007C7574"/>
    <w:rsid w:val="007D017B"/>
    <w:rsid w:val="007D01F1"/>
    <w:rsid w:val="007D06FB"/>
    <w:rsid w:val="007D0DA5"/>
    <w:rsid w:val="007D10A5"/>
    <w:rsid w:val="007D14FC"/>
    <w:rsid w:val="007D1A35"/>
    <w:rsid w:val="007D2051"/>
    <w:rsid w:val="007D216D"/>
    <w:rsid w:val="007D2225"/>
    <w:rsid w:val="007D4345"/>
    <w:rsid w:val="007D4376"/>
    <w:rsid w:val="007D4486"/>
    <w:rsid w:val="007D45EC"/>
    <w:rsid w:val="007D4DCA"/>
    <w:rsid w:val="007D5784"/>
    <w:rsid w:val="007D591F"/>
    <w:rsid w:val="007D5B01"/>
    <w:rsid w:val="007D5EC1"/>
    <w:rsid w:val="007D5EEF"/>
    <w:rsid w:val="007D5F14"/>
    <w:rsid w:val="007D5F56"/>
    <w:rsid w:val="007D6BC7"/>
    <w:rsid w:val="007D7038"/>
    <w:rsid w:val="007D77ED"/>
    <w:rsid w:val="007E064E"/>
    <w:rsid w:val="007E06AF"/>
    <w:rsid w:val="007E0AD4"/>
    <w:rsid w:val="007E17A1"/>
    <w:rsid w:val="007E1B52"/>
    <w:rsid w:val="007E1DC9"/>
    <w:rsid w:val="007E1DF0"/>
    <w:rsid w:val="007E1E45"/>
    <w:rsid w:val="007E231E"/>
    <w:rsid w:val="007E23A7"/>
    <w:rsid w:val="007E23F5"/>
    <w:rsid w:val="007E2651"/>
    <w:rsid w:val="007E2BCC"/>
    <w:rsid w:val="007E2D16"/>
    <w:rsid w:val="007E2F73"/>
    <w:rsid w:val="007E3047"/>
    <w:rsid w:val="007E37E8"/>
    <w:rsid w:val="007E3861"/>
    <w:rsid w:val="007E38FA"/>
    <w:rsid w:val="007E415B"/>
    <w:rsid w:val="007E4213"/>
    <w:rsid w:val="007E42FE"/>
    <w:rsid w:val="007E43F0"/>
    <w:rsid w:val="007E4836"/>
    <w:rsid w:val="007E4A5C"/>
    <w:rsid w:val="007E58A6"/>
    <w:rsid w:val="007E5EF1"/>
    <w:rsid w:val="007E605D"/>
    <w:rsid w:val="007E60B1"/>
    <w:rsid w:val="007E63E9"/>
    <w:rsid w:val="007E69DF"/>
    <w:rsid w:val="007E6FBF"/>
    <w:rsid w:val="007E713C"/>
    <w:rsid w:val="007E71F4"/>
    <w:rsid w:val="007E75E3"/>
    <w:rsid w:val="007E76CD"/>
    <w:rsid w:val="007E7FD5"/>
    <w:rsid w:val="007F0281"/>
    <w:rsid w:val="007F0414"/>
    <w:rsid w:val="007F089A"/>
    <w:rsid w:val="007F0AEC"/>
    <w:rsid w:val="007F0EEA"/>
    <w:rsid w:val="007F110B"/>
    <w:rsid w:val="007F1571"/>
    <w:rsid w:val="007F1DD4"/>
    <w:rsid w:val="007F1E41"/>
    <w:rsid w:val="007F2076"/>
    <w:rsid w:val="007F2571"/>
    <w:rsid w:val="007F29B3"/>
    <w:rsid w:val="007F34B3"/>
    <w:rsid w:val="007F35B0"/>
    <w:rsid w:val="007F3618"/>
    <w:rsid w:val="007F3DF3"/>
    <w:rsid w:val="007F3F76"/>
    <w:rsid w:val="007F45A2"/>
    <w:rsid w:val="007F4E85"/>
    <w:rsid w:val="007F5108"/>
    <w:rsid w:val="007F57BD"/>
    <w:rsid w:val="007F5A83"/>
    <w:rsid w:val="007F5BAB"/>
    <w:rsid w:val="007F5DFF"/>
    <w:rsid w:val="007F5EE8"/>
    <w:rsid w:val="007F626A"/>
    <w:rsid w:val="007F6AAE"/>
    <w:rsid w:val="007F6D97"/>
    <w:rsid w:val="007F731B"/>
    <w:rsid w:val="007F7375"/>
    <w:rsid w:val="007F7A4E"/>
    <w:rsid w:val="007F7E49"/>
    <w:rsid w:val="00800360"/>
    <w:rsid w:val="00800396"/>
    <w:rsid w:val="0080081D"/>
    <w:rsid w:val="00800B30"/>
    <w:rsid w:val="00800D48"/>
    <w:rsid w:val="00800EC9"/>
    <w:rsid w:val="00800F24"/>
    <w:rsid w:val="008021A3"/>
    <w:rsid w:val="008021FD"/>
    <w:rsid w:val="0080254C"/>
    <w:rsid w:val="00802828"/>
    <w:rsid w:val="0080293B"/>
    <w:rsid w:val="0080321E"/>
    <w:rsid w:val="008033D5"/>
    <w:rsid w:val="008038AA"/>
    <w:rsid w:val="0080402B"/>
    <w:rsid w:val="00804062"/>
    <w:rsid w:val="00805419"/>
    <w:rsid w:val="008056F9"/>
    <w:rsid w:val="00805E96"/>
    <w:rsid w:val="0080616D"/>
    <w:rsid w:val="008064CE"/>
    <w:rsid w:val="0080692C"/>
    <w:rsid w:val="00806F0B"/>
    <w:rsid w:val="0081010A"/>
    <w:rsid w:val="00810130"/>
    <w:rsid w:val="0081027D"/>
    <w:rsid w:val="008102E9"/>
    <w:rsid w:val="00810C40"/>
    <w:rsid w:val="00810C92"/>
    <w:rsid w:val="00810DED"/>
    <w:rsid w:val="00811193"/>
    <w:rsid w:val="008114F6"/>
    <w:rsid w:val="008118CE"/>
    <w:rsid w:val="00813AA0"/>
    <w:rsid w:val="00813C4A"/>
    <w:rsid w:val="00813CFD"/>
    <w:rsid w:val="00814A68"/>
    <w:rsid w:val="00814E6E"/>
    <w:rsid w:val="00815148"/>
    <w:rsid w:val="00815153"/>
    <w:rsid w:val="0081544A"/>
    <w:rsid w:val="00816C28"/>
    <w:rsid w:val="00816CBD"/>
    <w:rsid w:val="0081784B"/>
    <w:rsid w:val="00817CAC"/>
    <w:rsid w:val="00817ED5"/>
    <w:rsid w:val="008209F4"/>
    <w:rsid w:val="00820EFB"/>
    <w:rsid w:val="008210BC"/>
    <w:rsid w:val="00821841"/>
    <w:rsid w:val="00822384"/>
    <w:rsid w:val="0082252F"/>
    <w:rsid w:val="00822886"/>
    <w:rsid w:val="00822963"/>
    <w:rsid w:val="00822B52"/>
    <w:rsid w:val="00822D3C"/>
    <w:rsid w:val="00822ED6"/>
    <w:rsid w:val="00823534"/>
    <w:rsid w:val="00823560"/>
    <w:rsid w:val="008239EA"/>
    <w:rsid w:val="00823B59"/>
    <w:rsid w:val="00823C63"/>
    <w:rsid w:val="0082437A"/>
    <w:rsid w:val="008251EE"/>
    <w:rsid w:val="008258EB"/>
    <w:rsid w:val="00825FB0"/>
    <w:rsid w:val="008271C2"/>
    <w:rsid w:val="008271D7"/>
    <w:rsid w:val="00827C52"/>
    <w:rsid w:val="0083040E"/>
    <w:rsid w:val="00830A63"/>
    <w:rsid w:val="00830C83"/>
    <w:rsid w:val="00830E4C"/>
    <w:rsid w:val="00831D00"/>
    <w:rsid w:val="00831FBE"/>
    <w:rsid w:val="00831FD0"/>
    <w:rsid w:val="00832624"/>
    <w:rsid w:val="0083295F"/>
    <w:rsid w:val="00832C58"/>
    <w:rsid w:val="00833397"/>
    <w:rsid w:val="00833551"/>
    <w:rsid w:val="0083429F"/>
    <w:rsid w:val="00834638"/>
    <w:rsid w:val="00834995"/>
    <w:rsid w:val="00834BA8"/>
    <w:rsid w:val="00834D3D"/>
    <w:rsid w:val="00835038"/>
    <w:rsid w:val="008351C0"/>
    <w:rsid w:val="00835273"/>
    <w:rsid w:val="0083563C"/>
    <w:rsid w:val="008359C6"/>
    <w:rsid w:val="00835CC9"/>
    <w:rsid w:val="00835FEE"/>
    <w:rsid w:val="0083625B"/>
    <w:rsid w:val="008368F8"/>
    <w:rsid w:val="00836932"/>
    <w:rsid w:val="00836EB7"/>
    <w:rsid w:val="00837319"/>
    <w:rsid w:val="00837686"/>
    <w:rsid w:val="008376B1"/>
    <w:rsid w:val="0083776C"/>
    <w:rsid w:val="00837EBD"/>
    <w:rsid w:val="008401C8"/>
    <w:rsid w:val="00840D5F"/>
    <w:rsid w:val="00840F1A"/>
    <w:rsid w:val="00840FB2"/>
    <w:rsid w:val="008413CC"/>
    <w:rsid w:val="00841D56"/>
    <w:rsid w:val="00842428"/>
    <w:rsid w:val="008427BD"/>
    <w:rsid w:val="00842ABE"/>
    <w:rsid w:val="0084357D"/>
    <w:rsid w:val="00843C9C"/>
    <w:rsid w:val="00843EEA"/>
    <w:rsid w:val="00843F08"/>
    <w:rsid w:val="008440A7"/>
    <w:rsid w:val="0084428D"/>
    <w:rsid w:val="008442A9"/>
    <w:rsid w:val="008442D1"/>
    <w:rsid w:val="00844434"/>
    <w:rsid w:val="0084582F"/>
    <w:rsid w:val="00845856"/>
    <w:rsid w:val="00846314"/>
    <w:rsid w:val="008464CF"/>
    <w:rsid w:val="00846C6D"/>
    <w:rsid w:val="00846E1B"/>
    <w:rsid w:val="00846E7A"/>
    <w:rsid w:val="0084717B"/>
    <w:rsid w:val="008477B4"/>
    <w:rsid w:val="00847F35"/>
    <w:rsid w:val="00847F8B"/>
    <w:rsid w:val="008503EC"/>
    <w:rsid w:val="00850652"/>
    <w:rsid w:val="0085069A"/>
    <w:rsid w:val="00850F9D"/>
    <w:rsid w:val="00851024"/>
    <w:rsid w:val="00851886"/>
    <w:rsid w:val="00851ED3"/>
    <w:rsid w:val="00852267"/>
    <w:rsid w:val="00852538"/>
    <w:rsid w:val="00852595"/>
    <w:rsid w:val="00852E97"/>
    <w:rsid w:val="008532AF"/>
    <w:rsid w:val="008533FF"/>
    <w:rsid w:val="00853957"/>
    <w:rsid w:val="00853E69"/>
    <w:rsid w:val="00854A27"/>
    <w:rsid w:val="00854AAD"/>
    <w:rsid w:val="00854C91"/>
    <w:rsid w:val="0085544E"/>
    <w:rsid w:val="00855529"/>
    <w:rsid w:val="00856114"/>
    <w:rsid w:val="00856115"/>
    <w:rsid w:val="0085679C"/>
    <w:rsid w:val="00856A2D"/>
    <w:rsid w:val="00856DB2"/>
    <w:rsid w:val="0085716D"/>
    <w:rsid w:val="008571AB"/>
    <w:rsid w:val="00857A5F"/>
    <w:rsid w:val="00857D02"/>
    <w:rsid w:val="008600BE"/>
    <w:rsid w:val="0086049C"/>
    <w:rsid w:val="008608BA"/>
    <w:rsid w:val="008608BB"/>
    <w:rsid w:val="00860CA5"/>
    <w:rsid w:val="0086104C"/>
    <w:rsid w:val="008614BA"/>
    <w:rsid w:val="00861C58"/>
    <w:rsid w:val="00862413"/>
    <w:rsid w:val="008627BE"/>
    <w:rsid w:val="00862937"/>
    <w:rsid w:val="00862B2C"/>
    <w:rsid w:val="00862C3D"/>
    <w:rsid w:val="00862CD9"/>
    <w:rsid w:val="00862DFB"/>
    <w:rsid w:val="0086381F"/>
    <w:rsid w:val="0086386D"/>
    <w:rsid w:val="00863C18"/>
    <w:rsid w:val="00863C52"/>
    <w:rsid w:val="00863CC8"/>
    <w:rsid w:val="008641B3"/>
    <w:rsid w:val="008641BD"/>
    <w:rsid w:val="008644EB"/>
    <w:rsid w:val="008647D2"/>
    <w:rsid w:val="0086493C"/>
    <w:rsid w:val="00864971"/>
    <w:rsid w:val="00864EEF"/>
    <w:rsid w:val="00865277"/>
    <w:rsid w:val="008654F4"/>
    <w:rsid w:val="00865683"/>
    <w:rsid w:val="00866074"/>
    <w:rsid w:val="00866A2D"/>
    <w:rsid w:val="00866AFB"/>
    <w:rsid w:val="00867022"/>
    <w:rsid w:val="008672A2"/>
    <w:rsid w:val="00867520"/>
    <w:rsid w:val="0086756B"/>
    <w:rsid w:val="00867A0A"/>
    <w:rsid w:val="0087024A"/>
    <w:rsid w:val="00870B2A"/>
    <w:rsid w:val="008714B5"/>
    <w:rsid w:val="008721DC"/>
    <w:rsid w:val="00872346"/>
    <w:rsid w:val="00872B3D"/>
    <w:rsid w:val="00872B49"/>
    <w:rsid w:val="00872DD5"/>
    <w:rsid w:val="00873390"/>
    <w:rsid w:val="0087371C"/>
    <w:rsid w:val="00873A2C"/>
    <w:rsid w:val="00873DD2"/>
    <w:rsid w:val="00874042"/>
    <w:rsid w:val="00874C3D"/>
    <w:rsid w:val="00874C64"/>
    <w:rsid w:val="00874D7A"/>
    <w:rsid w:val="00875F11"/>
    <w:rsid w:val="0087600C"/>
    <w:rsid w:val="00876DC9"/>
    <w:rsid w:val="00876FE6"/>
    <w:rsid w:val="0087798D"/>
    <w:rsid w:val="00877C46"/>
    <w:rsid w:val="0088072D"/>
    <w:rsid w:val="00880892"/>
    <w:rsid w:val="00881384"/>
    <w:rsid w:val="00881B3F"/>
    <w:rsid w:val="00881D04"/>
    <w:rsid w:val="00882113"/>
    <w:rsid w:val="008821FB"/>
    <w:rsid w:val="008822CC"/>
    <w:rsid w:val="0088248B"/>
    <w:rsid w:val="00882A86"/>
    <w:rsid w:val="00882ACB"/>
    <w:rsid w:val="00882D3A"/>
    <w:rsid w:val="00883259"/>
    <w:rsid w:val="0088357E"/>
    <w:rsid w:val="008835FE"/>
    <w:rsid w:val="00883A9B"/>
    <w:rsid w:val="00883AB2"/>
    <w:rsid w:val="008846C2"/>
    <w:rsid w:val="00884B31"/>
    <w:rsid w:val="008854B6"/>
    <w:rsid w:val="0088558F"/>
    <w:rsid w:val="0088570A"/>
    <w:rsid w:val="0088580E"/>
    <w:rsid w:val="00885833"/>
    <w:rsid w:val="008858E0"/>
    <w:rsid w:val="00885A0E"/>
    <w:rsid w:val="008867FC"/>
    <w:rsid w:val="0088686B"/>
    <w:rsid w:val="0088734C"/>
    <w:rsid w:val="00887743"/>
    <w:rsid w:val="00890094"/>
    <w:rsid w:val="0089040F"/>
    <w:rsid w:val="00890680"/>
    <w:rsid w:val="0089098E"/>
    <w:rsid w:val="00890D4A"/>
    <w:rsid w:val="008911D8"/>
    <w:rsid w:val="00891392"/>
    <w:rsid w:val="008914D0"/>
    <w:rsid w:val="008915E5"/>
    <w:rsid w:val="008916C1"/>
    <w:rsid w:val="008916D3"/>
    <w:rsid w:val="008923A7"/>
    <w:rsid w:val="00892F38"/>
    <w:rsid w:val="0089341A"/>
    <w:rsid w:val="00893462"/>
    <w:rsid w:val="008935B8"/>
    <w:rsid w:val="008937F6"/>
    <w:rsid w:val="00893E0C"/>
    <w:rsid w:val="00893FB3"/>
    <w:rsid w:val="008945E7"/>
    <w:rsid w:val="00894675"/>
    <w:rsid w:val="008952BF"/>
    <w:rsid w:val="00895655"/>
    <w:rsid w:val="00895A7D"/>
    <w:rsid w:val="00896895"/>
    <w:rsid w:val="00896AA9"/>
    <w:rsid w:val="00896E1E"/>
    <w:rsid w:val="008974EF"/>
    <w:rsid w:val="00897622"/>
    <w:rsid w:val="00897750"/>
    <w:rsid w:val="008A1E69"/>
    <w:rsid w:val="008A22BC"/>
    <w:rsid w:val="008A2903"/>
    <w:rsid w:val="008A29E6"/>
    <w:rsid w:val="008A2F2C"/>
    <w:rsid w:val="008A2FB6"/>
    <w:rsid w:val="008A31A7"/>
    <w:rsid w:val="008A33C0"/>
    <w:rsid w:val="008A33D6"/>
    <w:rsid w:val="008A3B53"/>
    <w:rsid w:val="008A41E5"/>
    <w:rsid w:val="008A4421"/>
    <w:rsid w:val="008A45B5"/>
    <w:rsid w:val="008A46A6"/>
    <w:rsid w:val="008A49B0"/>
    <w:rsid w:val="008A4B47"/>
    <w:rsid w:val="008A4DA0"/>
    <w:rsid w:val="008A56F5"/>
    <w:rsid w:val="008A5DFC"/>
    <w:rsid w:val="008A6541"/>
    <w:rsid w:val="008A6DC3"/>
    <w:rsid w:val="008A6E16"/>
    <w:rsid w:val="008A7341"/>
    <w:rsid w:val="008A77CE"/>
    <w:rsid w:val="008A7BB3"/>
    <w:rsid w:val="008B0074"/>
    <w:rsid w:val="008B0755"/>
    <w:rsid w:val="008B084C"/>
    <w:rsid w:val="008B0EFF"/>
    <w:rsid w:val="008B1556"/>
    <w:rsid w:val="008B187E"/>
    <w:rsid w:val="008B1BF9"/>
    <w:rsid w:val="008B1E01"/>
    <w:rsid w:val="008B2A75"/>
    <w:rsid w:val="008B2F2E"/>
    <w:rsid w:val="008B3431"/>
    <w:rsid w:val="008B375C"/>
    <w:rsid w:val="008B3783"/>
    <w:rsid w:val="008B3D96"/>
    <w:rsid w:val="008B3E1B"/>
    <w:rsid w:val="008B4F45"/>
    <w:rsid w:val="008B5041"/>
    <w:rsid w:val="008B54B2"/>
    <w:rsid w:val="008B555F"/>
    <w:rsid w:val="008B55A7"/>
    <w:rsid w:val="008B565F"/>
    <w:rsid w:val="008B5809"/>
    <w:rsid w:val="008B5871"/>
    <w:rsid w:val="008B5955"/>
    <w:rsid w:val="008B6895"/>
    <w:rsid w:val="008B7193"/>
    <w:rsid w:val="008B7313"/>
    <w:rsid w:val="008C031E"/>
    <w:rsid w:val="008C05EC"/>
    <w:rsid w:val="008C074B"/>
    <w:rsid w:val="008C07C1"/>
    <w:rsid w:val="008C0A51"/>
    <w:rsid w:val="008C0E1A"/>
    <w:rsid w:val="008C0F19"/>
    <w:rsid w:val="008C1579"/>
    <w:rsid w:val="008C2662"/>
    <w:rsid w:val="008C33C0"/>
    <w:rsid w:val="008C35D2"/>
    <w:rsid w:val="008C36AD"/>
    <w:rsid w:val="008C3AAE"/>
    <w:rsid w:val="008C3ED0"/>
    <w:rsid w:val="008C3FA6"/>
    <w:rsid w:val="008C423A"/>
    <w:rsid w:val="008C546E"/>
    <w:rsid w:val="008C559A"/>
    <w:rsid w:val="008C5938"/>
    <w:rsid w:val="008C5C96"/>
    <w:rsid w:val="008C5F95"/>
    <w:rsid w:val="008C6407"/>
    <w:rsid w:val="008C69B0"/>
    <w:rsid w:val="008C6A48"/>
    <w:rsid w:val="008C6E57"/>
    <w:rsid w:val="008C6EC5"/>
    <w:rsid w:val="008C71EB"/>
    <w:rsid w:val="008C72A2"/>
    <w:rsid w:val="008C79D7"/>
    <w:rsid w:val="008C7CF6"/>
    <w:rsid w:val="008D03B4"/>
    <w:rsid w:val="008D1021"/>
    <w:rsid w:val="008D10DC"/>
    <w:rsid w:val="008D17E2"/>
    <w:rsid w:val="008D2757"/>
    <w:rsid w:val="008D2BA1"/>
    <w:rsid w:val="008D2C1D"/>
    <w:rsid w:val="008D2E0A"/>
    <w:rsid w:val="008D3987"/>
    <w:rsid w:val="008D4B27"/>
    <w:rsid w:val="008D4D42"/>
    <w:rsid w:val="008D530F"/>
    <w:rsid w:val="008D542A"/>
    <w:rsid w:val="008D59E0"/>
    <w:rsid w:val="008D5F13"/>
    <w:rsid w:val="008D7172"/>
    <w:rsid w:val="008E035B"/>
    <w:rsid w:val="008E0DD5"/>
    <w:rsid w:val="008E1144"/>
    <w:rsid w:val="008E19D2"/>
    <w:rsid w:val="008E1AB5"/>
    <w:rsid w:val="008E1B1D"/>
    <w:rsid w:val="008E1D3D"/>
    <w:rsid w:val="008E2661"/>
    <w:rsid w:val="008E2871"/>
    <w:rsid w:val="008E3001"/>
    <w:rsid w:val="008E3970"/>
    <w:rsid w:val="008E3D58"/>
    <w:rsid w:val="008E480A"/>
    <w:rsid w:val="008E486D"/>
    <w:rsid w:val="008E4940"/>
    <w:rsid w:val="008E49AC"/>
    <w:rsid w:val="008E4B9E"/>
    <w:rsid w:val="008E4D35"/>
    <w:rsid w:val="008E4E5A"/>
    <w:rsid w:val="008E50E6"/>
    <w:rsid w:val="008E54C8"/>
    <w:rsid w:val="008E5F89"/>
    <w:rsid w:val="008E5FB5"/>
    <w:rsid w:val="008E616B"/>
    <w:rsid w:val="008E63BC"/>
    <w:rsid w:val="008E6799"/>
    <w:rsid w:val="008E67AA"/>
    <w:rsid w:val="008E6C7D"/>
    <w:rsid w:val="008E6E7E"/>
    <w:rsid w:val="008E7457"/>
    <w:rsid w:val="008E76DE"/>
    <w:rsid w:val="008E776A"/>
    <w:rsid w:val="008E7AC5"/>
    <w:rsid w:val="008E7CCE"/>
    <w:rsid w:val="008E7EFC"/>
    <w:rsid w:val="008F0472"/>
    <w:rsid w:val="008F05CC"/>
    <w:rsid w:val="008F0C2B"/>
    <w:rsid w:val="008F10F7"/>
    <w:rsid w:val="008F1425"/>
    <w:rsid w:val="008F16DB"/>
    <w:rsid w:val="008F19D6"/>
    <w:rsid w:val="008F2C5D"/>
    <w:rsid w:val="008F2DB5"/>
    <w:rsid w:val="008F3313"/>
    <w:rsid w:val="008F4013"/>
    <w:rsid w:val="008F4074"/>
    <w:rsid w:val="008F40EE"/>
    <w:rsid w:val="008F43C8"/>
    <w:rsid w:val="008F45A6"/>
    <w:rsid w:val="008F46E4"/>
    <w:rsid w:val="008F4AE7"/>
    <w:rsid w:val="008F5875"/>
    <w:rsid w:val="008F59DD"/>
    <w:rsid w:val="008F5EE2"/>
    <w:rsid w:val="008F63EA"/>
    <w:rsid w:val="008F659C"/>
    <w:rsid w:val="008F6DE0"/>
    <w:rsid w:val="008F6E07"/>
    <w:rsid w:val="008F6F7F"/>
    <w:rsid w:val="008F6FEE"/>
    <w:rsid w:val="008F7067"/>
    <w:rsid w:val="008F72F3"/>
    <w:rsid w:val="008F7639"/>
    <w:rsid w:val="008F7784"/>
    <w:rsid w:val="008F7AF5"/>
    <w:rsid w:val="008F7CF4"/>
    <w:rsid w:val="009000D2"/>
    <w:rsid w:val="00900458"/>
    <w:rsid w:val="0090086E"/>
    <w:rsid w:val="00900B9F"/>
    <w:rsid w:val="00900C1D"/>
    <w:rsid w:val="00900D64"/>
    <w:rsid w:val="00901147"/>
    <w:rsid w:val="009013CF"/>
    <w:rsid w:val="00901DC3"/>
    <w:rsid w:val="0090227D"/>
    <w:rsid w:val="00903246"/>
    <w:rsid w:val="00903343"/>
    <w:rsid w:val="00903832"/>
    <w:rsid w:val="00903EF5"/>
    <w:rsid w:val="009048FD"/>
    <w:rsid w:val="00904BA2"/>
    <w:rsid w:val="00905321"/>
    <w:rsid w:val="009053BA"/>
    <w:rsid w:val="009055CE"/>
    <w:rsid w:val="00905711"/>
    <w:rsid w:val="00905BC2"/>
    <w:rsid w:val="00905D63"/>
    <w:rsid w:val="00905D96"/>
    <w:rsid w:val="0090606D"/>
    <w:rsid w:val="009060EC"/>
    <w:rsid w:val="00906278"/>
    <w:rsid w:val="0090657C"/>
    <w:rsid w:val="00906946"/>
    <w:rsid w:val="00906D80"/>
    <w:rsid w:val="00906E0A"/>
    <w:rsid w:val="0090767E"/>
    <w:rsid w:val="00907BB0"/>
    <w:rsid w:val="00907C87"/>
    <w:rsid w:val="00910482"/>
    <w:rsid w:val="009110C0"/>
    <w:rsid w:val="009111EE"/>
    <w:rsid w:val="00911BE6"/>
    <w:rsid w:val="00911D2D"/>
    <w:rsid w:val="00911F22"/>
    <w:rsid w:val="00911FA3"/>
    <w:rsid w:val="00912126"/>
    <w:rsid w:val="009138D9"/>
    <w:rsid w:val="00913B65"/>
    <w:rsid w:val="00913D99"/>
    <w:rsid w:val="009152EA"/>
    <w:rsid w:val="00915D46"/>
    <w:rsid w:val="00916145"/>
    <w:rsid w:val="0091641A"/>
    <w:rsid w:val="009165AD"/>
    <w:rsid w:val="00916E8E"/>
    <w:rsid w:val="00916EA8"/>
    <w:rsid w:val="009173B2"/>
    <w:rsid w:val="00917849"/>
    <w:rsid w:val="0092070A"/>
    <w:rsid w:val="00920EA2"/>
    <w:rsid w:val="00921749"/>
    <w:rsid w:val="00921D84"/>
    <w:rsid w:val="00921FC6"/>
    <w:rsid w:val="009223E4"/>
    <w:rsid w:val="00922A6E"/>
    <w:rsid w:val="00922BBB"/>
    <w:rsid w:val="00923516"/>
    <w:rsid w:val="00923B0C"/>
    <w:rsid w:val="00923F6B"/>
    <w:rsid w:val="00923FCB"/>
    <w:rsid w:val="0092459F"/>
    <w:rsid w:val="009247CC"/>
    <w:rsid w:val="0092536C"/>
    <w:rsid w:val="0092544F"/>
    <w:rsid w:val="00925673"/>
    <w:rsid w:val="00925D40"/>
    <w:rsid w:val="00925EB4"/>
    <w:rsid w:val="00926A2E"/>
    <w:rsid w:val="00927320"/>
    <w:rsid w:val="00927455"/>
    <w:rsid w:val="0092751D"/>
    <w:rsid w:val="0092782C"/>
    <w:rsid w:val="009279AD"/>
    <w:rsid w:val="00927A61"/>
    <w:rsid w:val="00927C78"/>
    <w:rsid w:val="00927CF8"/>
    <w:rsid w:val="00930017"/>
    <w:rsid w:val="0093068C"/>
    <w:rsid w:val="009306C4"/>
    <w:rsid w:val="00930FDF"/>
    <w:rsid w:val="00931123"/>
    <w:rsid w:val="00931135"/>
    <w:rsid w:val="009311C4"/>
    <w:rsid w:val="00931D5A"/>
    <w:rsid w:val="00932B3F"/>
    <w:rsid w:val="00933168"/>
    <w:rsid w:val="009339E0"/>
    <w:rsid w:val="00933B67"/>
    <w:rsid w:val="00933C83"/>
    <w:rsid w:val="00933C95"/>
    <w:rsid w:val="00933EBD"/>
    <w:rsid w:val="00933F1D"/>
    <w:rsid w:val="0093527B"/>
    <w:rsid w:val="009353A4"/>
    <w:rsid w:val="00935A59"/>
    <w:rsid w:val="00935FE7"/>
    <w:rsid w:val="009370CA"/>
    <w:rsid w:val="0093778A"/>
    <w:rsid w:val="00942052"/>
    <w:rsid w:val="00942B04"/>
    <w:rsid w:val="00942C67"/>
    <w:rsid w:val="0094365F"/>
    <w:rsid w:val="00943736"/>
    <w:rsid w:val="00943771"/>
    <w:rsid w:val="00943844"/>
    <w:rsid w:val="0094391A"/>
    <w:rsid w:val="00944385"/>
    <w:rsid w:val="009446FF"/>
    <w:rsid w:val="00944B28"/>
    <w:rsid w:val="00945950"/>
    <w:rsid w:val="00945D0C"/>
    <w:rsid w:val="009463C4"/>
    <w:rsid w:val="0094659B"/>
    <w:rsid w:val="00946C68"/>
    <w:rsid w:val="00947424"/>
    <w:rsid w:val="009477E5"/>
    <w:rsid w:val="009477F3"/>
    <w:rsid w:val="0094796E"/>
    <w:rsid w:val="00947B08"/>
    <w:rsid w:val="0095006E"/>
    <w:rsid w:val="009516C4"/>
    <w:rsid w:val="009520C1"/>
    <w:rsid w:val="009520E7"/>
    <w:rsid w:val="00952213"/>
    <w:rsid w:val="00952512"/>
    <w:rsid w:val="00952A17"/>
    <w:rsid w:val="00952D17"/>
    <w:rsid w:val="00953300"/>
    <w:rsid w:val="009533AF"/>
    <w:rsid w:val="00953552"/>
    <w:rsid w:val="00954780"/>
    <w:rsid w:val="009547AB"/>
    <w:rsid w:val="00954A0B"/>
    <w:rsid w:val="00954A92"/>
    <w:rsid w:val="00954B48"/>
    <w:rsid w:val="009561BC"/>
    <w:rsid w:val="009562D5"/>
    <w:rsid w:val="00956329"/>
    <w:rsid w:val="009566A1"/>
    <w:rsid w:val="009567C2"/>
    <w:rsid w:val="00956B68"/>
    <w:rsid w:val="009603E1"/>
    <w:rsid w:val="00960416"/>
    <w:rsid w:val="0096056C"/>
    <w:rsid w:val="00960C8A"/>
    <w:rsid w:val="00960D4A"/>
    <w:rsid w:val="00961524"/>
    <w:rsid w:val="00961ACB"/>
    <w:rsid w:val="009635E5"/>
    <w:rsid w:val="0096387C"/>
    <w:rsid w:val="00963C7F"/>
    <w:rsid w:val="00964286"/>
    <w:rsid w:val="009642D0"/>
    <w:rsid w:val="009643AB"/>
    <w:rsid w:val="00964605"/>
    <w:rsid w:val="009647CE"/>
    <w:rsid w:val="009648D9"/>
    <w:rsid w:val="009652BA"/>
    <w:rsid w:val="00965C79"/>
    <w:rsid w:val="009660EE"/>
    <w:rsid w:val="0096684B"/>
    <w:rsid w:val="00966BFC"/>
    <w:rsid w:val="00966CC5"/>
    <w:rsid w:val="00966EB2"/>
    <w:rsid w:val="00967231"/>
    <w:rsid w:val="00967C64"/>
    <w:rsid w:val="00970885"/>
    <w:rsid w:val="0097103F"/>
    <w:rsid w:val="009712C3"/>
    <w:rsid w:val="009712D8"/>
    <w:rsid w:val="0097170B"/>
    <w:rsid w:val="00971C4D"/>
    <w:rsid w:val="00972174"/>
    <w:rsid w:val="00972912"/>
    <w:rsid w:val="00972CB6"/>
    <w:rsid w:val="0097360B"/>
    <w:rsid w:val="0097407C"/>
    <w:rsid w:val="00974B2E"/>
    <w:rsid w:val="00974E9E"/>
    <w:rsid w:val="00975219"/>
    <w:rsid w:val="0097617E"/>
    <w:rsid w:val="009768F3"/>
    <w:rsid w:val="0097709B"/>
    <w:rsid w:val="009771E9"/>
    <w:rsid w:val="009776CF"/>
    <w:rsid w:val="0097788F"/>
    <w:rsid w:val="00977A5B"/>
    <w:rsid w:val="00977B8F"/>
    <w:rsid w:val="00980142"/>
    <w:rsid w:val="00980C97"/>
    <w:rsid w:val="009811AC"/>
    <w:rsid w:val="00981510"/>
    <w:rsid w:val="0098157C"/>
    <w:rsid w:val="00981DE5"/>
    <w:rsid w:val="00982398"/>
    <w:rsid w:val="009823DE"/>
    <w:rsid w:val="00982761"/>
    <w:rsid w:val="0098280B"/>
    <w:rsid w:val="009828E4"/>
    <w:rsid w:val="00982B47"/>
    <w:rsid w:val="00982CB6"/>
    <w:rsid w:val="00983973"/>
    <w:rsid w:val="00983AA1"/>
    <w:rsid w:val="0098417E"/>
    <w:rsid w:val="0098438E"/>
    <w:rsid w:val="00984978"/>
    <w:rsid w:val="00984C0A"/>
    <w:rsid w:val="00984D66"/>
    <w:rsid w:val="00984EB9"/>
    <w:rsid w:val="00985812"/>
    <w:rsid w:val="00985AC6"/>
    <w:rsid w:val="00985BDE"/>
    <w:rsid w:val="00986505"/>
    <w:rsid w:val="0098684D"/>
    <w:rsid w:val="00986B48"/>
    <w:rsid w:val="00986BD6"/>
    <w:rsid w:val="00986C92"/>
    <w:rsid w:val="00986E9D"/>
    <w:rsid w:val="00987567"/>
    <w:rsid w:val="00987CA4"/>
    <w:rsid w:val="00987E46"/>
    <w:rsid w:val="00990EE4"/>
    <w:rsid w:val="0099139D"/>
    <w:rsid w:val="0099163E"/>
    <w:rsid w:val="009916D8"/>
    <w:rsid w:val="0099189A"/>
    <w:rsid w:val="00991AA3"/>
    <w:rsid w:val="00992370"/>
    <w:rsid w:val="0099237B"/>
    <w:rsid w:val="009924EA"/>
    <w:rsid w:val="00992CCA"/>
    <w:rsid w:val="00992D2F"/>
    <w:rsid w:val="00992EF9"/>
    <w:rsid w:val="00993C8C"/>
    <w:rsid w:val="00993D22"/>
    <w:rsid w:val="009943E8"/>
    <w:rsid w:val="0099443C"/>
    <w:rsid w:val="009951E7"/>
    <w:rsid w:val="009954AE"/>
    <w:rsid w:val="00995617"/>
    <w:rsid w:val="00995716"/>
    <w:rsid w:val="00995861"/>
    <w:rsid w:val="009958E3"/>
    <w:rsid w:val="0099596A"/>
    <w:rsid w:val="00995AA5"/>
    <w:rsid w:val="00995D99"/>
    <w:rsid w:val="009961F3"/>
    <w:rsid w:val="009969DD"/>
    <w:rsid w:val="009971F6"/>
    <w:rsid w:val="0099782E"/>
    <w:rsid w:val="00997B0D"/>
    <w:rsid w:val="00997CD8"/>
    <w:rsid w:val="009A0129"/>
    <w:rsid w:val="009A0800"/>
    <w:rsid w:val="009A1DC8"/>
    <w:rsid w:val="009A1F81"/>
    <w:rsid w:val="009A20A6"/>
    <w:rsid w:val="009A2207"/>
    <w:rsid w:val="009A22C5"/>
    <w:rsid w:val="009A23A3"/>
    <w:rsid w:val="009A25A5"/>
    <w:rsid w:val="009A27BF"/>
    <w:rsid w:val="009A31B6"/>
    <w:rsid w:val="009A31C7"/>
    <w:rsid w:val="009A3579"/>
    <w:rsid w:val="009A38B9"/>
    <w:rsid w:val="009A3951"/>
    <w:rsid w:val="009A3CF2"/>
    <w:rsid w:val="009A4069"/>
    <w:rsid w:val="009A428D"/>
    <w:rsid w:val="009A4914"/>
    <w:rsid w:val="009A5151"/>
    <w:rsid w:val="009A5342"/>
    <w:rsid w:val="009A618C"/>
    <w:rsid w:val="009A623E"/>
    <w:rsid w:val="009A63B8"/>
    <w:rsid w:val="009A699A"/>
    <w:rsid w:val="009A69E5"/>
    <w:rsid w:val="009A6D6B"/>
    <w:rsid w:val="009A716C"/>
    <w:rsid w:val="009A722D"/>
    <w:rsid w:val="009A75B6"/>
    <w:rsid w:val="009A7A97"/>
    <w:rsid w:val="009A7CD1"/>
    <w:rsid w:val="009B0203"/>
    <w:rsid w:val="009B02F4"/>
    <w:rsid w:val="009B050E"/>
    <w:rsid w:val="009B081A"/>
    <w:rsid w:val="009B09E1"/>
    <w:rsid w:val="009B0FC4"/>
    <w:rsid w:val="009B1630"/>
    <w:rsid w:val="009B180E"/>
    <w:rsid w:val="009B19DF"/>
    <w:rsid w:val="009B1C53"/>
    <w:rsid w:val="009B1D36"/>
    <w:rsid w:val="009B20DB"/>
    <w:rsid w:val="009B265F"/>
    <w:rsid w:val="009B27C5"/>
    <w:rsid w:val="009B286B"/>
    <w:rsid w:val="009B29C6"/>
    <w:rsid w:val="009B2E4D"/>
    <w:rsid w:val="009B32BD"/>
    <w:rsid w:val="009B3DBF"/>
    <w:rsid w:val="009B4371"/>
    <w:rsid w:val="009B4617"/>
    <w:rsid w:val="009B47C7"/>
    <w:rsid w:val="009B508E"/>
    <w:rsid w:val="009B5716"/>
    <w:rsid w:val="009B5817"/>
    <w:rsid w:val="009B5ED7"/>
    <w:rsid w:val="009B601B"/>
    <w:rsid w:val="009B6B0F"/>
    <w:rsid w:val="009B6D6F"/>
    <w:rsid w:val="009B6D7A"/>
    <w:rsid w:val="009B70B1"/>
    <w:rsid w:val="009B771C"/>
    <w:rsid w:val="009B7ECB"/>
    <w:rsid w:val="009C0036"/>
    <w:rsid w:val="009C0560"/>
    <w:rsid w:val="009C05C5"/>
    <w:rsid w:val="009C08BB"/>
    <w:rsid w:val="009C0C20"/>
    <w:rsid w:val="009C1036"/>
    <w:rsid w:val="009C14AB"/>
    <w:rsid w:val="009C1793"/>
    <w:rsid w:val="009C189E"/>
    <w:rsid w:val="009C1FE6"/>
    <w:rsid w:val="009C24CD"/>
    <w:rsid w:val="009C2603"/>
    <w:rsid w:val="009C283F"/>
    <w:rsid w:val="009C293E"/>
    <w:rsid w:val="009C29A7"/>
    <w:rsid w:val="009C2B3F"/>
    <w:rsid w:val="009C2CB9"/>
    <w:rsid w:val="009C307F"/>
    <w:rsid w:val="009C3E86"/>
    <w:rsid w:val="009C478F"/>
    <w:rsid w:val="009C4F67"/>
    <w:rsid w:val="009C4FE4"/>
    <w:rsid w:val="009C523F"/>
    <w:rsid w:val="009C5367"/>
    <w:rsid w:val="009C54AB"/>
    <w:rsid w:val="009C5CB1"/>
    <w:rsid w:val="009C5DB1"/>
    <w:rsid w:val="009C63F6"/>
    <w:rsid w:val="009C64AD"/>
    <w:rsid w:val="009C66B2"/>
    <w:rsid w:val="009C68B4"/>
    <w:rsid w:val="009C6934"/>
    <w:rsid w:val="009C6C21"/>
    <w:rsid w:val="009C6DA6"/>
    <w:rsid w:val="009C6F47"/>
    <w:rsid w:val="009C71EA"/>
    <w:rsid w:val="009C79AB"/>
    <w:rsid w:val="009C7AF4"/>
    <w:rsid w:val="009C7B09"/>
    <w:rsid w:val="009C7CFA"/>
    <w:rsid w:val="009C7D95"/>
    <w:rsid w:val="009D07A5"/>
    <w:rsid w:val="009D0842"/>
    <w:rsid w:val="009D086C"/>
    <w:rsid w:val="009D13A7"/>
    <w:rsid w:val="009D176C"/>
    <w:rsid w:val="009D1A85"/>
    <w:rsid w:val="009D1BF3"/>
    <w:rsid w:val="009D1E14"/>
    <w:rsid w:val="009D1EB8"/>
    <w:rsid w:val="009D27C0"/>
    <w:rsid w:val="009D2CF1"/>
    <w:rsid w:val="009D3210"/>
    <w:rsid w:val="009D326B"/>
    <w:rsid w:val="009D3629"/>
    <w:rsid w:val="009D3807"/>
    <w:rsid w:val="009D39B5"/>
    <w:rsid w:val="009D3B99"/>
    <w:rsid w:val="009D4825"/>
    <w:rsid w:val="009D4930"/>
    <w:rsid w:val="009D4FF1"/>
    <w:rsid w:val="009D55AA"/>
    <w:rsid w:val="009D5957"/>
    <w:rsid w:val="009D5FA1"/>
    <w:rsid w:val="009D696C"/>
    <w:rsid w:val="009D6DAB"/>
    <w:rsid w:val="009D6F33"/>
    <w:rsid w:val="009D6FBA"/>
    <w:rsid w:val="009D7521"/>
    <w:rsid w:val="009D77E9"/>
    <w:rsid w:val="009D79B5"/>
    <w:rsid w:val="009E0323"/>
    <w:rsid w:val="009E049D"/>
    <w:rsid w:val="009E0902"/>
    <w:rsid w:val="009E11E9"/>
    <w:rsid w:val="009E14EB"/>
    <w:rsid w:val="009E1825"/>
    <w:rsid w:val="009E1AEB"/>
    <w:rsid w:val="009E213C"/>
    <w:rsid w:val="009E22E5"/>
    <w:rsid w:val="009E236C"/>
    <w:rsid w:val="009E286E"/>
    <w:rsid w:val="009E3045"/>
    <w:rsid w:val="009E323A"/>
    <w:rsid w:val="009E344D"/>
    <w:rsid w:val="009E36A1"/>
    <w:rsid w:val="009E36E6"/>
    <w:rsid w:val="009E3E57"/>
    <w:rsid w:val="009E419E"/>
    <w:rsid w:val="009E466E"/>
    <w:rsid w:val="009E50F5"/>
    <w:rsid w:val="009E52A4"/>
    <w:rsid w:val="009E5339"/>
    <w:rsid w:val="009E5417"/>
    <w:rsid w:val="009E5709"/>
    <w:rsid w:val="009E5E1F"/>
    <w:rsid w:val="009E6F27"/>
    <w:rsid w:val="009E7289"/>
    <w:rsid w:val="009F005B"/>
    <w:rsid w:val="009F0576"/>
    <w:rsid w:val="009F063E"/>
    <w:rsid w:val="009F0781"/>
    <w:rsid w:val="009F0C52"/>
    <w:rsid w:val="009F169B"/>
    <w:rsid w:val="009F1726"/>
    <w:rsid w:val="009F1C32"/>
    <w:rsid w:val="009F245A"/>
    <w:rsid w:val="009F2F07"/>
    <w:rsid w:val="009F2FB3"/>
    <w:rsid w:val="009F30BC"/>
    <w:rsid w:val="009F318C"/>
    <w:rsid w:val="009F3809"/>
    <w:rsid w:val="009F381F"/>
    <w:rsid w:val="009F43CB"/>
    <w:rsid w:val="009F47F0"/>
    <w:rsid w:val="009F4837"/>
    <w:rsid w:val="009F4A87"/>
    <w:rsid w:val="009F53F1"/>
    <w:rsid w:val="009F62FC"/>
    <w:rsid w:val="009F68AB"/>
    <w:rsid w:val="009F6F0E"/>
    <w:rsid w:val="009F7513"/>
    <w:rsid w:val="009F7525"/>
    <w:rsid w:val="009F7984"/>
    <w:rsid w:val="009F7BF9"/>
    <w:rsid w:val="009F7ED5"/>
    <w:rsid w:val="00A00064"/>
    <w:rsid w:val="00A0077C"/>
    <w:rsid w:val="00A00B80"/>
    <w:rsid w:val="00A031D6"/>
    <w:rsid w:val="00A03229"/>
    <w:rsid w:val="00A03431"/>
    <w:rsid w:val="00A0399E"/>
    <w:rsid w:val="00A0405E"/>
    <w:rsid w:val="00A04081"/>
    <w:rsid w:val="00A04616"/>
    <w:rsid w:val="00A049C3"/>
    <w:rsid w:val="00A04B66"/>
    <w:rsid w:val="00A051C0"/>
    <w:rsid w:val="00A05409"/>
    <w:rsid w:val="00A05958"/>
    <w:rsid w:val="00A05A4B"/>
    <w:rsid w:val="00A05BC3"/>
    <w:rsid w:val="00A05D00"/>
    <w:rsid w:val="00A0609A"/>
    <w:rsid w:val="00A06B79"/>
    <w:rsid w:val="00A06D2F"/>
    <w:rsid w:val="00A07203"/>
    <w:rsid w:val="00A07AC4"/>
    <w:rsid w:val="00A07B94"/>
    <w:rsid w:val="00A07BCD"/>
    <w:rsid w:val="00A07FF9"/>
    <w:rsid w:val="00A101F0"/>
    <w:rsid w:val="00A10731"/>
    <w:rsid w:val="00A10A1E"/>
    <w:rsid w:val="00A10E51"/>
    <w:rsid w:val="00A10EA4"/>
    <w:rsid w:val="00A116AE"/>
    <w:rsid w:val="00A12034"/>
    <w:rsid w:val="00A124B4"/>
    <w:rsid w:val="00A132B1"/>
    <w:rsid w:val="00A13441"/>
    <w:rsid w:val="00A13B7F"/>
    <w:rsid w:val="00A13B94"/>
    <w:rsid w:val="00A13D21"/>
    <w:rsid w:val="00A14153"/>
    <w:rsid w:val="00A14EE2"/>
    <w:rsid w:val="00A15375"/>
    <w:rsid w:val="00A15496"/>
    <w:rsid w:val="00A15753"/>
    <w:rsid w:val="00A160B2"/>
    <w:rsid w:val="00A16102"/>
    <w:rsid w:val="00A16237"/>
    <w:rsid w:val="00A16710"/>
    <w:rsid w:val="00A16CCF"/>
    <w:rsid w:val="00A17606"/>
    <w:rsid w:val="00A17874"/>
    <w:rsid w:val="00A17A1F"/>
    <w:rsid w:val="00A20E6B"/>
    <w:rsid w:val="00A210D7"/>
    <w:rsid w:val="00A21360"/>
    <w:rsid w:val="00A21401"/>
    <w:rsid w:val="00A21580"/>
    <w:rsid w:val="00A21956"/>
    <w:rsid w:val="00A21AFC"/>
    <w:rsid w:val="00A21D3A"/>
    <w:rsid w:val="00A21F87"/>
    <w:rsid w:val="00A223BE"/>
    <w:rsid w:val="00A22654"/>
    <w:rsid w:val="00A22EAC"/>
    <w:rsid w:val="00A23893"/>
    <w:rsid w:val="00A23A14"/>
    <w:rsid w:val="00A23B80"/>
    <w:rsid w:val="00A23CB1"/>
    <w:rsid w:val="00A2404C"/>
    <w:rsid w:val="00A24058"/>
    <w:rsid w:val="00A243AC"/>
    <w:rsid w:val="00A24425"/>
    <w:rsid w:val="00A245E9"/>
    <w:rsid w:val="00A2477E"/>
    <w:rsid w:val="00A24C83"/>
    <w:rsid w:val="00A25064"/>
    <w:rsid w:val="00A25484"/>
    <w:rsid w:val="00A255CC"/>
    <w:rsid w:val="00A25718"/>
    <w:rsid w:val="00A26284"/>
    <w:rsid w:val="00A264CE"/>
    <w:rsid w:val="00A26A71"/>
    <w:rsid w:val="00A26BEB"/>
    <w:rsid w:val="00A26F1A"/>
    <w:rsid w:val="00A26FCF"/>
    <w:rsid w:val="00A2708F"/>
    <w:rsid w:val="00A27165"/>
    <w:rsid w:val="00A27316"/>
    <w:rsid w:val="00A27444"/>
    <w:rsid w:val="00A2793F"/>
    <w:rsid w:val="00A279F0"/>
    <w:rsid w:val="00A27AF8"/>
    <w:rsid w:val="00A27CBB"/>
    <w:rsid w:val="00A27F5B"/>
    <w:rsid w:val="00A3022B"/>
    <w:rsid w:val="00A30662"/>
    <w:rsid w:val="00A30FD7"/>
    <w:rsid w:val="00A311C9"/>
    <w:rsid w:val="00A313FA"/>
    <w:rsid w:val="00A3148F"/>
    <w:rsid w:val="00A31523"/>
    <w:rsid w:val="00A32C07"/>
    <w:rsid w:val="00A32D31"/>
    <w:rsid w:val="00A32DC6"/>
    <w:rsid w:val="00A32E4B"/>
    <w:rsid w:val="00A33059"/>
    <w:rsid w:val="00A3332C"/>
    <w:rsid w:val="00A33BCF"/>
    <w:rsid w:val="00A33F28"/>
    <w:rsid w:val="00A33F29"/>
    <w:rsid w:val="00A34434"/>
    <w:rsid w:val="00A3444B"/>
    <w:rsid w:val="00A34626"/>
    <w:rsid w:val="00A348F2"/>
    <w:rsid w:val="00A35428"/>
    <w:rsid w:val="00A3542A"/>
    <w:rsid w:val="00A35B54"/>
    <w:rsid w:val="00A35D00"/>
    <w:rsid w:val="00A35DB1"/>
    <w:rsid w:val="00A3614B"/>
    <w:rsid w:val="00A37125"/>
    <w:rsid w:val="00A376C0"/>
    <w:rsid w:val="00A37D2F"/>
    <w:rsid w:val="00A406C0"/>
    <w:rsid w:val="00A4167B"/>
    <w:rsid w:val="00A416A8"/>
    <w:rsid w:val="00A419BA"/>
    <w:rsid w:val="00A424C2"/>
    <w:rsid w:val="00A426A3"/>
    <w:rsid w:val="00A4288F"/>
    <w:rsid w:val="00A42BB1"/>
    <w:rsid w:val="00A42C69"/>
    <w:rsid w:val="00A42EAA"/>
    <w:rsid w:val="00A42FA0"/>
    <w:rsid w:val="00A4309E"/>
    <w:rsid w:val="00A4323C"/>
    <w:rsid w:val="00A436B4"/>
    <w:rsid w:val="00A4471C"/>
    <w:rsid w:val="00A449C2"/>
    <w:rsid w:val="00A44AE7"/>
    <w:rsid w:val="00A44FE8"/>
    <w:rsid w:val="00A450E1"/>
    <w:rsid w:val="00A45968"/>
    <w:rsid w:val="00A45D9A"/>
    <w:rsid w:val="00A4604F"/>
    <w:rsid w:val="00A4611E"/>
    <w:rsid w:val="00A46447"/>
    <w:rsid w:val="00A4653B"/>
    <w:rsid w:val="00A46602"/>
    <w:rsid w:val="00A468D7"/>
    <w:rsid w:val="00A46C92"/>
    <w:rsid w:val="00A46E3E"/>
    <w:rsid w:val="00A4735E"/>
    <w:rsid w:val="00A47476"/>
    <w:rsid w:val="00A47ADB"/>
    <w:rsid w:val="00A47ECE"/>
    <w:rsid w:val="00A47F3B"/>
    <w:rsid w:val="00A500C2"/>
    <w:rsid w:val="00A514EC"/>
    <w:rsid w:val="00A515B7"/>
    <w:rsid w:val="00A51862"/>
    <w:rsid w:val="00A51A5E"/>
    <w:rsid w:val="00A51FF9"/>
    <w:rsid w:val="00A5200C"/>
    <w:rsid w:val="00A52F5C"/>
    <w:rsid w:val="00A5301C"/>
    <w:rsid w:val="00A538D7"/>
    <w:rsid w:val="00A5397E"/>
    <w:rsid w:val="00A53A50"/>
    <w:rsid w:val="00A53BF0"/>
    <w:rsid w:val="00A54154"/>
    <w:rsid w:val="00A54219"/>
    <w:rsid w:val="00A54731"/>
    <w:rsid w:val="00A54C30"/>
    <w:rsid w:val="00A54CA1"/>
    <w:rsid w:val="00A550C7"/>
    <w:rsid w:val="00A55369"/>
    <w:rsid w:val="00A5567B"/>
    <w:rsid w:val="00A55B9F"/>
    <w:rsid w:val="00A55D74"/>
    <w:rsid w:val="00A55E82"/>
    <w:rsid w:val="00A5665E"/>
    <w:rsid w:val="00A5770B"/>
    <w:rsid w:val="00A57934"/>
    <w:rsid w:val="00A6017B"/>
    <w:rsid w:val="00A60181"/>
    <w:rsid w:val="00A60641"/>
    <w:rsid w:val="00A6091A"/>
    <w:rsid w:val="00A60BBB"/>
    <w:rsid w:val="00A623B0"/>
    <w:rsid w:val="00A62CD3"/>
    <w:rsid w:val="00A62E63"/>
    <w:rsid w:val="00A6302A"/>
    <w:rsid w:val="00A63FFD"/>
    <w:rsid w:val="00A64237"/>
    <w:rsid w:val="00A64733"/>
    <w:rsid w:val="00A64B4E"/>
    <w:rsid w:val="00A652A4"/>
    <w:rsid w:val="00A66311"/>
    <w:rsid w:val="00A67499"/>
    <w:rsid w:val="00A6751F"/>
    <w:rsid w:val="00A6797F"/>
    <w:rsid w:val="00A67F7B"/>
    <w:rsid w:val="00A701C7"/>
    <w:rsid w:val="00A70CB5"/>
    <w:rsid w:val="00A71A67"/>
    <w:rsid w:val="00A71E15"/>
    <w:rsid w:val="00A71E4A"/>
    <w:rsid w:val="00A7267A"/>
    <w:rsid w:val="00A728C9"/>
    <w:rsid w:val="00A728DE"/>
    <w:rsid w:val="00A729C6"/>
    <w:rsid w:val="00A72F7C"/>
    <w:rsid w:val="00A731ED"/>
    <w:rsid w:val="00A73214"/>
    <w:rsid w:val="00A737E2"/>
    <w:rsid w:val="00A73C1E"/>
    <w:rsid w:val="00A7423B"/>
    <w:rsid w:val="00A744A6"/>
    <w:rsid w:val="00A744E6"/>
    <w:rsid w:val="00A745EA"/>
    <w:rsid w:val="00A74641"/>
    <w:rsid w:val="00A74CEE"/>
    <w:rsid w:val="00A758F9"/>
    <w:rsid w:val="00A75AFA"/>
    <w:rsid w:val="00A76611"/>
    <w:rsid w:val="00A76719"/>
    <w:rsid w:val="00A76DF6"/>
    <w:rsid w:val="00A77C06"/>
    <w:rsid w:val="00A80AAF"/>
    <w:rsid w:val="00A80BD2"/>
    <w:rsid w:val="00A80BFE"/>
    <w:rsid w:val="00A80C5E"/>
    <w:rsid w:val="00A81141"/>
    <w:rsid w:val="00A81348"/>
    <w:rsid w:val="00A81466"/>
    <w:rsid w:val="00A81D3B"/>
    <w:rsid w:val="00A820A6"/>
    <w:rsid w:val="00A82F17"/>
    <w:rsid w:val="00A83945"/>
    <w:rsid w:val="00A83D44"/>
    <w:rsid w:val="00A83EAE"/>
    <w:rsid w:val="00A83FB8"/>
    <w:rsid w:val="00A841C7"/>
    <w:rsid w:val="00A84CF8"/>
    <w:rsid w:val="00A85146"/>
    <w:rsid w:val="00A86529"/>
    <w:rsid w:val="00A8670F"/>
    <w:rsid w:val="00A86C3B"/>
    <w:rsid w:val="00A86F10"/>
    <w:rsid w:val="00A87711"/>
    <w:rsid w:val="00A87767"/>
    <w:rsid w:val="00A87B7B"/>
    <w:rsid w:val="00A87BF2"/>
    <w:rsid w:val="00A87E61"/>
    <w:rsid w:val="00A87FD7"/>
    <w:rsid w:val="00A907BA"/>
    <w:rsid w:val="00A908AD"/>
    <w:rsid w:val="00A90C61"/>
    <w:rsid w:val="00A90DCE"/>
    <w:rsid w:val="00A911DB"/>
    <w:rsid w:val="00A91911"/>
    <w:rsid w:val="00A91AB6"/>
    <w:rsid w:val="00A92059"/>
    <w:rsid w:val="00A92374"/>
    <w:rsid w:val="00A923AC"/>
    <w:rsid w:val="00A9272B"/>
    <w:rsid w:val="00A92E55"/>
    <w:rsid w:val="00A930E4"/>
    <w:rsid w:val="00A93492"/>
    <w:rsid w:val="00A934EA"/>
    <w:rsid w:val="00A937E3"/>
    <w:rsid w:val="00A9391E"/>
    <w:rsid w:val="00A93F17"/>
    <w:rsid w:val="00A947FC"/>
    <w:rsid w:val="00A94820"/>
    <w:rsid w:val="00A948C9"/>
    <w:rsid w:val="00A948DC"/>
    <w:rsid w:val="00A950CC"/>
    <w:rsid w:val="00A95119"/>
    <w:rsid w:val="00A95411"/>
    <w:rsid w:val="00A9604E"/>
    <w:rsid w:val="00A9704F"/>
    <w:rsid w:val="00A971CD"/>
    <w:rsid w:val="00A974E3"/>
    <w:rsid w:val="00A97D3D"/>
    <w:rsid w:val="00AA0062"/>
    <w:rsid w:val="00AA051F"/>
    <w:rsid w:val="00AA120D"/>
    <w:rsid w:val="00AA120F"/>
    <w:rsid w:val="00AA12B1"/>
    <w:rsid w:val="00AA1401"/>
    <w:rsid w:val="00AA1AD8"/>
    <w:rsid w:val="00AA1BD7"/>
    <w:rsid w:val="00AA1D1B"/>
    <w:rsid w:val="00AA1F61"/>
    <w:rsid w:val="00AA2068"/>
    <w:rsid w:val="00AA25B0"/>
    <w:rsid w:val="00AA26C9"/>
    <w:rsid w:val="00AA30EF"/>
    <w:rsid w:val="00AA33E4"/>
    <w:rsid w:val="00AA33FC"/>
    <w:rsid w:val="00AA35EE"/>
    <w:rsid w:val="00AA3689"/>
    <w:rsid w:val="00AA38BF"/>
    <w:rsid w:val="00AA39E0"/>
    <w:rsid w:val="00AA3B86"/>
    <w:rsid w:val="00AA3C2E"/>
    <w:rsid w:val="00AA3CD5"/>
    <w:rsid w:val="00AA45A8"/>
    <w:rsid w:val="00AA4776"/>
    <w:rsid w:val="00AA4E3C"/>
    <w:rsid w:val="00AA4EE1"/>
    <w:rsid w:val="00AA4FDC"/>
    <w:rsid w:val="00AA52D9"/>
    <w:rsid w:val="00AA55F2"/>
    <w:rsid w:val="00AA5745"/>
    <w:rsid w:val="00AA59B0"/>
    <w:rsid w:val="00AA5B7E"/>
    <w:rsid w:val="00AA5B87"/>
    <w:rsid w:val="00AA5EE3"/>
    <w:rsid w:val="00AA6149"/>
    <w:rsid w:val="00AA629A"/>
    <w:rsid w:val="00AA637F"/>
    <w:rsid w:val="00AA6555"/>
    <w:rsid w:val="00AA660C"/>
    <w:rsid w:val="00AA66A1"/>
    <w:rsid w:val="00AA6A0D"/>
    <w:rsid w:val="00AA6DC7"/>
    <w:rsid w:val="00AA71E6"/>
    <w:rsid w:val="00AA737A"/>
    <w:rsid w:val="00AA7828"/>
    <w:rsid w:val="00AB03C5"/>
    <w:rsid w:val="00AB049C"/>
    <w:rsid w:val="00AB09AE"/>
    <w:rsid w:val="00AB0CD3"/>
    <w:rsid w:val="00AB141A"/>
    <w:rsid w:val="00AB14C2"/>
    <w:rsid w:val="00AB150B"/>
    <w:rsid w:val="00AB1AAC"/>
    <w:rsid w:val="00AB1BF8"/>
    <w:rsid w:val="00AB2E19"/>
    <w:rsid w:val="00AB44E1"/>
    <w:rsid w:val="00AB4D31"/>
    <w:rsid w:val="00AB4D7E"/>
    <w:rsid w:val="00AB51B3"/>
    <w:rsid w:val="00AB5435"/>
    <w:rsid w:val="00AB5EAA"/>
    <w:rsid w:val="00AB6222"/>
    <w:rsid w:val="00AB62BB"/>
    <w:rsid w:val="00AB6638"/>
    <w:rsid w:val="00AB7367"/>
    <w:rsid w:val="00AB768A"/>
    <w:rsid w:val="00AB7C14"/>
    <w:rsid w:val="00AB7E2E"/>
    <w:rsid w:val="00AB7EEA"/>
    <w:rsid w:val="00AC02A0"/>
    <w:rsid w:val="00AC03FB"/>
    <w:rsid w:val="00AC069E"/>
    <w:rsid w:val="00AC0BF0"/>
    <w:rsid w:val="00AC0EBB"/>
    <w:rsid w:val="00AC1324"/>
    <w:rsid w:val="00AC1540"/>
    <w:rsid w:val="00AC1E13"/>
    <w:rsid w:val="00AC2747"/>
    <w:rsid w:val="00AC2A52"/>
    <w:rsid w:val="00AC2C02"/>
    <w:rsid w:val="00AC2CC4"/>
    <w:rsid w:val="00AC2D1F"/>
    <w:rsid w:val="00AC31CA"/>
    <w:rsid w:val="00AC3414"/>
    <w:rsid w:val="00AC379D"/>
    <w:rsid w:val="00AC3846"/>
    <w:rsid w:val="00AC3A22"/>
    <w:rsid w:val="00AC3D66"/>
    <w:rsid w:val="00AC43A5"/>
    <w:rsid w:val="00AC4507"/>
    <w:rsid w:val="00AC4697"/>
    <w:rsid w:val="00AC4710"/>
    <w:rsid w:val="00AC48EB"/>
    <w:rsid w:val="00AC4C13"/>
    <w:rsid w:val="00AC52B8"/>
    <w:rsid w:val="00AC54F3"/>
    <w:rsid w:val="00AC577D"/>
    <w:rsid w:val="00AC5782"/>
    <w:rsid w:val="00AC5A79"/>
    <w:rsid w:val="00AC5F65"/>
    <w:rsid w:val="00AC635D"/>
    <w:rsid w:val="00AC6665"/>
    <w:rsid w:val="00AC6F11"/>
    <w:rsid w:val="00AC711B"/>
    <w:rsid w:val="00AC7235"/>
    <w:rsid w:val="00AC7308"/>
    <w:rsid w:val="00AC7386"/>
    <w:rsid w:val="00AC77AA"/>
    <w:rsid w:val="00AD01F8"/>
    <w:rsid w:val="00AD025F"/>
    <w:rsid w:val="00AD02C8"/>
    <w:rsid w:val="00AD0989"/>
    <w:rsid w:val="00AD0A8E"/>
    <w:rsid w:val="00AD1483"/>
    <w:rsid w:val="00AD16B3"/>
    <w:rsid w:val="00AD1AFF"/>
    <w:rsid w:val="00AD1C4B"/>
    <w:rsid w:val="00AD2C36"/>
    <w:rsid w:val="00AD2F4F"/>
    <w:rsid w:val="00AD32E6"/>
    <w:rsid w:val="00AD334C"/>
    <w:rsid w:val="00AD3549"/>
    <w:rsid w:val="00AD36E6"/>
    <w:rsid w:val="00AD423B"/>
    <w:rsid w:val="00AD47B7"/>
    <w:rsid w:val="00AD48E5"/>
    <w:rsid w:val="00AD500C"/>
    <w:rsid w:val="00AD52B8"/>
    <w:rsid w:val="00AD59A5"/>
    <w:rsid w:val="00AD5C70"/>
    <w:rsid w:val="00AD6551"/>
    <w:rsid w:val="00AD6777"/>
    <w:rsid w:val="00AD6825"/>
    <w:rsid w:val="00AD6EE8"/>
    <w:rsid w:val="00AD70CF"/>
    <w:rsid w:val="00AD791E"/>
    <w:rsid w:val="00AD7959"/>
    <w:rsid w:val="00AE0079"/>
    <w:rsid w:val="00AE07AA"/>
    <w:rsid w:val="00AE0A60"/>
    <w:rsid w:val="00AE0D9D"/>
    <w:rsid w:val="00AE14F6"/>
    <w:rsid w:val="00AE26A4"/>
    <w:rsid w:val="00AE2926"/>
    <w:rsid w:val="00AE2EF3"/>
    <w:rsid w:val="00AE3638"/>
    <w:rsid w:val="00AE3A2B"/>
    <w:rsid w:val="00AE3DD9"/>
    <w:rsid w:val="00AE4085"/>
    <w:rsid w:val="00AE4855"/>
    <w:rsid w:val="00AE4BFC"/>
    <w:rsid w:val="00AE4C78"/>
    <w:rsid w:val="00AE5036"/>
    <w:rsid w:val="00AE516F"/>
    <w:rsid w:val="00AE51E8"/>
    <w:rsid w:val="00AE53F4"/>
    <w:rsid w:val="00AE58FF"/>
    <w:rsid w:val="00AE5DE5"/>
    <w:rsid w:val="00AE6AEA"/>
    <w:rsid w:val="00AE6C4A"/>
    <w:rsid w:val="00AE7333"/>
    <w:rsid w:val="00AE739E"/>
    <w:rsid w:val="00AE7997"/>
    <w:rsid w:val="00AE7EDF"/>
    <w:rsid w:val="00AF051E"/>
    <w:rsid w:val="00AF0A2A"/>
    <w:rsid w:val="00AF0DC0"/>
    <w:rsid w:val="00AF10F8"/>
    <w:rsid w:val="00AF1293"/>
    <w:rsid w:val="00AF2A07"/>
    <w:rsid w:val="00AF357A"/>
    <w:rsid w:val="00AF3B16"/>
    <w:rsid w:val="00AF4036"/>
    <w:rsid w:val="00AF4521"/>
    <w:rsid w:val="00AF48B5"/>
    <w:rsid w:val="00AF4B43"/>
    <w:rsid w:val="00AF4EC1"/>
    <w:rsid w:val="00AF51CF"/>
    <w:rsid w:val="00AF5529"/>
    <w:rsid w:val="00AF5868"/>
    <w:rsid w:val="00AF58D7"/>
    <w:rsid w:val="00AF5AE4"/>
    <w:rsid w:val="00AF603C"/>
    <w:rsid w:val="00AF649F"/>
    <w:rsid w:val="00AF64D7"/>
    <w:rsid w:val="00AF74F8"/>
    <w:rsid w:val="00B00684"/>
    <w:rsid w:val="00B00B6B"/>
    <w:rsid w:val="00B00E05"/>
    <w:rsid w:val="00B012C0"/>
    <w:rsid w:val="00B01926"/>
    <w:rsid w:val="00B01A38"/>
    <w:rsid w:val="00B01AE5"/>
    <w:rsid w:val="00B01B26"/>
    <w:rsid w:val="00B01F36"/>
    <w:rsid w:val="00B02856"/>
    <w:rsid w:val="00B02B26"/>
    <w:rsid w:val="00B02DF1"/>
    <w:rsid w:val="00B02FB8"/>
    <w:rsid w:val="00B03279"/>
    <w:rsid w:val="00B03763"/>
    <w:rsid w:val="00B03782"/>
    <w:rsid w:val="00B037C1"/>
    <w:rsid w:val="00B037E0"/>
    <w:rsid w:val="00B0388F"/>
    <w:rsid w:val="00B038F3"/>
    <w:rsid w:val="00B03942"/>
    <w:rsid w:val="00B03B0C"/>
    <w:rsid w:val="00B03C8F"/>
    <w:rsid w:val="00B04177"/>
    <w:rsid w:val="00B04241"/>
    <w:rsid w:val="00B04F61"/>
    <w:rsid w:val="00B058B9"/>
    <w:rsid w:val="00B059A7"/>
    <w:rsid w:val="00B05B46"/>
    <w:rsid w:val="00B064D5"/>
    <w:rsid w:val="00B06A23"/>
    <w:rsid w:val="00B077CF"/>
    <w:rsid w:val="00B10587"/>
    <w:rsid w:val="00B10C02"/>
    <w:rsid w:val="00B10CB0"/>
    <w:rsid w:val="00B115A3"/>
    <w:rsid w:val="00B11DC2"/>
    <w:rsid w:val="00B11E9F"/>
    <w:rsid w:val="00B121A2"/>
    <w:rsid w:val="00B12E29"/>
    <w:rsid w:val="00B12F05"/>
    <w:rsid w:val="00B139C4"/>
    <w:rsid w:val="00B13B05"/>
    <w:rsid w:val="00B1404B"/>
    <w:rsid w:val="00B141C8"/>
    <w:rsid w:val="00B1443C"/>
    <w:rsid w:val="00B1488A"/>
    <w:rsid w:val="00B148EC"/>
    <w:rsid w:val="00B149C2"/>
    <w:rsid w:val="00B14C88"/>
    <w:rsid w:val="00B15AB7"/>
    <w:rsid w:val="00B15E9E"/>
    <w:rsid w:val="00B1631E"/>
    <w:rsid w:val="00B1638C"/>
    <w:rsid w:val="00B1666E"/>
    <w:rsid w:val="00B1709C"/>
    <w:rsid w:val="00B171A0"/>
    <w:rsid w:val="00B1741F"/>
    <w:rsid w:val="00B17739"/>
    <w:rsid w:val="00B202EB"/>
    <w:rsid w:val="00B2053F"/>
    <w:rsid w:val="00B20886"/>
    <w:rsid w:val="00B20912"/>
    <w:rsid w:val="00B20980"/>
    <w:rsid w:val="00B21042"/>
    <w:rsid w:val="00B21104"/>
    <w:rsid w:val="00B212AD"/>
    <w:rsid w:val="00B213F5"/>
    <w:rsid w:val="00B21888"/>
    <w:rsid w:val="00B21B52"/>
    <w:rsid w:val="00B22A93"/>
    <w:rsid w:val="00B22B48"/>
    <w:rsid w:val="00B22BC7"/>
    <w:rsid w:val="00B22E5D"/>
    <w:rsid w:val="00B2317E"/>
    <w:rsid w:val="00B23749"/>
    <w:rsid w:val="00B2390A"/>
    <w:rsid w:val="00B23C54"/>
    <w:rsid w:val="00B23CFD"/>
    <w:rsid w:val="00B23DB8"/>
    <w:rsid w:val="00B24305"/>
    <w:rsid w:val="00B24346"/>
    <w:rsid w:val="00B244B2"/>
    <w:rsid w:val="00B24706"/>
    <w:rsid w:val="00B247CF"/>
    <w:rsid w:val="00B248FE"/>
    <w:rsid w:val="00B250CA"/>
    <w:rsid w:val="00B2515C"/>
    <w:rsid w:val="00B254E6"/>
    <w:rsid w:val="00B256BB"/>
    <w:rsid w:val="00B260B1"/>
    <w:rsid w:val="00B26152"/>
    <w:rsid w:val="00B26154"/>
    <w:rsid w:val="00B2637C"/>
    <w:rsid w:val="00B263B7"/>
    <w:rsid w:val="00B272C0"/>
    <w:rsid w:val="00B276CD"/>
    <w:rsid w:val="00B2770B"/>
    <w:rsid w:val="00B27750"/>
    <w:rsid w:val="00B27FC8"/>
    <w:rsid w:val="00B30417"/>
    <w:rsid w:val="00B309A6"/>
    <w:rsid w:val="00B31201"/>
    <w:rsid w:val="00B31233"/>
    <w:rsid w:val="00B32124"/>
    <w:rsid w:val="00B3231D"/>
    <w:rsid w:val="00B323E7"/>
    <w:rsid w:val="00B3243D"/>
    <w:rsid w:val="00B327F2"/>
    <w:rsid w:val="00B33F0D"/>
    <w:rsid w:val="00B345E0"/>
    <w:rsid w:val="00B348FC"/>
    <w:rsid w:val="00B34C2B"/>
    <w:rsid w:val="00B35214"/>
    <w:rsid w:val="00B354E4"/>
    <w:rsid w:val="00B35AA0"/>
    <w:rsid w:val="00B35B3A"/>
    <w:rsid w:val="00B3604C"/>
    <w:rsid w:val="00B364C7"/>
    <w:rsid w:val="00B36843"/>
    <w:rsid w:val="00B375F5"/>
    <w:rsid w:val="00B37752"/>
    <w:rsid w:val="00B37CE2"/>
    <w:rsid w:val="00B400C9"/>
    <w:rsid w:val="00B40143"/>
    <w:rsid w:val="00B4035B"/>
    <w:rsid w:val="00B405C4"/>
    <w:rsid w:val="00B40829"/>
    <w:rsid w:val="00B40BD0"/>
    <w:rsid w:val="00B4163F"/>
    <w:rsid w:val="00B41720"/>
    <w:rsid w:val="00B41B2D"/>
    <w:rsid w:val="00B41D5B"/>
    <w:rsid w:val="00B42BCC"/>
    <w:rsid w:val="00B4338E"/>
    <w:rsid w:val="00B43FB8"/>
    <w:rsid w:val="00B444F3"/>
    <w:rsid w:val="00B445EA"/>
    <w:rsid w:val="00B4487A"/>
    <w:rsid w:val="00B44A39"/>
    <w:rsid w:val="00B44BE2"/>
    <w:rsid w:val="00B45001"/>
    <w:rsid w:val="00B459A6"/>
    <w:rsid w:val="00B45E10"/>
    <w:rsid w:val="00B463EE"/>
    <w:rsid w:val="00B46A5B"/>
    <w:rsid w:val="00B46B22"/>
    <w:rsid w:val="00B47262"/>
    <w:rsid w:val="00B47615"/>
    <w:rsid w:val="00B47C1F"/>
    <w:rsid w:val="00B50AC7"/>
    <w:rsid w:val="00B510F4"/>
    <w:rsid w:val="00B5146A"/>
    <w:rsid w:val="00B514EE"/>
    <w:rsid w:val="00B516E0"/>
    <w:rsid w:val="00B518C9"/>
    <w:rsid w:val="00B51912"/>
    <w:rsid w:val="00B51C0D"/>
    <w:rsid w:val="00B51F89"/>
    <w:rsid w:val="00B52435"/>
    <w:rsid w:val="00B53D46"/>
    <w:rsid w:val="00B540AD"/>
    <w:rsid w:val="00B5421E"/>
    <w:rsid w:val="00B544D8"/>
    <w:rsid w:val="00B54561"/>
    <w:rsid w:val="00B5471A"/>
    <w:rsid w:val="00B54D6C"/>
    <w:rsid w:val="00B5536A"/>
    <w:rsid w:val="00B5587B"/>
    <w:rsid w:val="00B55AC4"/>
    <w:rsid w:val="00B5686C"/>
    <w:rsid w:val="00B56A20"/>
    <w:rsid w:val="00B5703F"/>
    <w:rsid w:val="00B571A6"/>
    <w:rsid w:val="00B57249"/>
    <w:rsid w:val="00B572AB"/>
    <w:rsid w:val="00B5743E"/>
    <w:rsid w:val="00B57587"/>
    <w:rsid w:val="00B57A1C"/>
    <w:rsid w:val="00B60BEB"/>
    <w:rsid w:val="00B60DB6"/>
    <w:rsid w:val="00B60E99"/>
    <w:rsid w:val="00B6107C"/>
    <w:rsid w:val="00B615EB"/>
    <w:rsid w:val="00B61B97"/>
    <w:rsid w:val="00B61D62"/>
    <w:rsid w:val="00B62A0E"/>
    <w:rsid w:val="00B63522"/>
    <w:rsid w:val="00B63EC4"/>
    <w:rsid w:val="00B63F2E"/>
    <w:rsid w:val="00B646A0"/>
    <w:rsid w:val="00B64D3E"/>
    <w:rsid w:val="00B64DCA"/>
    <w:rsid w:val="00B6564F"/>
    <w:rsid w:val="00B65BB0"/>
    <w:rsid w:val="00B65F0C"/>
    <w:rsid w:val="00B65F59"/>
    <w:rsid w:val="00B66770"/>
    <w:rsid w:val="00B679B5"/>
    <w:rsid w:val="00B67AD3"/>
    <w:rsid w:val="00B67B31"/>
    <w:rsid w:val="00B67CD4"/>
    <w:rsid w:val="00B67D9B"/>
    <w:rsid w:val="00B67F78"/>
    <w:rsid w:val="00B700A1"/>
    <w:rsid w:val="00B701A5"/>
    <w:rsid w:val="00B701B2"/>
    <w:rsid w:val="00B701F5"/>
    <w:rsid w:val="00B70BC2"/>
    <w:rsid w:val="00B7118F"/>
    <w:rsid w:val="00B712DF"/>
    <w:rsid w:val="00B71779"/>
    <w:rsid w:val="00B71B96"/>
    <w:rsid w:val="00B71BD7"/>
    <w:rsid w:val="00B72056"/>
    <w:rsid w:val="00B7221C"/>
    <w:rsid w:val="00B72768"/>
    <w:rsid w:val="00B73148"/>
    <w:rsid w:val="00B7325E"/>
    <w:rsid w:val="00B73373"/>
    <w:rsid w:val="00B73465"/>
    <w:rsid w:val="00B73594"/>
    <w:rsid w:val="00B74023"/>
    <w:rsid w:val="00B7410C"/>
    <w:rsid w:val="00B749E0"/>
    <w:rsid w:val="00B74D36"/>
    <w:rsid w:val="00B74E4A"/>
    <w:rsid w:val="00B754BB"/>
    <w:rsid w:val="00B759DB"/>
    <w:rsid w:val="00B76224"/>
    <w:rsid w:val="00B762F6"/>
    <w:rsid w:val="00B763DF"/>
    <w:rsid w:val="00B767D7"/>
    <w:rsid w:val="00B76EEC"/>
    <w:rsid w:val="00B772EA"/>
    <w:rsid w:val="00B777E4"/>
    <w:rsid w:val="00B77CF6"/>
    <w:rsid w:val="00B77EF1"/>
    <w:rsid w:val="00B803B2"/>
    <w:rsid w:val="00B80681"/>
    <w:rsid w:val="00B80791"/>
    <w:rsid w:val="00B80A49"/>
    <w:rsid w:val="00B8101B"/>
    <w:rsid w:val="00B8143C"/>
    <w:rsid w:val="00B814C5"/>
    <w:rsid w:val="00B8178A"/>
    <w:rsid w:val="00B821FC"/>
    <w:rsid w:val="00B8231C"/>
    <w:rsid w:val="00B8258E"/>
    <w:rsid w:val="00B82CB6"/>
    <w:rsid w:val="00B82E17"/>
    <w:rsid w:val="00B8366C"/>
    <w:rsid w:val="00B8425E"/>
    <w:rsid w:val="00B843F7"/>
    <w:rsid w:val="00B8443D"/>
    <w:rsid w:val="00B84C4B"/>
    <w:rsid w:val="00B84F9C"/>
    <w:rsid w:val="00B84FF1"/>
    <w:rsid w:val="00B85046"/>
    <w:rsid w:val="00B8514B"/>
    <w:rsid w:val="00B855E6"/>
    <w:rsid w:val="00B8579E"/>
    <w:rsid w:val="00B8598D"/>
    <w:rsid w:val="00B85F43"/>
    <w:rsid w:val="00B86009"/>
    <w:rsid w:val="00B863D6"/>
    <w:rsid w:val="00B87152"/>
    <w:rsid w:val="00B87604"/>
    <w:rsid w:val="00B87BB9"/>
    <w:rsid w:val="00B90503"/>
    <w:rsid w:val="00B9089C"/>
    <w:rsid w:val="00B90962"/>
    <w:rsid w:val="00B90CDC"/>
    <w:rsid w:val="00B9185A"/>
    <w:rsid w:val="00B91B57"/>
    <w:rsid w:val="00B9205C"/>
    <w:rsid w:val="00B92779"/>
    <w:rsid w:val="00B92AA9"/>
    <w:rsid w:val="00B932F2"/>
    <w:rsid w:val="00B937A4"/>
    <w:rsid w:val="00B93BB6"/>
    <w:rsid w:val="00B93C75"/>
    <w:rsid w:val="00B94198"/>
    <w:rsid w:val="00B9444D"/>
    <w:rsid w:val="00B944B9"/>
    <w:rsid w:val="00B94562"/>
    <w:rsid w:val="00B947A7"/>
    <w:rsid w:val="00B947A8"/>
    <w:rsid w:val="00B94840"/>
    <w:rsid w:val="00B9503E"/>
    <w:rsid w:val="00B95380"/>
    <w:rsid w:val="00B95491"/>
    <w:rsid w:val="00B955DF"/>
    <w:rsid w:val="00B9567F"/>
    <w:rsid w:val="00B9571D"/>
    <w:rsid w:val="00B958CD"/>
    <w:rsid w:val="00B96231"/>
    <w:rsid w:val="00B97206"/>
    <w:rsid w:val="00B9743A"/>
    <w:rsid w:val="00B97C46"/>
    <w:rsid w:val="00B97DAB"/>
    <w:rsid w:val="00B97F40"/>
    <w:rsid w:val="00BA08F8"/>
    <w:rsid w:val="00BA0EDC"/>
    <w:rsid w:val="00BA0FD4"/>
    <w:rsid w:val="00BA1A04"/>
    <w:rsid w:val="00BA1C26"/>
    <w:rsid w:val="00BA226E"/>
    <w:rsid w:val="00BA27E6"/>
    <w:rsid w:val="00BA2BCE"/>
    <w:rsid w:val="00BA2EB4"/>
    <w:rsid w:val="00BA31EE"/>
    <w:rsid w:val="00BA3257"/>
    <w:rsid w:val="00BA3314"/>
    <w:rsid w:val="00BA34DD"/>
    <w:rsid w:val="00BA3566"/>
    <w:rsid w:val="00BA374D"/>
    <w:rsid w:val="00BA3D6A"/>
    <w:rsid w:val="00BA4D7F"/>
    <w:rsid w:val="00BA5742"/>
    <w:rsid w:val="00BA5C83"/>
    <w:rsid w:val="00BA5DF4"/>
    <w:rsid w:val="00BA681E"/>
    <w:rsid w:val="00BA6951"/>
    <w:rsid w:val="00BA6AB6"/>
    <w:rsid w:val="00BA6D2C"/>
    <w:rsid w:val="00BA6EAD"/>
    <w:rsid w:val="00BA771C"/>
    <w:rsid w:val="00BA7774"/>
    <w:rsid w:val="00BB030C"/>
    <w:rsid w:val="00BB04F8"/>
    <w:rsid w:val="00BB054A"/>
    <w:rsid w:val="00BB0643"/>
    <w:rsid w:val="00BB0B8F"/>
    <w:rsid w:val="00BB1475"/>
    <w:rsid w:val="00BB16F1"/>
    <w:rsid w:val="00BB1BF4"/>
    <w:rsid w:val="00BB1DF2"/>
    <w:rsid w:val="00BB2025"/>
    <w:rsid w:val="00BB20D1"/>
    <w:rsid w:val="00BB21ED"/>
    <w:rsid w:val="00BB24D3"/>
    <w:rsid w:val="00BB2707"/>
    <w:rsid w:val="00BB28A9"/>
    <w:rsid w:val="00BB2F55"/>
    <w:rsid w:val="00BB3698"/>
    <w:rsid w:val="00BB4527"/>
    <w:rsid w:val="00BB4FE2"/>
    <w:rsid w:val="00BB53DF"/>
    <w:rsid w:val="00BB55AD"/>
    <w:rsid w:val="00BB5931"/>
    <w:rsid w:val="00BB5950"/>
    <w:rsid w:val="00BB6757"/>
    <w:rsid w:val="00BB6A7C"/>
    <w:rsid w:val="00BB713F"/>
    <w:rsid w:val="00BB714A"/>
    <w:rsid w:val="00BB71F4"/>
    <w:rsid w:val="00BB7FD9"/>
    <w:rsid w:val="00BC04D0"/>
    <w:rsid w:val="00BC06F3"/>
    <w:rsid w:val="00BC089C"/>
    <w:rsid w:val="00BC0B32"/>
    <w:rsid w:val="00BC102E"/>
    <w:rsid w:val="00BC13F8"/>
    <w:rsid w:val="00BC17AC"/>
    <w:rsid w:val="00BC1EFB"/>
    <w:rsid w:val="00BC2102"/>
    <w:rsid w:val="00BC294C"/>
    <w:rsid w:val="00BC2970"/>
    <w:rsid w:val="00BC2E1F"/>
    <w:rsid w:val="00BC3238"/>
    <w:rsid w:val="00BC34AC"/>
    <w:rsid w:val="00BC3678"/>
    <w:rsid w:val="00BC3786"/>
    <w:rsid w:val="00BC38B4"/>
    <w:rsid w:val="00BC38B9"/>
    <w:rsid w:val="00BC3C4D"/>
    <w:rsid w:val="00BC4242"/>
    <w:rsid w:val="00BC4252"/>
    <w:rsid w:val="00BC461B"/>
    <w:rsid w:val="00BC4646"/>
    <w:rsid w:val="00BC482C"/>
    <w:rsid w:val="00BC4A00"/>
    <w:rsid w:val="00BC4A26"/>
    <w:rsid w:val="00BC4FBF"/>
    <w:rsid w:val="00BC5026"/>
    <w:rsid w:val="00BC5EF8"/>
    <w:rsid w:val="00BC61B2"/>
    <w:rsid w:val="00BC79DB"/>
    <w:rsid w:val="00BC7A86"/>
    <w:rsid w:val="00BC7ABF"/>
    <w:rsid w:val="00BC7B2D"/>
    <w:rsid w:val="00BD0103"/>
    <w:rsid w:val="00BD01AF"/>
    <w:rsid w:val="00BD02C9"/>
    <w:rsid w:val="00BD04AE"/>
    <w:rsid w:val="00BD04C7"/>
    <w:rsid w:val="00BD08BC"/>
    <w:rsid w:val="00BD0904"/>
    <w:rsid w:val="00BD0950"/>
    <w:rsid w:val="00BD0CE3"/>
    <w:rsid w:val="00BD0F5B"/>
    <w:rsid w:val="00BD1386"/>
    <w:rsid w:val="00BD14D5"/>
    <w:rsid w:val="00BD16E2"/>
    <w:rsid w:val="00BD1F46"/>
    <w:rsid w:val="00BD20FB"/>
    <w:rsid w:val="00BD2581"/>
    <w:rsid w:val="00BD2699"/>
    <w:rsid w:val="00BD2CA9"/>
    <w:rsid w:val="00BD34A7"/>
    <w:rsid w:val="00BD3C03"/>
    <w:rsid w:val="00BD3C40"/>
    <w:rsid w:val="00BD4371"/>
    <w:rsid w:val="00BD45B2"/>
    <w:rsid w:val="00BD4615"/>
    <w:rsid w:val="00BD51B0"/>
    <w:rsid w:val="00BD5284"/>
    <w:rsid w:val="00BD5BDE"/>
    <w:rsid w:val="00BD5FBA"/>
    <w:rsid w:val="00BD62DC"/>
    <w:rsid w:val="00BD63B9"/>
    <w:rsid w:val="00BD6606"/>
    <w:rsid w:val="00BD6987"/>
    <w:rsid w:val="00BD6B5B"/>
    <w:rsid w:val="00BD71D9"/>
    <w:rsid w:val="00BD731A"/>
    <w:rsid w:val="00BD7361"/>
    <w:rsid w:val="00BD760F"/>
    <w:rsid w:val="00BD7689"/>
    <w:rsid w:val="00BD78AB"/>
    <w:rsid w:val="00BD7C96"/>
    <w:rsid w:val="00BD7F9E"/>
    <w:rsid w:val="00BE0351"/>
    <w:rsid w:val="00BE066E"/>
    <w:rsid w:val="00BE0749"/>
    <w:rsid w:val="00BE07E0"/>
    <w:rsid w:val="00BE0B42"/>
    <w:rsid w:val="00BE0E8E"/>
    <w:rsid w:val="00BE141E"/>
    <w:rsid w:val="00BE1561"/>
    <w:rsid w:val="00BE197F"/>
    <w:rsid w:val="00BE1A9A"/>
    <w:rsid w:val="00BE1AC1"/>
    <w:rsid w:val="00BE27CE"/>
    <w:rsid w:val="00BE2DA3"/>
    <w:rsid w:val="00BE312F"/>
    <w:rsid w:val="00BE3226"/>
    <w:rsid w:val="00BE389A"/>
    <w:rsid w:val="00BE39CD"/>
    <w:rsid w:val="00BE3ADF"/>
    <w:rsid w:val="00BE3C40"/>
    <w:rsid w:val="00BE3EA7"/>
    <w:rsid w:val="00BE4079"/>
    <w:rsid w:val="00BE4154"/>
    <w:rsid w:val="00BE45E4"/>
    <w:rsid w:val="00BE4686"/>
    <w:rsid w:val="00BE4719"/>
    <w:rsid w:val="00BE4828"/>
    <w:rsid w:val="00BE4F73"/>
    <w:rsid w:val="00BE54F4"/>
    <w:rsid w:val="00BE55B2"/>
    <w:rsid w:val="00BE565E"/>
    <w:rsid w:val="00BE57A4"/>
    <w:rsid w:val="00BE5859"/>
    <w:rsid w:val="00BE5A56"/>
    <w:rsid w:val="00BE74BA"/>
    <w:rsid w:val="00BE7AB0"/>
    <w:rsid w:val="00BE7B11"/>
    <w:rsid w:val="00BE7F82"/>
    <w:rsid w:val="00BF10C2"/>
    <w:rsid w:val="00BF1363"/>
    <w:rsid w:val="00BF160C"/>
    <w:rsid w:val="00BF17A1"/>
    <w:rsid w:val="00BF1907"/>
    <w:rsid w:val="00BF1B96"/>
    <w:rsid w:val="00BF1EF0"/>
    <w:rsid w:val="00BF2147"/>
    <w:rsid w:val="00BF21D5"/>
    <w:rsid w:val="00BF2A64"/>
    <w:rsid w:val="00BF305F"/>
    <w:rsid w:val="00BF3568"/>
    <w:rsid w:val="00BF3668"/>
    <w:rsid w:val="00BF3BB0"/>
    <w:rsid w:val="00BF4737"/>
    <w:rsid w:val="00BF4787"/>
    <w:rsid w:val="00BF48CD"/>
    <w:rsid w:val="00BF4E09"/>
    <w:rsid w:val="00BF520A"/>
    <w:rsid w:val="00BF5BB9"/>
    <w:rsid w:val="00BF5DCE"/>
    <w:rsid w:val="00BF5ED6"/>
    <w:rsid w:val="00BF5F35"/>
    <w:rsid w:val="00BF6005"/>
    <w:rsid w:val="00BF6C0E"/>
    <w:rsid w:val="00BF6C63"/>
    <w:rsid w:val="00BF6E33"/>
    <w:rsid w:val="00BF7077"/>
    <w:rsid w:val="00BF71C1"/>
    <w:rsid w:val="00BF74F4"/>
    <w:rsid w:val="00BF7C9C"/>
    <w:rsid w:val="00BF7EFA"/>
    <w:rsid w:val="00C00759"/>
    <w:rsid w:val="00C00BD8"/>
    <w:rsid w:val="00C00BDC"/>
    <w:rsid w:val="00C011E5"/>
    <w:rsid w:val="00C013B6"/>
    <w:rsid w:val="00C01F90"/>
    <w:rsid w:val="00C02207"/>
    <w:rsid w:val="00C02250"/>
    <w:rsid w:val="00C03554"/>
    <w:rsid w:val="00C037A1"/>
    <w:rsid w:val="00C04993"/>
    <w:rsid w:val="00C0506E"/>
    <w:rsid w:val="00C0526D"/>
    <w:rsid w:val="00C05562"/>
    <w:rsid w:val="00C05D24"/>
    <w:rsid w:val="00C05D69"/>
    <w:rsid w:val="00C05EDA"/>
    <w:rsid w:val="00C0674C"/>
    <w:rsid w:val="00C06CDB"/>
    <w:rsid w:val="00C06EE4"/>
    <w:rsid w:val="00C07051"/>
    <w:rsid w:val="00C0746A"/>
    <w:rsid w:val="00C07782"/>
    <w:rsid w:val="00C07FE7"/>
    <w:rsid w:val="00C113B4"/>
    <w:rsid w:val="00C115EB"/>
    <w:rsid w:val="00C116E5"/>
    <w:rsid w:val="00C118A6"/>
    <w:rsid w:val="00C118E6"/>
    <w:rsid w:val="00C11E80"/>
    <w:rsid w:val="00C12003"/>
    <w:rsid w:val="00C12907"/>
    <w:rsid w:val="00C12FD9"/>
    <w:rsid w:val="00C132C8"/>
    <w:rsid w:val="00C13308"/>
    <w:rsid w:val="00C13383"/>
    <w:rsid w:val="00C13818"/>
    <w:rsid w:val="00C13C8E"/>
    <w:rsid w:val="00C14459"/>
    <w:rsid w:val="00C14537"/>
    <w:rsid w:val="00C1567F"/>
    <w:rsid w:val="00C165FB"/>
    <w:rsid w:val="00C166B4"/>
    <w:rsid w:val="00C16AE5"/>
    <w:rsid w:val="00C16D0C"/>
    <w:rsid w:val="00C17161"/>
    <w:rsid w:val="00C1718A"/>
    <w:rsid w:val="00C1789D"/>
    <w:rsid w:val="00C17990"/>
    <w:rsid w:val="00C203AA"/>
    <w:rsid w:val="00C20538"/>
    <w:rsid w:val="00C2070E"/>
    <w:rsid w:val="00C207CC"/>
    <w:rsid w:val="00C2095F"/>
    <w:rsid w:val="00C214C1"/>
    <w:rsid w:val="00C2218A"/>
    <w:rsid w:val="00C224FA"/>
    <w:rsid w:val="00C22A6D"/>
    <w:rsid w:val="00C22EA9"/>
    <w:rsid w:val="00C23281"/>
    <w:rsid w:val="00C2423E"/>
    <w:rsid w:val="00C24E44"/>
    <w:rsid w:val="00C256BF"/>
    <w:rsid w:val="00C26176"/>
    <w:rsid w:val="00C2665D"/>
    <w:rsid w:val="00C26813"/>
    <w:rsid w:val="00C2689E"/>
    <w:rsid w:val="00C26B6A"/>
    <w:rsid w:val="00C276D4"/>
    <w:rsid w:val="00C27938"/>
    <w:rsid w:val="00C27CE0"/>
    <w:rsid w:val="00C3040B"/>
    <w:rsid w:val="00C305BF"/>
    <w:rsid w:val="00C31059"/>
    <w:rsid w:val="00C315B9"/>
    <w:rsid w:val="00C322FE"/>
    <w:rsid w:val="00C32978"/>
    <w:rsid w:val="00C32A3B"/>
    <w:rsid w:val="00C33506"/>
    <w:rsid w:val="00C338C8"/>
    <w:rsid w:val="00C33AE9"/>
    <w:rsid w:val="00C34153"/>
    <w:rsid w:val="00C34A4A"/>
    <w:rsid w:val="00C35378"/>
    <w:rsid w:val="00C35676"/>
    <w:rsid w:val="00C357D9"/>
    <w:rsid w:val="00C35A61"/>
    <w:rsid w:val="00C35AE3"/>
    <w:rsid w:val="00C35B00"/>
    <w:rsid w:val="00C36137"/>
    <w:rsid w:val="00C3646C"/>
    <w:rsid w:val="00C36E84"/>
    <w:rsid w:val="00C3725A"/>
    <w:rsid w:val="00C3726F"/>
    <w:rsid w:val="00C377F0"/>
    <w:rsid w:val="00C37F86"/>
    <w:rsid w:val="00C402EB"/>
    <w:rsid w:val="00C40A0E"/>
    <w:rsid w:val="00C41335"/>
    <w:rsid w:val="00C415BC"/>
    <w:rsid w:val="00C41A22"/>
    <w:rsid w:val="00C41A9C"/>
    <w:rsid w:val="00C41AB3"/>
    <w:rsid w:val="00C41D2D"/>
    <w:rsid w:val="00C41E09"/>
    <w:rsid w:val="00C41FB4"/>
    <w:rsid w:val="00C42235"/>
    <w:rsid w:val="00C42703"/>
    <w:rsid w:val="00C4285C"/>
    <w:rsid w:val="00C428AF"/>
    <w:rsid w:val="00C4313B"/>
    <w:rsid w:val="00C438FF"/>
    <w:rsid w:val="00C43AE5"/>
    <w:rsid w:val="00C43AF4"/>
    <w:rsid w:val="00C43FFA"/>
    <w:rsid w:val="00C44AAB"/>
    <w:rsid w:val="00C44C09"/>
    <w:rsid w:val="00C44D7A"/>
    <w:rsid w:val="00C4578E"/>
    <w:rsid w:val="00C459A4"/>
    <w:rsid w:val="00C45B3D"/>
    <w:rsid w:val="00C4628A"/>
    <w:rsid w:val="00C467DC"/>
    <w:rsid w:val="00C4681C"/>
    <w:rsid w:val="00C46AEF"/>
    <w:rsid w:val="00C46B8A"/>
    <w:rsid w:val="00C46E97"/>
    <w:rsid w:val="00C4706E"/>
    <w:rsid w:val="00C472CA"/>
    <w:rsid w:val="00C47DC6"/>
    <w:rsid w:val="00C47E95"/>
    <w:rsid w:val="00C47EBB"/>
    <w:rsid w:val="00C503C0"/>
    <w:rsid w:val="00C50480"/>
    <w:rsid w:val="00C508BC"/>
    <w:rsid w:val="00C509BB"/>
    <w:rsid w:val="00C5154E"/>
    <w:rsid w:val="00C51912"/>
    <w:rsid w:val="00C5199B"/>
    <w:rsid w:val="00C520B4"/>
    <w:rsid w:val="00C520F9"/>
    <w:rsid w:val="00C521B9"/>
    <w:rsid w:val="00C5232E"/>
    <w:rsid w:val="00C5247A"/>
    <w:rsid w:val="00C52C2C"/>
    <w:rsid w:val="00C52D99"/>
    <w:rsid w:val="00C53282"/>
    <w:rsid w:val="00C532D7"/>
    <w:rsid w:val="00C53773"/>
    <w:rsid w:val="00C53797"/>
    <w:rsid w:val="00C53B09"/>
    <w:rsid w:val="00C53FB3"/>
    <w:rsid w:val="00C5427D"/>
    <w:rsid w:val="00C5459A"/>
    <w:rsid w:val="00C54AB4"/>
    <w:rsid w:val="00C54CCD"/>
    <w:rsid w:val="00C54D2C"/>
    <w:rsid w:val="00C551D5"/>
    <w:rsid w:val="00C55667"/>
    <w:rsid w:val="00C55725"/>
    <w:rsid w:val="00C558D0"/>
    <w:rsid w:val="00C55A06"/>
    <w:rsid w:val="00C56367"/>
    <w:rsid w:val="00C569AC"/>
    <w:rsid w:val="00C56A50"/>
    <w:rsid w:val="00C576B3"/>
    <w:rsid w:val="00C57AC1"/>
    <w:rsid w:val="00C60201"/>
    <w:rsid w:val="00C6098F"/>
    <w:rsid w:val="00C60FE9"/>
    <w:rsid w:val="00C613E1"/>
    <w:rsid w:val="00C619EA"/>
    <w:rsid w:val="00C61D4F"/>
    <w:rsid w:val="00C61D9D"/>
    <w:rsid w:val="00C61F72"/>
    <w:rsid w:val="00C626F7"/>
    <w:rsid w:val="00C62BCA"/>
    <w:rsid w:val="00C62C54"/>
    <w:rsid w:val="00C63626"/>
    <w:rsid w:val="00C6392E"/>
    <w:rsid w:val="00C63DD3"/>
    <w:rsid w:val="00C63FF4"/>
    <w:rsid w:val="00C64048"/>
    <w:rsid w:val="00C64334"/>
    <w:rsid w:val="00C64683"/>
    <w:rsid w:val="00C64862"/>
    <w:rsid w:val="00C64952"/>
    <w:rsid w:val="00C64F05"/>
    <w:rsid w:val="00C64F7D"/>
    <w:rsid w:val="00C650F3"/>
    <w:rsid w:val="00C656C6"/>
    <w:rsid w:val="00C65BE5"/>
    <w:rsid w:val="00C65F76"/>
    <w:rsid w:val="00C65FB8"/>
    <w:rsid w:val="00C6662E"/>
    <w:rsid w:val="00C66E1F"/>
    <w:rsid w:val="00C66E3F"/>
    <w:rsid w:val="00C66FA3"/>
    <w:rsid w:val="00C67113"/>
    <w:rsid w:val="00C67130"/>
    <w:rsid w:val="00C6755D"/>
    <w:rsid w:val="00C703B5"/>
    <w:rsid w:val="00C7107A"/>
    <w:rsid w:val="00C71317"/>
    <w:rsid w:val="00C71797"/>
    <w:rsid w:val="00C72483"/>
    <w:rsid w:val="00C72F02"/>
    <w:rsid w:val="00C7318F"/>
    <w:rsid w:val="00C73342"/>
    <w:rsid w:val="00C73ACC"/>
    <w:rsid w:val="00C73F01"/>
    <w:rsid w:val="00C74797"/>
    <w:rsid w:val="00C75532"/>
    <w:rsid w:val="00C758BE"/>
    <w:rsid w:val="00C75921"/>
    <w:rsid w:val="00C75CBC"/>
    <w:rsid w:val="00C765F2"/>
    <w:rsid w:val="00C767B0"/>
    <w:rsid w:val="00C76D27"/>
    <w:rsid w:val="00C8018F"/>
    <w:rsid w:val="00C80605"/>
    <w:rsid w:val="00C80950"/>
    <w:rsid w:val="00C80F2C"/>
    <w:rsid w:val="00C80FBB"/>
    <w:rsid w:val="00C813FA"/>
    <w:rsid w:val="00C81403"/>
    <w:rsid w:val="00C81A57"/>
    <w:rsid w:val="00C81D65"/>
    <w:rsid w:val="00C81FA9"/>
    <w:rsid w:val="00C8267C"/>
    <w:rsid w:val="00C826B7"/>
    <w:rsid w:val="00C82911"/>
    <w:rsid w:val="00C82E50"/>
    <w:rsid w:val="00C830CD"/>
    <w:rsid w:val="00C84585"/>
    <w:rsid w:val="00C847E6"/>
    <w:rsid w:val="00C84C68"/>
    <w:rsid w:val="00C84E0A"/>
    <w:rsid w:val="00C84FDB"/>
    <w:rsid w:val="00C8518C"/>
    <w:rsid w:val="00C852C8"/>
    <w:rsid w:val="00C8533F"/>
    <w:rsid w:val="00C8564F"/>
    <w:rsid w:val="00C8587F"/>
    <w:rsid w:val="00C85CFF"/>
    <w:rsid w:val="00C85ECC"/>
    <w:rsid w:val="00C8610D"/>
    <w:rsid w:val="00C86A2F"/>
    <w:rsid w:val="00C86D4D"/>
    <w:rsid w:val="00C86FD3"/>
    <w:rsid w:val="00C87706"/>
    <w:rsid w:val="00C87727"/>
    <w:rsid w:val="00C87F7D"/>
    <w:rsid w:val="00C9012C"/>
    <w:rsid w:val="00C90322"/>
    <w:rsid w:val="00C904C6"/>
    <w:rsid w:val="00C90A9E"/>
    <w:rsid w:val="00C90E0D"/>
    <w:rsid w:val="00C91604"/>
    <w:rsid w:val="00C91A38"/>
    <w:rsid w:val="00C91D05"/>
    <w:rsid w:val="00C924A0"/>
    <w:rsid w:val="00C92EDE"/>
    <w:rsid w:val="00C92F75"/>
    <w:rsid w:val="00C92FE8"/>
    <w:rsid w:val="00C932AF"/>
    <w:rsid w:val="00C93686"/>
    <w:rsid w:val="00C939A1"/>
    <w:rsid w:val="00C93D66"/>
    <w:rsid w:val="00C93EAA"/>
    <w:rsid w:val="00C94192"/>
    <w:rsid w:val="00C941D1"/>
    <w:rsid w:val="00C94F10"/>
    <w:rsid w:val="00C94FA8"/>
    <w:rsid w:val="00C95493"/>
    <w:rsid w:val="00C9600F"/>
    <w:rsid w:val="00C9601C"/>
    <w:rsid w:val="00C960A9"/>
    <w:rsid w:val="00C96158"/>
    <w:rsid w:val="00C964A6"/>
    <w:rsid w:val="00C97611"/>
    <w:rsid w:val="00C9780B"/>
    <w:rsid w:val="00C9791E"/>
    <w:rsid w:val="00C97997"/>
    <w:rsid w:val="00CA0372"/>
    <w:rsid w:val="00CA040C"/>
    <w:rsid w:val="00CA0B92"/>
    <w:rsid w:val="00CA1377"/>
    <w:rsid w:val="00CA18CB"/>
    <w:rsid w:val="00CA1C75"/>
    <w:rsid w:val="00CA1EC1"/>
    <w:rsid w:val="00CA20A8"/>
    <w:rsid w:val="00CA2281"/>
    <w:rsid w:val="00CA24B5"/>
    <w:rsid w:val="00CA2F71"/>
    <w:rsid w:val="00CA3A5D"/>
    <w:rsid w:val="00CA42E5"/>
    <w:rsid w:val="00CA50C4"/>
    <w:rsid w:val="00CA519F"/>
    <w:rsid w:val="00CA533C"/>
    <w:rsid w:val="00CA53FB"/>
    <w:rsid w:val="00CA54ED"/>
    <w:rsid w:val="00CA5E30"/>
    <w:rsid w:val="00CA61B3"/>
    <w:rsid w:val="00CA6697"/>
    <w:rsid w:val="00CA682F"/>
    <w:rsid w:val="00CA6C86"/>
    <w:rsid w:val="00CA7077"/>
    <w:rsid w:val="00CA73A6"/>
    <w:rsid w:val="00CA7E34"/>
    <w:rsid w:val="00CB07BD"/>
    <w:rsid w:val="00CB0A43"/>
    <w:rsid w:val="00CB0E17"/>
    <w:rsid w:val="00CB10D2"/>
    <w:rsid w:val="00CB11EB"/>
    <w:rsid w:val="00CB1C33"/>
    <w:rsid w:val="00CB21E0"/>
    <w:rsid w:val="00CB2A18"/>
    <w:rsid w:val="00CB2AFE"/>
    <w:rsid w:val="00CB2CF9"/>
    <w:rsid w:val="00CB2FF8"/>
    <w:rsid w:val="00CB356A"/>
    <w:rsid w:val="00CB38D1"/>
    <w:rsid w:val="00CB3C62"/>
    <w:rsid w:val="00CB3E5E"/>
    <w:rsid w:val="00CB3F18"/>
    <w:rsid w:val="00CB409F"/>
    <w:rsid w:val="00CB4150"/>
    <w:rsid w:val="00CB4243"/>
    <w:rsid w:val="00CB44F2"/>
    <w:rsid w:val="00CB4E72"/>
    <w:rsid w:val="00CB51B3"/>
    <w:rsid w:val="00CB52BA"/>
    <w:rsid w:val="00CB5D18"/>
    <w:rsid w:val="00CB5F18"/>
    <w:rsid w:val="00CB659A"/>
    <w:rsid w:val="00CB6E50"/>
    <w:rsid w:val="00CB6FD6"/>
    <w:rsid w:val="00CB735C"/>
    <w:rsid w:val="00CB7541"/>
    <w:rsid w:val="00CB79BB"/>
    <w:rsid w:val="00CC073B"/>
    <w:rsid w:val="00CC0A21"/>
    <w:rsid w:val="00CC0BFC"/>
    <w:rsid w:val="00CC1074"/>
    <w:rsid w:val="00CC10E4"/>
    <w:rsid w:val="00CC1872"/>
    <w:rsid w:val="00CC1A6C"/>
    <w:rsid w:val="00CC2580"/>
    <w:rsid w:val="00CC3DCB"/>
    <w:rsid w:val="00CC42A2"/>
    <w:rsid w:val="00CC49A3"/>
    <w:rsid w:val="00CC4A18"/>
    <w:rsid w:val="00CC558C"/>
    <w:rsid w:val="00CC5F1B"/>
    <w:rsid w:val="00CC6E74"/>
    <w:rsid w:val="00CC6F7B"/>
    <w:rsid w:val="00CC7111"/>
    <w:rsid w:val="00CC74F3"/>
    <w:rsid w:val="00CC7CFF"/>
    <w:rsid w:val="00CD01BC"/>
    <w:rsid w:val="00CD02A4"/>
    <w:rsid w:val="00CD055E"/>
    <w:rsid w:val="00CD0D9F"/>
    <w:rsid w:val="00CD11CF"/>
    <w:rsid w:val="00CD1287"/>
    <w:rsid w:val="00CD172D"/>
    <w:rsid w:val="00CD1DF1"/>
    <w:rsid w:val="00CD29B2"/>
    <w:rsid w:val="00CD2FF4"/>
    <w:rsid w:val="00CD310C"/>
    <w:rsid w:val="00CD34F9"/>
    <w:rsid w:val="00CD38EB"/>
    <w:rsid w:val="00CD39E1"/>
    <w:rsid w:val="00CD3A90"/>
    <w:rsid w:val="00CD3C51"/>
    <w:rsid w:val="00CD3F0C"/>
    <w:rsid w:val="00CD416D"/>
    <w:rsid w:val="00CD4AA3"/>
    <w:rsid w:val="00CD52CC"/>
    <w:rsid w:val="00CD5AB4"/>
    <w:rsid w:val="00CD5D18"/>
    <w:rsid w:val="00CD5FA5"/>
    <w:rsid w:val="00CD6206"/>
    <w:rsid w:val="00CD66AF"/>
    <w:rsid w:val="00CD670D"/>
    <w:rsid w:val="00CD6AF9"/>
    <w:rsid w:val="00CD6BF1"/>
    <w:rsid w:val="00CD6C0D"/>
    <w:rsid w:val="00CD6DE5"/>
    <w:rsid w:val="00CD6E20"/>
    <w:rsid w:val="00CD71FB"/>
    <w:rsid w:val="00CD722B"/>
    <w:rsid w:val="00CD72C3"/>
    <w:rsid w:val="00CD7452"/>
    <w:rsid w:val="00CD75D3"/>
    <w:rsid w:val="00CD75EC"/>
    <w:rsid w:val="00CD765E"/>
    <w:rsid w:val="00CD77E2"/>
    <w:rsid w:val="00CD7B35"/>
    <w:rsid w:val="00CD7E9A"/>
    <w:rsid w:val="00CE0028"/>
    <w:rsid w:val="00CE0539"/>
    <w:rsid w:val="00CE0990"/>
    <w:rsid w:val="00CE0999"/>
    <w:rsid w:val="00CE0B5B"/>
    <w:rsid w:val="00CE0B97"/>
    <w:rsid w:val="00CE0C36"/>
    <w:rsid w:val="00CE0F58"/>
    <w:rsid w:val="00CE101E"/>
    <w:rsid w:val="00CE179B"/>
    <w:rsid w:val="00CE1DBB"/>
    <w:rsid w:val="00CE1F74"/>
    <w:rsid w:val="00CE2161"/>
    <w:rsid w:val="00CE22FF"/>
    <w:rsid w:val="00CE2787"/>
    <w:rsid w:val="00CE28E0"/>
    <w:rsid w:val="00CE2A16"/>
    <w:rsid w:val="00CE3A14"/>
    <w:rsid w:val="00CE3A57"/>
    <w:rsid w:val="00CE3EBE"/>
    <w:rsid w:val="00CE437B"/>
    <w:rsid w:val="00CE445C"/>
    <w:rsid w:val="00CE4658"/>
    <w:rsid w:val="00CE47A9"/>
    <w:rsid w:val="00CE5747"/>
    <w:rsid w:val="00CE5810"/>
    <w:rsid w:val="00CE5D9E"/>
    <w:rsid w:val="00CE600E"/>
    <w:rsid w:val="00CE6688"/>
    <w:rsid w:val="00CE6712"/>
    <w:rsid w:val="00CE6F5B"/>
    <w:rsid w:val="00CE707A"/>
    <w:rsid w:val="00CE782E"/>
    <w:rsid w:val="00CE79C7"/>
    <w:rsid w:val="00CF0F37"/>
    <w:rsid w:val="00CF102B"/>
    <w:rsid w:val="00CF160A"/>
    <w:rsid w:val="00CF19A1"/>
    <w:rsid w:val="00CF1C46"/>
    <w:rsid w:val="00CF340E"/>
    <w:rsid w:val="00CF3921"/>
    <w:rsid w:val="00CF3A1F"/>
    <w:rsid w:val="00CF4363"/>
    <w:rsid w:val="00CF4499"/>
    <w:rsid w:val="00CF4535"/>
    <w:rsid w:val="00CF512B"/>
    <w:rsid w:val="00CF519D"/>
    <w:rsid w:val="00CF51F7"/>
    <w:rsid w:val="00CF5545"/>
    <w:rsid w:val="00CF58E6"/>
    <w:rsid w:val="00CF63F7"/>
    <w:rsid w:val="00CF667F"/>
    <w:rsid w:val="00CF6A59"/>
    <w:rsid w:val="00CF6D79"/>
    <w:rsid w:val="00CF6DF3"/>
    <w:rsid w:val="00CF71A2"/>
    <w:rsid w:val="00CF7551"/>
    <w:rsid w:val="00CF755A"/>
    <w:rsid w:val="00CF7B1E"/>
    <w:rsid w:val="00D00251"/>
    <w:rsid w:val="00D004B0"/>
    <w:rsid w:val="00D007CE"/>
    <w:rsid w:val="00D00820"/>
    <w:rsid w:val="00D01101"/>
    <w:rsid w:val="00D017D2"/>
    <w:rsid w:val="00D020DE"/>
    <w:rsid w:val="00D0282B"/>
    <w:rsid w:val="00D02A17"/>
    <w:rsid w:val="00D02D8D"/>
    <w:rsid w:val="00D02FC7"/>
    <w:rsid w:val="00D03115"/>
    <w:rsid w:val="00D03893"/>
    <w:rsid w:val="00D04489"/>
    <w:rsid w:val="00D0459D"/>
    <w:rsid w:val="00D04A68"/>
    <w:rsid w:val="00D04D1D"/>
    <w:rsid w:val="00D05541"/>
    <w:rsid w:val="00D056F8"/>
    <w:rsid w:val="00D05A1E"/>
    <w:rsid w:val="00D062BA"/>
    <w:rsid w:val="00D06603"/>
    <w:rsid w:val="00D068BF"/>
    <w:rsid w:val="00D06A6A"/>
    <w:rsid w:val="00D06ADB"/>
    <w:rsid w:val="00D070E2"/>
    <w:rsid w:val="00D075F7"/>
    <w:rsid w:val="00D07932"/>
    <w:rsid w:val="00D07C7E"/>
    <w:rsid w:val="00D07CF8"/>
    <w:rsid w:val="00D1009C"/>
    <w:rsid w:val="00D10830"/>
    <w:rsid w:val="00D10912"/>
    <w:rsid w:val="00D10C50"/>
    <w:rsid w:val="00D10DEB"/>
    <w:rsid w:val="00D114DD"/>
    <w:rsid w:val="00D11AF1"/>
    <w:rsid w:val="00D11F7D"/>
    <w:rsid w:val="00D138E5"/>
    <w:rsid w:val="00D139C4"/>
    <w:rsid w:val="00D13A4F"/>
    <w:rsid w:val="00D13B84"/>
    <w:rsid w:val="00D13E8A"/>
    <w:rsid w:val="00D13F82"/>
    <w:rsid w:val="00D1465F"/>
    <w:rsid w:val="00D149A9"/>
    <w:rsid w:val="00D14C06"/>
    <w:rsid w:val="00D14C60"/>
    <w:rsid w:val="00D14CD9"/>
    <w:rsid w:val="00D14EF0"/>
    <w:rsid w:val="00D15318"/>
    <w:rsid w:val="00D15399"/>
    <w:rsid w:val="00D155B0"/>
    <w:rsid w:val="00D1560B"/>
    <w:rsid w:val="00D15A85"/>
    <w:rsid w:val="00D15CBE"/>
    <w:rsid w:val="00D1612D"/>
    <w:rsid w:val="00D1636E"/>
    <w:rsid w:val="00D16430"/>
    <w:rsid w:val="00D1651A"/>
    <w:rsid w:val="00D16B59"/>
    <w:rsid w:val="00D16D02"/>
    <w:rsid w:val="00D17271"/>
    <w:rsid w:val="00D178C0"/>
    <w:rsid w:val="00D17CA7"/>
    <w:rsid w:val="00D17DC9"/>
    <w:rsid w:val="00D2009B"/>
    <w:rsid w:val="00D20809"/>
    <w:rsid w:val="00D20CFA"/>
    <w:rsid w:val="00D21336"/>
    <w:rsid w:val="00D21382"/>
    <w:rsid w:val="00D214EA"/>
    <w:rsid w:val="00D2169F"/>
    <w:rsid w:val="00D21D78"/>
    <w:rsid w:val="00D223E3"/>
    <w:rsid w:val="00D22513"/>
    <w:rsid w:val="00D229D5"/>
    <w:rsid w:val="00D23C20"/>
    <w:rsid w:val="00D248B8"/>
    <w:rsid w:val="00D24E15"/>
    <w:rsid w:val="00D24EDD"/>
    <w:rsid w:val="00D25801"/>
    <w:rsid w:val="00D2594B"/>
    <w:rsid w:val="00D25A2E"/>
    <w:rsid w:val="00D267BB"/>
    <w:rsid w:val="00D278B6"/>
    <w:rsid w:val="00D278F7"/>
    <w:rsid w:val="00D27C3E"/>
    <w:rsid w:val="00D308D9"/>
    <w:rsid w:val="00D30EF7"/>
    <w:rsid w:val="00D30F4B"/>
    <w:rsid w:val="00D31384"/>
    <w:rsid w:val="00D318DD"/>
    <w:rsid w:val="00D31C6A"/>
    <w:rsid w:val="00D3285D"/>
    <w:rsid w:val="00D328AD"/>
    <w:rsid w:val="00D32DE2"/>
    <w:rsid w:val="00D32E09"/>
    <w:rsid w:val="00D33038"/>
    <w:rsid w:val="00D33A24"/>
    <w:rsid w:val="00D33AFB"/>
    <w:rsid w:val="00D33C03"/>
    <w:rsid w:val="00D33D64"/>
    <w:rsid w:val="00D340BF"/>
    <w:rsid w:val="00D346C4"/>
    <w:rsid w:val="00D34968"/>
    <w:rsid w:val="00D34B08"/>
    <w:rsid w:val="00D34B4F"/>
    <w:rsid w:val="00D35224"/>
    <w:rsid w:val="00D35581"/>
    <w:rsid w:val="00D355C9"/>
    <w:rsid w:val="00D355F1"/>
    <w:rsid w:val="00D358B1"/>
    <w:rsid w:val="00D35ADD"/>
    <w:rsid w:val="00D368F1"/>
    <w:rsid w:val="00D36B15"/>
    <w:rsid w:val="00D36B29"/>
    <w:rsid w:val="00D374C8"/>
    <w:rsid w:val="00D3752A"/>
    <w:rsid w:val="00D3757F"/>
    <w:rsid w:val="00D379C9"/>
    <w:rsid w:val="00D37A71"/>
    <w:rsid w:val="00D402ED"/>
    <w:rsid w:val="00D4038D"/>
    <w:rsid w:val="00D40561"/>
    <w:rsid w:val="00D408AF"/>
    <w:rsid w:val="00D40E50"/>
    <w:rsid w:val="00D41086"/>
    <w:rsid w:val="00D41869"/>
    <w:rsid w:val="00D42030"/>
    <w:rsid w:val="00D422A2"/>
    <w:rsid w:val="00D422FC"/>
    <w:rsid w:val="00D4281C"/>
    <w:rsid w:val="00D42C57"/>
    <w:rsid w:val="00D43083"/>
    <w:rsid w:val="00D43210"/>
    <w:rsid w:val="00D44321"/>
    <w:rsid w:val="00D4459F"/>
    <w:rsid w:val="00D44B99"/>
    <w:rsid w:val="00D44FA2"/>
    <w:rsid w:val="00D457F5"/>
    <w:rsid w:val="00D45B25"/>
    <w:rsid w:val="00D4680B"/>
    <w:rsid w:val="00D46C25"/>
    <w:rsid w:val="00D47092"/>
    <w:rsid w:val="00D4714B"/>
    <w:rsid w:val="00D472EB"/>
    <w:rsid w:val="00D475AA"/>
    <w:rsid w:val="00D50288"/>
    <w:rsid w:val="00D5051E"/>
    <w:rsid w:val="00D50D2E"/>
    <w:rsid w:val="00D5141C"/>
    <w:rsid w:val="00D518C7"/>
    <w:rsid w:val="00D51D76"/>
    <w:rsid w:val="00D52079"/>
    <w:rsid w:val="00D52156"/>
    <w:rsid w:val="00D53193"/>
    <w:rsid w:val="00D534C8"/>
    <w:rsid w:val="00D543E6"/>
    <w:rsid w:val="00D54DDD"/>
    <w:rsid w:val="00D54F42"/>
    <w:rsid w:val="00D55875"/>
    <w:rsid w:val="00D55E31"/>
    <w:rsid w:val="00D561A7"/>
    <w:rsid w:val="00D56B0F"/>
    <w:rsid w:val="00D56FD6"/>
    <w:rsid w:val="00D57189"/>
    <w:rsid w:val="00D572C2"/>
    <w:rsid w:val="00D57703"/>
    <w:rsid w:val="00D60D68"/>
    <w:rsid w:val="00D60EF2"/>
    <w:rsid w:val="00D616E2"/>
    <w:rsid w:val="00D61A40"/>
    <w:rsid w:val="00D61D2F"/>
    <w:rsid w:val="00D61D33"/>
    <w:rsid w:val="00D62125"/>
    <w:rsid w:val="00D6221E"/>
    <w:rsid w:val="00D6223E"/>
    <w:rsid w:val="00D62277"/>
    <w:rsid w:val="00D6263C"/>
    <w:rsid w:val="00D6305B"/>
    <w:rsid w:val="00D633DC"/>
    <w:rsid w:val="00D63907"/>
    <w:rsid w:val="00D6391E"/>
    <w:rsid w:val="00D639D5"/>
    <w:rsid w:val="00D63D90"/>
    <w:rsid w:val="00D63E33"/>
    <w:rsid w:val="00D64172"/>
    <w:rsid w:val="00D64201"/>
    <w:rsid w:val="00D646A4"/>
    <w:rsid w:val="00D64D5C"/>
    <w:rsid w:val="00D64F68"/>
    <w:rsid w:val="00D6528E"/>
    <w:rsid w:val="00D65354"/>
    <w:rsid w:val="00D65C81"/>
    <w:rsid w:val="00D65EE5"/>
    <w:rsid w:val="00D66057"/>
    <w:rsid w:val="00D66521"/>
    <w:rsid w:val="00D66BEA"/>
    <w:rsid w:val="00D66BEB"/>
    <w:rsid w:val="00D677A4"/>
    <w:rsid w:val="00D678FF"/>
    <w:rsid w:val="00D6795B"/>
    <w:rsid w:val="00D67A97"/>
    <w:rsid w:val="00D67E82"/>
    <w:rsid w:val="00D67EC8"/>
    <w:rsid w:val="00D702F3"/>
    <w:rsid w:val="00D70351"/>
    <w:rsid w:val="00D7042B"/>
    <w:rsid w:val="00D704DA"/>
    <w:rsid w:val="00D7076D"/>
    <w:rsid w:val="00D70ACA"/>
    <w:rsid w:val="00D7176E"/>
    <w:rsid w:val="00D720B6"/>
    <w:rsid w:val="00D72381"/>
    <w:rsid w:val="00D726DB"/>
    <w:rsid w:val="00D72B31"/>
    <w:rsid w:val="00D734D7"/>
    <w:rsid w:val="00D734E9"/>
    <w:rsid w:val="00D73B3F"/>
    <w:rsid w:val="00D73E8F"/>
    <w:rsid w:val="00D74335"/>
    <w:rsid w:val="00D74C17"/>
    <w:rsid w:val="00D74E02"/>
    <w:rsid w:val="00D75047"/>
    <w:rsid w:val="00D7537B"/>
    <w:rsid w:val="00D756A0"/>
    <w:rsid w:val="00D757E9"/>
    <w:rsid w:val="00D76835"/>
    <w:rsid w:val="00D76868"/>
    <w:rsid w:val="00D76A0A"/>
    <w:rsid w:val="00D76C97"/>
    <w:rsid w:val="00D77612"/>
    <w:rsid w:val="00D77639"/>
    <w:rsid w:val="00D77918"/>
    <w:rsid w:val="00D80152"/>
    <w:rsid w:val="00D80DC6"/>
    <w:rsid w:val="00D80E0A"/>
    <w:rsid w:val="00D80E39"/>
    <w:rsid w:val="00D80F64"/>
    <w:rsid w:val="00D81DCB"/>
    <w:rsid w:val="00D823C3"/>
    <w:rsid w:val="00D82515"/>
    <w:rsid w:val="00D825F0"/>
    <w:rsid w:val="00D82C29"/>
    <w:rsid w:val="00D82C6F"/>
    <w:rsid w:val="00D83196"/>
    <w:rsid w:val="00D83457"/>
    <w:rsid w:val="00D837C4"/>
    <w:rsid w:val="00D839E1"/>
    <w:rsid w:val="00D843A0"/>
    <w:rsid w:val="00D84BC7"/>
    <w:rsid w:val="00D84C51"/>
    <w:rsid w:val="00D84C7F"/>
    <w:rsid w:val="00D84F11"/>
    <w:rsid w:val="00D8506A"/>
    <w:rsid w:val="00D85293"/>
    <w:rsid w:val="00D8587C"/>
    <w:rsid w:val="00D85A76"/>
    <w:rsid w:val="00D865A7"/>
    <w:rsid w:val="00D86A79"/>
    <w:rsid w:val="00D905DF"/>
    <w:rsid w:val="00D90E91"/>
    <w:rsid w:val="00D910D0"/>
    <w:rsid w:val="00D91237"/>
    <w:rsid w:val="00D920FC"/>
    <w:rsid w:val="00D9251F"/>
    <w:rsid w:val="00D93693"/>
    <w:rsid w:val="00D93BCC"/>
    <w:rsid w:val="00D93D31"/>
    <w:rsid w:val="00D93E74"/>
    <w:rsid w:val="00D93E7B"/>
    <w:rsid w:val="00D9430C"/>
    <w:rsid w:val="00D9434A"/>
    <w:rsid w:val="00D950C6"/>
    <w:rsid w:val="00D955AF"/>
    <w:rsid w:val="00D9573A"/>
    <w:rsid w:val="00D958A9"/>
    <w:rsid w:val="00D9591F"/>
    <w:rsid w:val="00D95D82"/>
    <w:rsid w:val="00D95D9E"/>
    <w:rsid w:val="00D95F97"/>
    <w:rsid w:val="00D96A15"/>
    <w:rsid w:val="00D97091"/>
    <w:rsid w:val="00D972A5"/>
    <w:rsid w:val="00D97B1C"/>
    <w:rsid w:val="00D97B5D"/>
    <w:rsid w:val="00DA00B6"/>
    <w:rsid w:val="00DA0850"/>
    <w:rsid w:val="00DA1648"/>
    <w:rsid w:val="00DA1BE6"/>
    <w:rsid w:val="00DA1C64"/>
    <w:rsid w:val="00DA2551"/>
    <w:rsid w:val="00DA2A14"/>
    <w:rsid w:val="00DA2AD4"/>
    <w:rsid w:val="00DA2D6F"/>
    <w:rsid w:val="00DA2D9E"/>
    <w:rsid w:val="00DA37D6"/>
    <w:rsid w:val="00DA38A2"/>
    <w:rsid w:val="00DA4045"/>
    <w:rsid w:val="00DA44AD"/>
    <w:rsid w:val="00DA48A5"/>
    <w:rsid w:val="00DA4C13"/>
    <w:rsid w:val="00DA4C43"/>
    <w:rsid w:val="00DA4E8C"/>
    <w:rsid w:val="00DA5404"/>
    <w:rsid w:val="00DA5E83"/>
    <w:rsid w:val="00DA6191"/>
    <w:rsid w:val="00DA6560"/>
    <w:rsid w:val="00DA66E4"/>
    <w:rsid w:val="00DA6DBC"/>
    <w:rsid w:val="00DA6DD5"/>
    <w:rsid w:val="00DA7593"/>
    <w:rsid w:val="00DA7677"/>
    <w:rsid w:val="00DA7C85"/>
    <w:rsid w:val="00DA7F8E"/>
    <w:rsid w:val="00DB092A"/>
    <w:rsid w:val="00DB100D"/>
    <w:rsid w:val="00DB11B3"/>
    <w:rsid w:val="00DB16A8"/>
    <w:rsid w:val="00DB1998"/>
    <w:rsid w:val="00DB2627"/>
    <w:rsid w:val="00DB2768"/>
    <w:rsid w:val="00DB30E5"/>
    <w:rsid w:val="00DB3452"/>
    <w:rsid w:val="00DB3FB9"/>
    <w:rsid w:val="00DB4665"/>
    <w:rsid w:val="00DB4C5F"/>
    <w:rsid w:val="00DB50E9"/>
    <w:rsid w:val="00DB50F1"/>
    <w:rsid w:val="00DB58DB"/>
    <w:rsid w:val="00DB58F9"/>
    <w:rsid w:val="00DB6354"/>
    <w:rsid w:val="00DB6B69"/>
    <w:rsid w:val="00DB6BE4"/>
    <w:rsid w:val="00DB73F2"/>
    <w:rsid w:val="00DB7C68"/>
    <w:rsid w:val="00DC031B"/>
    <w:rsid w:val="00DC08FD"/>
    <w:rsid w:val="00DC0B9E"/>
    <w:rsid w:val="00DC10C9"/>
    <w:rsid w:val="00DC127D"/>
    <w:rsid w:val="00DC1291"/>
    <w:rsid w:val="00DC1544"/>
    <w:rsid w:val="00DC1A87"/>
    <w:rsid w:val="00DC1B9F"/>
    <w:rsid w:val="00DC205D"/>
    <w:rsid w:val="00DC214A"/>
    <w:rsid w:val="00DC2155"/>
    <w:rsid w:val="00DC23CE"/>
    <w:rsid w:val="00DC24F7"/>
    <w:rsid w:val="00DC29A7"/>
    <w:rsid w:val="00DC2CFF"/>
    <w:rsid w:val="00DC2F9D"/>
    <w:rsid w:val="00DC3340"/>
    <w:rsid w:val="00DC3D1A"/>
    <w:rsid w:val="00DC4147"/>
    <w:rsid w:val="00DC4619"/>
    <w:rsid w:val="00DC47E0"/>
    <w:rsid w:val="00DC5100"/>
    <w:rsid w:val="00DC51C1"/>
    <w:rsid w:val="00DC5343"/>
    <w:rsid w:val="00DC5DCA"/>
    <w:rsid w:val="00DC5E79"/>
    <w:rsid w:val="00DC62AD"/>
    <w:rsid w:val="00DC67DC"/>
    <w:rsid w:val="00DC67E6"/>
    <w:rsid w:val="00DC71B7"/>
    <w:rsid w:val="00DC7457"/>
    <w:rsid w:val="00DC7636"/>
    <w:rsid w:val="00DD087C"/>
    <w:rsid w:val="00DD08D1"/>
    <w:rsid w:val="00DD0CC8"/>
    <w:rsid w:val="00DD1677"/>
    <w:rsid w:val="00DD21A3"/>
    <w:rsid w:val="00DD2DFF"/>
    <w:rsid w:val="00DD31AD"/>
    <w:rsid w:val="00DD3478"/>
    <w:rsid w:val="00DD36D7"/>
    <w:rsid w:val="00DD3A1C"/>
    <w:rsid w:val="00DD3C71"/>
    <w:rsid w:val="00DD3FD0"/>
    <w:rsid w:val="00DD48A0"/>
    <w:rsid w:val="00DD4DF7"/>
    <w:rsid w:val="00DD5159"/>
    <w:rsid w:val="00DD537A"/>
    <w:rsid w:val="00DD54E4"/>
    <w:rsid w:val="00DD57DA"/>
    <w:rsid w:val="00DD5C60"/>
    <w:rsid w:val="00DD60A2"/>
    <w:rsid w:val="00DD690D"/>
    <w:rsid w:val="00DD6DC7"/>
    <w:rsid w:val="00DD7505"/>
    <w:rsid w:val="00DE00E3"/>
    <w:rsid w:val="00DE00EB"/>
    <w:rsid w:val="00DE07B0"/>
    <w:rsid w:val="00DE0F00"/>
    <w:rsid w:val="00DE1011"/>
    <w:rsid w:val="00DE174F"/>
    <w:rsid w:val="00DE178C"/>
    <w:rsid w:val="00DE1C08"/>
    <w:rsid w:val="00DE2354"/>
    <w:rsid w:val="00DE2457"/>
    <w:rsid w:val="00DE2B42"/>
    <w:rsid w:val="00DE2C67"/>
    <w:rsid w:val="00DE30A7"/>
    <w:rsid w:val="00DE3110"/>
    <w:rsid w:val="00DE3929"/>
    <w:rsid w:val="00DE3C7B"/>
    <w:rsid w:val="00DE406E"/>
    <w:rsid w:val="00DE4326"/>
    <w:rsid w:val="00DE4390"/>
    <w:rsid w:val="00DE45A3"/>
    <w:rsid w:val="00DE477F"/>
    <w:rsid w:val="00DE4BF6"/>
    <w:rsid w:val="00DE4E2A"/>
    <w:rsid w:val="00DE5114"/>
    <w:rsid w:val="00DE515C"/>
    <w:rsid w:val="00DE527F"/>
    <w:rsid w:val="00DE56EA"/>
    <w:rsid w:val="00DE5C62"/>
    <w:rsid w:val="00DE5EAA"/>
    <w:rsid w:val="00DE607F"/>
    <w:rsid w:val="00DE6DC5"/>
    <w:rsid w:val="00DE6DCE"/>
    <w:rsid w:val="00DE6E02"/>
    <w:rsid w:val="00DE7678"/>
    <w:rsid w:val="00DE76E0"/>
    <w:rsid w:val="00DE7931"/>
    <w:rsid w:val="00DE7C65"/>
    <w:rsid w:val="00DE7C75"/>
    <w:rsid w:val="00DE7EFD"/>
    <w:rsid w:val="00DE7F61"/>
    <w:rsid w:val="00DF033D"/>
    <w:rsid w:val="00DF03DC"/>
    <w:rsid w:val="00DF07EC"/>
    <w:rsid w:val="00DF0AAF"/>
    <w:rsid w:val="00DF0C3C"/>
    <w:rsid w:val="00DF0E3B"/>
    <w:rsid w:val="00DF121F"/>
    <w:rsid w:val="00DF28DB"/>
    <w:rsid w:val="00DF294F"/>
    <w:rsid w:val="00DF29C0"/>
    <w:rsid w:val="00DF2A27"/>
    <w:rsid w:val="00DF2ED7"/>
    <w:rsid w:val="00DF32F5"/>
    <w:rsid w:val="00DF364E"/>
    <w:rsid w:val="00DF3D0C"/>
    <w:rsid w:val="00DF3EE2"/>
    <w:rsid w:val="00DF3F81"/>
    <w:rsid w:val="00DF43FA"/>
    <w:rsid w:val="00DF493D"/>
    <w:rsid w:val="00DF49DF"/>
    <w:rsid w:val="00DF5617"/>
    <w:rsid w:val="00DF60D6"/>
    <w:rsid w:val="00DF6A42"/>
    <w:rsid w:val="00DF6D81"/>
    <w:rsid w:val="00DF71E6"/>
    <w:rsid w:val="00DF743E"/>
    <w:rsid w:val="00DF7CF6"/>
    <w:rsid w:val="00E00026"/>
    <w:rsid w:val="00E00928"/>
    <w:rsid w:val="00E01158"/>
    <w:rsid w:val="00E01729"/>
    <w:rsid w:val="00E01D1A"/>
    <w:rsid w:val="00E01DBD"/>
    <w:rsid w:val="00E01EC1"/>
    <w:rsid w:val="00E02ACD"/>
    <w:rsid w:val="00E02E73"/>
    <w:rsid w:val="00E02EC2"/>
    <w:rsid w:val="00E03201"/>
    <w:rsid w:val="00E037B6"/>
    <w:rsid w:val="00E038A8"/>
    <w:rsid w:val="00E041D7"/>
    <w:rsid w:val="00E045E6"/>
    <w:rsid w:val="00E04617"/>
    <w:rsid w:val="00E04778"/>
    <w:rsid w:val="00E0486E"/>
    <w:rsid w:val="00E04E05"/>
    <w:rsid w:val="00E04E28"/>
    <w:rsid w:val="00E05098"/>
    <w:rsid w:val="00E052C6"/>
    <w:rsid w:val="00E054C2"/>
    <w:rsid w:val="00E05530"/>
    <w:rsid w:val="00E0574E"/>
    <w:rsid w:val="00E0592E"/>
    <w:rsid w:val="00E0611C"/>
    <w:rsid w:val="00E061B7"/>
    <w:rsid w:val="00E068DF"/>
    <w:rsid w:val="00E06B67"/>
    <w:rsid w:val="00E06BBA"/>
    <w:rsid w:val="00E06EDA"/>
    <w:rsid w:val="00E06FBD"/>
    <w:rsid w:val="00E07464"/>
    <w:rsid w:val="00E079EC"/>
    <w:rsid w:val="00E07BBB"/>
    <w:rsid w:val="00E10762"/>
    <w:rsid w:val="00E11478"/>
    <w:rsid w:val="00E117CD"/>
    <w:rsid w:val="00E11B92"/>
    <w:rsid w:val="00E120EB"/>
    <w:rsid w:val="00E124A0"/>
    <w:rsid w:val="00E124FF"/>
    <w:rsid w:val="00E126C6"/>
    <w:rsid w:val="00E12732"/>
    <w:rsid w:val="00E12D9F"/>
    <w:rsid w:val="00E12DAE"/>
    <w:rsid w:val="00E12FAB"/>
    <w:rsid w:val="00E131B5"/>
    <w:rsid w:val="00E134BA"/>
    <w:rsid w:val="00E1350D"/>
    <w:rsid w:val="00E137D6"/>
    <w:rsid w:val="00E14121"/>
    <w:rsid w:val="00E14783"/>
    <w:rsid w:val="00E149DB"/>
    <w:rsid w:val="00E14CA0"/>
    <w:rsid w:val="00E15BBF"/>
    <w:rsid w:val="00E15D00"/>
    <w:rsid w:val="00E160DC"/>
    <w:rsid w:val="00E163A2"/>
    <w:rsid w:val="00E168CA"/>
    <w:rsid w:val="00E177D8"/>
    <w:rsid w:val="00E17CD2"/>
    <w:rsid w:val="00E17DF1"/>
    <w:rsid w:val="00E20418"/>
    <w:rsid w:val="00E208C0"/>
    <w:rsid w:val="00E2092F"/>
    <w:rsid w:val="00E20C6C"/>
    <w:rsid w:val="00E20E6E"/>
    <w:rsid w:val="00E20FE1"/>
    <w:rsid w:val="00E21434"/>
    <w:rsid w:val="00E217A4"/>
    <w:rsid w:val="00E21D19"/>
    <w:rsid w:val="00E21D5D"/>
    <w:rsid w:val="00E21EEC"/>
    <w:rsid w:val="00E22A7C"/>
    <w:rsid w:val="00E22BFE"/>
    <w:rsid w:val="00E22C3D"/>
    <w:rsid w:val="00E22CB1"/>
    <w:rsid w:val="00E22F86"/>
    <w:rsid w:val="00E2319E"/>
    <w:rsid w:val="00E2334D"/>
    <w:rsid w:val="00E23558"/>
    <w:rsid w:val="00E23750"/>
    <w:rsid w:val="00E239E9"/>
    <w:rsid w:val="00E23CA0"/>
    <w:rsid w:val="00E23EEE"/>
    <w:rsid w:val="00E2448E"/>
    <w:rsid w:val="00E245ED"/>
    <w:rsid w:val="00E24935"/>
    <w:rsid w:val="00E253F1"/>
    <w:rsid w:val="00E25554"/>
    <w:rsid w:val="00E25947"/>
    <w:rsid w:val="00E25CBC"/>
    <w:rsid w:val="00E25F9E"/>
    <w:rsid w:val="00E2602E"/>
    <w:rsid w:val="00E2604D"/>
    <w:rsid w:val="00E261C8"/>
    <w:rsid w:val="00E26426"/>
    <w:rsid w:val="00E27028"/>
    <w:rsid w:val="00E27561"/>
    <w:rsid w:val="00E2798D"/>
    <w:rsid w:val="00E30139"/>
    <w:rsid w:val="00E30C52"/>
    <w:rsid w:val="00E30D96"/>
    <w:rsid w:val="00E311EB"/>
    <w:rsid w:val="00E312F4"/>
    <w:rsid w:val="00E314E3"/>
    <w:rsid w:val="00E31603"/>
    <w:rsid w:val="00E317E5"/>
    <w:rsid w:val="00E31813"/>
    <w:rsid w:val="00E31F47"/>
    <w:rsid w:val="00E322E6"/>
    <w:rsid w:val="00E3233D"/>
    <w:rsid w:val="00E3245A"/>
    <w:rsid w:val="00E32603"/>
    <w:rsid w:val="00E33712"/>
    <w:rsid w:val="00E3394B"/>
    <w:rsid w:val="00E33F97"/>
    <w:rsid w:val="00E34279"/>
    <w:rsid w:val="00E3484E"/>
    <w:rsid w:val="00E35359"/>
    <w:rsid w:val="00E35429"/>
    <w:rsid w:val="00E35ABE"/>
    <w:rsid w:val="00E35B9B"/>
    <w:rsid w:val="00E35FB8"/>
    <w:rsid w:val="00E3645C"/>
    <w:rsid w:val="00E37001"/>
    <w:rsid w:val="00E37106"/>
    <w:rsid w:val="00E37276"/>
    <w:rsid w:val="00E3740B"/>
    <w:rsid w:val="00E37435"/>
    <w:rsid w:val="00E37E51"/>
    <w:rsid w:val="00E4002A"/>
    <w:rsid w:val="00E402C6"/>
    <w:rsid w:val="00E40ADC"/>
    <w:rsid w:val="00E40B55"/>
    <w:rsid w:val="00E40CAB"/>
    <w:rsid w:val="00E41A9D"/>
    <w:rsid w:val="00E41D5C"/>
    <w:rsid w:val="00E42409"/>
    <w:rsid w:val="00E42475"/>
    <w:rsid w:val="00E42C25"/>
    <w:rsid w:val="00E42DE1"/>
    <w:rsid w:val="00E43798"/>
    <w:rsid w:val="00E43E2B"/>
    <w:rsid w:val="00E44081"/>
    <w:rsid w:val="00E44156"/>
    <w:rsid w:val="00E44499"/>
    <w:rsid w:val="00E444EA"/>
    <w:rsid w:val="00E44790"/>
    <w:rsid w:val="00E44AED"/>
    <w:rsid w:val="00E450C9"/>
    <w:rsid w:val="00E453D7"/>
    <w:rsid w:val="00E455E5"/>
    <w:rsid w:val="00E46783"/>
    <w:rsid w:val="00E46C30"/>
    <w:rsid w:val="00E46CEB"/>
    <w:rsid w:val="00E46E6B"/>
    <w:rsid w:val="00E473F9"/>
    <w:rsid w:val="00E477B3"/>
    <w:rsid w:val="00E5001E"/>
    <w:rsid w:val="00E5004B"/>
    <w:rsid w:val="00E5086D"/>
    <w:rsid w:val="00E50A59"/>
    <w:rsid w:val="00E50F82"/>
    <w:rsid w:val="00E516FE"/>
    <w:rsid w:val="00E51D76"/>
    <w:rsid w:val="00E51DDB"/>
    <w:rsid w:val="00E52619"/>
    <w:rsid w:val="00E52DF5"/>
    <w:rsid w:val="00E533FE"/>
    <w:rsid w:val="00E535FA"/>
    <w:rsid w:val="00E54440"/>
    <w:rsid w:val="00E54561"/>
    <w:rsid w:val="00E54D92"/>
    <w:rsid w:val="00E552F0"/>
    <w:rsid w:val="00E55C82"/>
    <w:rsid w:val="00E55E47"/>
    <w:rsid w:val="00E55F34"/>
    <w:rsid w:val="00E55FEF"/>
    <w:rsid w:val="00E56037"/>
    <w:rsid w:val="00E560B6"/>
    <w:rsid w:val="00E56700"/>
    <w:rsid w:val="00E568D3"/>
    <w:rsid w:val="00E56EB2"/>
    <w:rsid w:val="00E57D19"/>
    <w:rsid w:val="00E57EB3"/>
    <w:rsid w:val="00E57F95"/>
    <w:rsid w:val="00E60021"/>
    <w:rsid w:val="00E601C8"/>
    <w:rsid w:val="00E609A6"/>
    <w:rsid w:val="00E617BB"/>
    <w:rsid w:val="00E61CE9"/>
    <w:rsid w:val="00E61E93"/>
    <w:rsid w:val="00E61F24"/>
    <w:rsid w:val="00E6201D"/>
    <w:rsid w:val="00E62493"/>
    <w:rsid w:val="00E62553"/>
    <w:rsid w:val="00E62581"/>
    <w:rsid w:val="00E62906"/>
    <w:rsid w:val="00E629D4"/>
    <w:rsid w:val="00E62C71"/>
    <w:rsid w:val="00E62D31"/>
    <w:rsid w:val="00E62D89"/>
    <w:rsid w:val="00E63E9C"/>
    <w:rsid w:val="00E64311"/>
    <w:rsid w:val="00E64C96"/>
    <w:rsid w:val="00E65D07"/>
    <w:rsid w:val="00E65D54"/>
    <w:rsid w:val="00E662C5"/>
    <w:rsid w:val="00E677A9"/>
    <w:rsid w:val="00E67DE6"/>
    <w:rsid w:val="00E70100"/>
    <w:rsid w:val="00E70AFF"/>
    <w:rsid w:val="00E70BBC"/>
    <w:rsid w:val="00E71746"/>
    <w:rsid w:val="00E71AA4"/>
    <w:rsid w:val="00E71DA5"/>
    <w:rsid w:val="00E71F89"/>
    <w:rsid w:val="00E721E6"/>
    <w:rsid w:val="00E72264"/>
    <w:rsid w:val="00E72B4E"/>
    <w:rsid w:val="00E72C23"/>
    <w:rsid w:val="00E73046"/>
    <w:rsid w:val="00E733E5"/>
    <w:rsid w:val="00E73593"/>
    <w:rsid w:val="00E73649"/>
    <w:rsid w:val="00E737ED"/>
    <w:rsid w:val="00E739C6"/>
    <w:rsid w:val="00E73AD3"/>
    <w:rsid w:val="00E74387"/>
    <w:rsid w:val="00E74CF2"/>
    <w:rsid w:val="00E75605"/>
    <w:rsid w:val="00E75D40"/>
    <w:rsid w:val="00E767AF"/>
    <w:rsid w:val="00E76CBA"/>
    <w:rsid w:val="00E8022F"/>
    <w:rsid w:val="00E80234"/>
    <w:rsid w:val="00E80444"/>
    <w:rsid w:val="00E8050B"/>
    <w:rsid w:val="00E80E01"/>
    <w:rsid w:val="00E80E4D"/>
    <w:rsid w:val="00E80F4B"/>
    <w:rsid w:val="00E81197"/>
    <w:rsid w:val="00E811B2"/>
    <w:rsid w:val="00E815C4"/>
    <w:rsid w:val="00E81C96"/>
    <w:rsid w:val="00E82202"/>
    <w:rsid w:val="00E8280C"/>
    <w:rsid w:val="00E82B5A"/>
    <w:rsid w:val="00E82BDB"/>
    <w:rsid w:val="00E83255"/>
    <w:rsid w:val="00E842DC"/>
    <w:rsid w:val="00E843F2"/>
    <w:rsid w:val="00E84AA5"/>
    <w:rsid w:val="00E84B99"/>
    <w:rsid w:val="00E84DD4"/>
    <w:rsid w:val="00E86189"/>
    <w:rsid w:val="00E864BB"/>
    <w:rsid w:val="00E864C0"/>
    <w:rsid w:val="00E8664F"/>
    <w:rsid w:val="00E866AC"/>
    <w:rsid w:val="00E87490"/>
    <w:rsid w:val="00E875B7"/>
    <w:rsid w:val="00E8784E"/>
    <w:rsid w:val="00E87B87"/>
    <w:rsid w:val="00E87FC4"/>
    <w:rsid w:val="00E905B1"/>
    <w:rsid w:val="00E90980"/>
    <w:rsid w:val="00E90A89"/>
    <w:rsid w:val="00E91603"/>
    <w:rsid w:val="00E917E2"/>
    <w:rsid w:val="00E91985"/>
    <w:rsid w:val="00E91B5E"/>
    <w:rsid w:val="00E92136"/>
    <w:rsid w:val="00E92459"/>
    <w:rsid w:val="00E92E84"/>
    <w:rsid w:val="00E92FC9"/>
    <w:rsid w:val="00E932D5"/>
    <w:rsid w:val="00E93AF2"/>
    <w:rsid w:val="00E93E82"/>
    <w:rsid w:val="00E94131"/>
    <w:rsid w:val="00E9483D"/>
    <w:rsid w:val="00E953B9"/>
    <w:rsid w:val="00E955CD"/>
    <w:rsid w:val="00E95EE1"/>
    <w:rsid w:val="00E9615D"/>
    <w:rsid w:val="00E9620C"/>
    <w:rsid w:val="00E962F5"/>
    <w:rsid w:val="00E964E8"/>
    <w:rsid w:val="00E96CC5"/>
    <w:rsid w:val="00E96E07"/>
    <w:rsid w:val="00E96F0F"/>
    <w:rsid w:val="00E975CD"/>
    <w:rsid w:val="00E977E5"/>
    <w:rsid w:val="00E979D9"/>
    <w:rsid w:val="00E97C4D"/>
    <w:rsid w:val="00E97C5A"/>
    <w:rsid w:val="00EA002D"/>
    <w:rsid w:val="00EA0499"/>
    <w:rsid w:val="00EA0CBB"/>
    <w:rsid w:val="00EA161A"/>
    <w:rsid w:val="00EA1E02"/>
    <w:rsid w:val="00EA1F16"/>
    <w:rsid w:val="00EA245E"/>
    <w:rsid w:val="00EA374C"/>
    <w:rsid w:val="00EA38E8"/>
    <w:rsid w:val="00EA3B0D"/>
    <w:rsid w:val="00EA3B56"/>
    <w:rsid w:val="00EA3EB9"/>
    <w:rsid w:val="00EA3FF0"/>
    <w:rsid w:val="00EA40AA"/>
    <w:rsid w:val="00EA4288"/>
    <w:rsid w:val="00EA5234"/>
    <w:rsid w:val="00EA588D"/>
    <w:rsid w:val="00EA639E"/>
    <w:rsid w:val="00EA6487"/>
    <w:rsid w:val="00EA648C"/>
    <w:rsid w:val="00EA64DD"/>
    <w:rsid w:val="00EA6731"/>
    <w:rsid w:val="00EA6E1A"/>
    <w:rsid w:val="00EA7903"/>
    <w:rsid w:val="00EA7DF9"/>
    <w:rsid w:val="00EB078C"/>
    <w:rsid w:val="00EB0D89"/>
    <w:rsid w:val="00EB117B"/>
    <w:rsid w:val="00EB11A3"/>
    <w:rsid w:val="00EB140B"/>
    <w:rsid w:val="00EB173F"/>
    <w:rsid w:val="00EB1DC5"/>
    <w:rsid w:val="00EB20FA"/>
    <w:rsid w:val="00EB2465"/>
    <w:rsid w:val="00EB25DA"/>
    <w:rsid w:val="00EB2843"/>
    <w:rsid w:val="00EB28F3"/>
    <w:rsid w:val="00EB2B86"/>
    <w:rsid w:val="00EB2D97"/>
    <w:rsid w:val="00EB2DE3"/>
    <w:rsid w:val="00EB3BF3"/>
    <w:rsid w:val="00EB4463"/>
    <w:rsid w:val="00EB449F"/>
    <w:rsid w:val="00EB45C9"/>
    <w:rsid w:val="00EB4CA4"/>
    <w:rsid w:val="00EB5121"/>
    <w:rsid w:val="00EB58F9"/>
    <w:rsid w:val="00EB5DCA"/>
    <w:rsid w:val="00EB6A88"/>
    <w:rsid w:val="00EB7678"/>
    <w:rsid w:val="00EB7773"/>
    <w:rsid w:val="00EB7DBB"/>
    <w:rsid w:val="00EC011E"/>
    <w:rsid w:val="00EC026F"/>
    <w:rsid w:val="00EC029E"/>
    <w:rsid w:val="00EC0954"/>
    <w:rsid w:val="00EC0C61"/>
    <w:rsid w:val="00EC0E86"/>
    <w:rsid w:val="00EC1829"/>
    <w:rsid w:val="00EC25A3"/>
    <w:rsid w:val="00EC2600"/>
    <w:rsid w:val="00EC261F"/>
    <w:rsid w:val="00EC2704"/>
    <w:rsid w:val="00EC2DCB"/>
    <w:rsid w:val="00EC2ED4"/>
    <w:rsid w:val="00EC2F4E"/>
    <w:rsid w:val="00EC32A2"/>
    <w:rsid w:val="00EC38DA"/>
    <w:rsid w:val="00EC3BA0"/>
    <w:rsid w:val="00EC3C1A"/>
    <w:rsid w:val="00EC4208"/>
    <w:rsid w:val="00EC45D3"/>
    <w:rsid w:val="00EC4871"/>
    <w:rsid w:val="00EC62C6"/>
    <w:rsid w:val="00EC657C"/>
    <w:rsid w:val="00EC67F1"/>
    <w:rsid w:val="00EC6FBE"/>
    <w:rsid w:val="00EC7912"/>
    <w:rsid w:val="00EC7949"/>
    <w:rsid w:val="00EC7E75"/>
    <w:rsid w:val="00ED0E63"/>
    <w:rsid w:val="00ED1396"/>
    <w:rsid w:val="00ED1BE9"/>
    <w:rsid w:val="00ED1C54"/>
    <w:rsid w:val="00ED1EF4"/>
    <w:rsid w:val="00ED24D7"/>
    <w:rsid w:val="00ED278B"/>
    <w:rsid w:val="00ED30B2"/>
    <w:rsid w:val="00ED31A0"/>
    <w:rsid w:val="00ED3E41"/>
    <w:rsid w:val="00ED40CC"/>
    <w:rsid w:val="00ED41B8"/>
    <w:rsid w:val="00ED4B44"/>
    <w:rsid w:val="00ED4D1E"/>
    <w:rsid w:val="00ED51F9"/>
    <w:rsid w:val="00ED56E6"/>
    <w:rsid w:val="00ED592A"/>
    <w:rsid w:val="00ED5AC7"/>
    <w:rsid w:val="00ED5B48"/>
    <w:rsid w:val="00ED6201"/>
    <w:rsid w:val="00ED65C5"/>
    <w:rsid w:val="00ED76A8"/>
    <w:rsid w:val="00ED7A99"/>
    <w:rsid w:val="00ED7E0C"/>
    <w:rsid w:val="00ED7ECC"/>
    <w:rsid w:val="00ED7ED8"/>
    <w:rsid w:val="00ED7F26"/>
    <w:rsid w:val="00EE0280"/>
    <w:rsid w:val="00EE02B8"/>
    <w:rsid w:val="00EE0C46"/>
    <w:rsid w:val="00EE136A"/>
    <w:rsid w:val="00EE1686"/>
    <w:rsid w:val="00EE1771"/>
    <w:rsid w:val="00EE17FD"/>
    <w:rsid w:val="00EE2B24"/>
    <w:rsid w:val="00EE2E81"/>
    <w:rsid w:val="00EE3623"/>
    <w:rsid w:val="00EE437D"/>
    <w:rsid w:val="00EE46D5"/>
    <w:rsid w:val="00EE618E"/>
    <w:rsid w:val="00EE683B"/>
    <w:rsid w:val="00EE685D"/>
    <w:rsid w:val="00EE6F62"/>
    <w:rsid w:val="00EE6FA2"/>
    <w:rsid w:val="00EE7104"/>
    <w:rsid w:val="00EE744D"/>
    <w:rsid w:val="00EE77A1"/>
    <w:rsid w:val="00EE7842"/>
    <w:rsid w:val="00EE7985"/>
    <w:rsid w:val="00EE7B68"/>
    <w:rsid w:val="00EE7E81"/>
    <w:rsid w:val="00EF0473"/>
    <w:rsid w:val="00EF0512"/>
    <w:rsid w:val="00EF05EA"/>
    <w:rsid w:val="00EF1134"/>
    <w:rsid w:val="00EF1C8E"/>
    <w:rsid w:val="00EF2160"/>
    <w:rsid w:val="00EF2572"/>
    <w:rsid w:val="00EF333B"/>
    <w:rsid w:val="00EF33B6"/>
    <w:rsid w:val="00EF377A"/>
    <w:rsid w:val="00EF442A"/>
    <w:rsid w:val="00EF448D"/>
    <w:rsid w:val="00EF4EDF"/>
    <w:rsid w:val="00EF4F12"/>
    <w:rsid w:val="00EF4F7C"/>
    <w:rsid w:val="00EF5167"/>
    <w:rsid w:val="00EF5772"/>
    <w:rsid w:val="00EF57DD"/>
    <w:rsid w:val="00EF678E"/>
    <w:rsid w:val="00EF7728"/>
    <w:rsid w:val="00EF7796"/>
    <w:rsid w:val="00EF7EAB"/>
    <w:rsid w:val="00EF7FE7"/>
    <w:rsid w:val="00F00296"/>
    <w:rsid w:val="00F00976"/>
    <w:rsid w:val="00F00B02"/>
    <w:rsid w:val="00F00D33"/>
    <w:rsid w:val="00F00E70"/>
    <w:rsid w:val="00F00F74"/>
    <w:rsid w:val="00F010F9"/>
    <w:rsid w:val="00F012D9"/>
    <w:rsid w:val="00F0138E"/>
    <w:rsid w:val="00F01405"/>
    <w:rsid w:val="00F01932"/>
    <w:rsid w:val="00F01E91"/>
    <w:rsid w:val="00F01ED4"/>
    <w:rsid w:val="00F021E2"/>
    <w:rsid w:val="00F0221F"/>
    <w:rsid w:val="00F02541"/>
    <w:rsid w:val="00F02DB0"/>
    <w:rsid w:val="00F02EEC"/>
    <w:rsid w:val="00F03139"/>
    <w:rsid w:val="00F0395A"/>
    <w:rsid w:val="00F039D9"/>
    <w:rsid w:val="00F03C47"/>
    <w:rsid w:val="00F03F21"/>
    <w:rsid w:val="00F050D1"/>
    <w:rsid w:val="00F0544B"/>
    <w:rsid w:val="00F057B2"/>
    <w:rsid w:val="00F05A33"/>
    <w:rsid w:val="00F05E41"/>
    <w:rsid w:val="00F060B3"/>
    <w:rsid w:val="00F0628A"/>
    <w:rsid w:val="00F0637D"/>
    <w:rsid w:val="00F07200"/>
    <w:rsid w:val="00F0743F"/>
    <w:rsid w:val="00F07AE5"/>
    <w:rsid w:val="00F07B2F"/>
    <w:rsid w:val="00F10071"/>
    <w:rsid w:val="00F10726"/>
    <w:rsid w:val="00F11088"/>
    <w:rsid w:val="00F114FF"/>
    <w:rsid w:val="00F11589"/>
    <w:rsid w:val="00F117CA"/>
    <w:rsid w:val="00F11A04"/>
    <w:rsid w:val="00F11A25"/>
    <w:rsid w:val="00F11BA5"/>
    <w:rsid w:val="00F12458"/>
    <w:rsid w:val="00F126E3"/>
    <w:rsid w:val="00F13241"/>
    <w:rsid w:val="00F132B0"/>
    <w:rsid w:val="00F134A5"/>
    <w:rsid w:val="00F13680"/>
    <w:rsid w:val="00F13780"/>
    <w:rsid w:val="00F13CB4"/>
    <w:rsid w:val="00F13EA7"/>
    <w:rsid w:val="00F13FD3"/>
    <w:rsid w:val="00F141D5"/>
    <w:rsid w:val="00F146DC"/>
    <w:rsid w:val="00F14BAB"/>
    <w:rsid w:val="00F151CF"/>
    <w:rsid w:val="00F15782"/>
    <w:rsid w:val="00F15C61"/>
    <w:rsid w:val="00F15D12"/>
    <w:rsid w:val="00F16A10"/>
    <w:rsid w:val="00F16D75"/>
    <w:rsid w:val="00F16E2F"/>
    <w:rsid w:val="00F16F44"/>
    <w:rsid w:val="00F17445"/>
    <w:rsid w:val="00F17722"/>
    <w:rsid w:val="00F179AA"/>
    <w:rsid w:val="00F20057"/>
    <w:rsid w:val="00F20191"/>
    <w:rsid w:val="00F206AF"/>
    <w:rsid w:val="00F21484"/>
    <w:rsid w:val="00F21877"/>
    <w:rsid w:val="00F21C33"/>
    <w:rsid w:val="00F21C54"/>
    <w:rsid w:val="00F22289"/>
    <w:rsid w:val="00F223CB"/>
    <w:rsid w:val="00F225E2"/>
    <w:rsid w:val="00F2297B"/>
    <w:rsid w:val="00F22AA4"/>
    <w:rsid w:val="00F22B70"/>
    <w:rsid w:val="00F22BF3"/>
    <w:rsid w:val="00F23341"/>
    <w:rsid w:val="00F23AE4"/>
    <w:rsid w:val="00F243AC"/>
    <w:rsid w:val="00F243BB"/>
    <w:rsid w:val="00F24767"/>
    <w:rsid w:val="00F24DDD"/>
    <w:rsid w:val="00F250AE"/>
    <w:rsid w:val="00F25214"/>
    <w:rsid w:val="00F253DC"/>
    <w:rsid w:val="00F257CA"/>
    <w:rsid w:val="00F261C4"/>
    <w:rsid w:val="00F264EA"/>
    <w:rsid w:val="00F26846"/>
    <w:rsid w:val="00F275C1"/>
    <w:rsid w:val="00F27A18"/>
    <w:rsid w:val="00F27B27"/>
    <w:rsid w:val="00F27B6B"/>
    <w:rsid w:val="00F27BA4"/>
    <w:rsid w:val="00F27BB2"/>
    <w:rsid w:val="00F27CF2"/>
    <w:rsid w:val="00F30030"/>
    <w:rsid w:val="00F3017F"/>
    <w:rsid w:val="00F3125F"/>
    <w:rsid w:val="00F32458"/>
    <w:rsid w:val="00F32743"/>
    <w:rsid w:val="00F33021"/>
    <w:rsid w:val="00F334C2"/>
    <w:rsid w:val="00F336A0"/>
    <w:rsid w:val="00F336D2"/>
    <w:rsid w:val="00F33DE2"/>
    <w:rsid w:val="00F3447F"/>
    <w:rsid w:val="00F347F9"/>
    <w:rsid w:val="00F34ECD"/>
    <w:rsid w:val="00F354F5"/>
    <w:rsid w:val="00F355B6"/>
    <w:rsid w:val="00F3565B"/>
    <w:rsid w:val="00F35977"/>
    <w:rsid w:val="00F36446"/>
    <w:rsid w:val="00F3656F"/>
    <w:rsid w:val="00F365C2"/>
    <w:rsid w:val="00F365E1"/>
    <w:rsid w:val="00F365F9"/>
    <w:rsid w:val="00F36AB1"/>
    <w:rsid w:val="00F36AFD"/>
    <w:rsid w:val="00F37073"/>
    <w:rsid w:val="00F37241"/>
    <w:rsid w:val="00F37329"/>
    <w:rsid w:val="00F37A1A"/>
    <w:rsid w:val="00F40597"/>
    <w:rsid w:val="00F40898"/>
    <w:rsid w:val="00F40930"/>
    <w:rsid w:val="00F40F92"/>
    <w:rsid w:val="00F41175"/>
    <w:rsid w:val="00F414C3"/>
    <w:rsid w:val="00F4192A"/>
    <w:rsid w:val="00F41A5B"/>
    <w:rsid w:val="00F41CCC"/>
    <w:rsid w:val="00F41F4A"/>
    <w:rsid w:val="00F42265"/>
    <w:rsid w:val="00F427EB"/>
    <w:rsid w:val="00F431AD"/>
    <w:rsid w:val="00F43412"/>
    <w:rsid w:val="00F43502"/>
    <w:rsid w:val="00F4360E"/>
    <w:rsid w:val="00F4387A"/>
    <w:rsid w:val="00F43C6F"/>
    <w:rsid w:val="00F43EAC"/>
    <w:rsid w:val="00F4480C"/>
    <w:rsid w:val="00F4492E"/>
    <w:rsid w:val="00F44E27"/>
    <w:rsid w:val="00F450FA"/>
    <w:rsid w:val="00F452CB"/>
    <w:rsid w:val="00F45541"/>
    <w:rsid w:val="00F4560B"/>
    <w:rsid w:val="00F456EE"/>
    <w:rsid w:val="00F45910"/>
    <w:rsid w:val="00F45C78"/>
    <w:rsid w:val="00F45D26"/>
    <w:rsid w:val="00F464F8"/>
    <w:rsid w:val="00F46511"/>
    <w:rsid w:val="00F46997"/>
    <w:rsid w:val="00F47142"/>
    <w:rsid w:val="00F47399"/>
    <w:rsid w:val="00F47781"/>
    <w:rsid w:val="00F500D6"/>
    <w:rsid w:val="00F5013A"/>
    <w:rsid w:val="00F509FB"/>
    <w:rsid w:val="00F50C7C"/>
    <w:rsid w:val="00F51134"/>
    <w:rsid w:val="00F5117B"/>
    <w:rsid w:val="00F51287"/>
    <w:rsid w:val="00F5167A"/>
    <w:rsid w:val="00F516D3"/>
    <w:rsid w:val="00F51904"/>
    <w:rsid w:val="00F51995"/>
    <w:rsid w:val="00F51C62"/>
    <w:rsid w:val="00F51E59"/>
    <w:rsid w:val="00F52050"/>
    <w:rsid w:val="00F52167"/>
    <w:rsid w:val="00F522C4"/>
    <w:rsid w:val="00F526B5"/>
    <w:rsid w:val="00F52882"/>
    <w:rsid w:val="00F52C69"/>
    <w:rsid w:val="00F52DF8"/>
    <w:rsid w:val="00F53221"/>
    <w:rsid w:val="00F53329"/>
    <w:rsid w:val="00F533BD"/>
    <w:rsid w:val="00F53A03"/>
    <w:rsid w:val="00F542BD"/>
    <w:rsid w:val="00F54F61"/>
    <w:rsid w:val="00F551DE"/>
    <w:rsid w:val="00F553C9"/>
    <w:rsid w:val="00F55ABA"/>
    <w:rsid w:val="00F55DFA"/>
    <w:rsid w:val="00F5648F"/>
    <w:rsid w:val="00F564CE"/>
    <w:rsid w:val="00F56572"/>
    <w:rsid w:val="00F57022"/>
    <w:rsid w:val="00F570B2"/>
    <w:rsid w:val="00F5734A"/>
    <w:rsid w:val="00F573CC"/>
    <w:rsid w:val="00F57BE8"/>
    <w:rsid w:val="00F57CAC"/>
    <w:rsid w:val="00F602F4"/>
    <w:rsid w:val="00F60A35"/>
    <w:rsid w:val="00F60A8F"/>
    <w:rsid w:val="00F60C73"/>
    <w:rsid w:val="00F60DE4"/>
    <w:rsid w:val="00F60F3A"/>
    <w:rsid w:val="00F61066"/>
    <w:rsid w:val="00F6109A"/>
    <w:rsid w:val="00F614A7"/>
    <w:rsid w:val="00F615DA"/>
    <w:rsid w:val="00F6173D"/>
    <w:rsid w:val="00F61943"/>
    <w:rsid w:val="00F61B88"/>
    <w:rsid w:val="00F62E6D"/>
    <w:rsid w:val="00F62F9F"/>
    <w:rsid w:val="00F63CB9"/>
    <w:rsid w:val="00F64007"/>
    <w:rsid w:val="00F64050"/>
    <w:rsid w:val="00F64288"/>
    <w:rsid w:val="00F64CBF"/>
    <w:rsid w:val="00F64F89"/>
    <w:rsid w:val="00F657BF"/>
    <w:rsid w:val="00F6584F"/>
    <w:rsid w:val="00F66B03"/>
    <w:rsid w:val="00F66BC9"/>
    <w:rsid w:val="00F67639"/>
    <w:rsid w:val="00F67F20"/>
    <w:rsid w:val="00F704A5"/>
    <w:rsid w:val="00F716B5"/>
    <w:rsid w:val="00F71A87"/>
    <w:rsid w:val="00F71FDD"/>
    <w:rsid w:val="00F72068"/>
    <w:rsid w:val="00F7261C"/>
    <w:rsid w:val="00F7265E"/>
    <w:rsid w:val="00F728DD"/>
    <w:rsid w:val="00F72B1F"/>
    <w:rsid w:val="00F72BA6"/>
    <w:rsid w:val="00F72C9F"/>
    <w:rsid w:val="00F733EF"/>
    <w:rsid w:val="00F7346F"/>
    <w:rsid w:val="00F73514"/>
    <w:rsid w:val="00F735B1"/>
    <w:rsid w:val="00F73611"/>
    <w:rsid w:val="00F73C6C"/>
    <w:rsid w:val="00F74218"/>
    <w:rsid w:val="00F74567"/>
    <w:rsid w:val="00F746E5"/>
    <w:rsid w:val="00F74935"/>
    <w:rsid w:val="00F7520D"/>
    <w:rsid w:val="00F754AA"/>
    <w:rsid w:val="00F7587C"/>
    <w:rsid w:val="00F75C4B"/>
    <w:rsid w:val="00F75DEF"/>
    <w:rsid w:val="00F760B6"/>
    <w:rsid w:val="00F768E2"/>
    <w:rsid w:val="00F76C57"/>
    <w:rsid w:val="00F76DAB"/>
    <w:rsid w:val="00F7758F"/>
    <w:rsid w:val="00F778E0"/>
    <w:rsid w:val="00F77920"/>
    <w:rsid w:val="00F77A81"/>
    <w:rsid w:val="00F77CC1"/>
    <w:rsid w:val="00F77D52"/>
    <w:rsid w:val="00F80810"/>
    <w:rsid w:val="00F80B94"/>
    <w:rsid w:val="00F81361"/>
    <w:rsid w:val="00F814AC"/>
    <w:rsid w:val="00F816E3"/>
    <w:rsid w:val="00F816E6"/>
    <w:rsid w:val="00F817FB"/>
    <w:rsid w:val="00F81F13"/>
    <w:rsid w:val="00F827FF"/>
    <w:rsid w:val="00F82EA7"/>
    <w:rsid w:val="00F835EA"/>
    <w:rsid w:val="00F83D39"/>
    <w:rsid w:val="00F846BE"/>
    <w:rsid w:val="00F84DED"/>
    <w:rsid w:val="00F84E56"/>
    <w:rsid w:val="00F84F56"/>
    <w:rsid w:val="00F84FBA"/>
    <w:rsid w:val="00F859E8"/>
    <w:rsid w:val="00F85B25"/>
    <w:rsid w:val="00F85DBF"/>
    <w:rsid w:val="00F8618A"/>
    <w:rsid w:val="00F861AC"/>
    <w:rsid w:val="00F868B5"/>
    <w:rsid w:val="00F873D1"/>
    <w:rsid w:val="00F87627"/>
    <w:rsid w:val="00F87B2B"/>
    <w:rsid w:val="00F87CA4"/>
    <w:rsid w:val="00F87D4A"/>
    <w:rsid w:val="00F87E11"/>
    <w:rsid w:val="00F87FC1"/>
    <w:rsid w:val="00F90270"/>
    <w:rsid w:val="00F90463"/>
    <w:rsid w:val="00F9093F"/>
    <w:rsid w:val="00F909B8"/>
    <w:rsid w:val="00F90C99"/>
    <w:rsid w:val="00F90F9D"/>
    <w:rsid w:val="00F917D4"/>
    <w:rsid w:val="00F92665"/>
    <w:rsid w:val="00F927C7"/>
    <w:rsid w:val="00F92B9F"/>
    <w:rsid w:val="00F9326B"/>
    <w:rsid w:val="00F93310"/>
    <w:rsid w:val="00F935BC"/>
    <w:rsid w:val="00F942F6"/>
    <w:rsid w:val="00F944A5"/>
    <w:rsid w:val="00F94574"/>
    <w:rsid w:val="00F949D1"/>
    <w:rsid w:val="00F94AAE"/>
    <w:rsid w:val="00F94F99"/>
    <w:rsid w:val="00F95288"/>
    <w:rsid w:val="00F95554"/>
    <w:rsid w:val="00F959B3"/>
    <w:rsid w:val="00F9617A"/>
    <w:rsid w:val="00F9648B"/>
    <w:rsid w:val="00F968C3"/>
    <w:rsid w:val="00F96FC5"/>
    <w:rsid w:val="00F976FB"/>
    <w:rsid w:val="00F97852"/>
    <w:rsid w:val="00FA00EC"/>
    <w:rsid w:val="00FA0E00"/>
    <w:rsid w:val="00FA1BF8"/>
    <w:rsid w:val="00FA1EE8"/>
    <w:rsid w:val="00FA2356"/>
    <w:rsid w:val="00FA2D75"/>
    <w:rsid w:val="00FA2F9B"/>
    <w:rsid w:val="00FA311A"/>
    <w:rsid w:val="00FA39AC"/>
    <w:rsid w:val="00FA3DCB"/>
    <w:rsid w:val="00FA4A3C"/>
    <w:rsid w:val="00FA4AB2"/>
    <w:rsid w:val="00FA4B56"/>
    <w:rsid w:val="00FA4C6E"/>
    <w:rsid w:val="00FA52E7"/>
    <w:rsid w:val="00FA55F4"/>
    <w:rsid w:val="00FA5B9D"/>
    <w:rsid w:val="00FA6392"/>
    <w:rsid w:val="00FA658A"/>
    <w:rsid w:val="00FA67FD"/>
    <w:rsid w:val="00FA6835"/>
    <w:rsid w:val="00FA7A19"/>
    <w:rsid w:val="00FB0C17"/>
    <w:rsid w:val="00FB15F9"/>
    <w:rsid w:val="00FB16D4"/>
    <w:rsid w:val="00FB1858"/>
    <w:rsid w:val="00FB1BA7"/>
    <w:rsid w:val="00FB1F8A"/>
    <w:rsid w:val="00FB1FA8"/>
    <w:rsid w:val="00FB2529"/>
    <w:rsid w:val="00FB2BC5"/>
    <w:rsid w:val="00FB30EE"/>
    <w:rsid w:val="00FB3105"/>
    <w:rsid w:val="00FB3D23"/>
    <w:rsid w:val="00FB3D76"/>
    <w:rsid w:val="00FB424E"/>
    <w:rsid w:val="00FB4783"/>
    <w:rsid w:val="00FB47C2"/>
    <w:rsid w:val="00FB4A10"/>
    <w:rsid w:val="00FB4B12"/>
    <w:rsid w:val="00FB4DFB"/>
    <w:rsid w:val="00FB500C"/>
    <w:rsid w:val="00FB59D2"/>
    <w:rsid w:val="00FB5C01"/>
    <w:rsid w:val="00FB604D"/>
    <w:rsid w:val="00FB67F5"/>
    <w:rsid w:val="00FB696C"/>
    <w:rsid w:val="00FB7077"/>
    <w:rsid w:val="00FB7E19"/>
    <w:rsid w:val="00FC00A4"/>
    <w:rsid w:val="00FC0D77"/>
    <w:rsid w:val="00FC174A"/>
    <w:rsid w:val="00FC20DB"/>
    <w:rsid w:val="00FC2515"/>
    <w:rsid w:val="00FC274E"/>
    <w:rsid w:val="00FC2AFB"/>
    <w:rsid w:val="00FC2C96"/>
    <w:rsid w:val="00FC2D94"/>
    <w:rsid w:val="00FC31AA"/>
    <w:rsid w:val="00FC35ED"/>
    <w:rsid w:val="00FC397A"/>
    <w:rsid w:val="00FC3D2D"/>
    <w:rsid w:val="00FC3E3A"/>
    <w:rsid w:val="00FC3FE4"/>
    <w:rsid w:val="00FC4778"/>
    <w:rsid w:val="00FC4C90"/>
    <w:rsid w:val="00FC5504"/>
    <w:rsid w:val="00FC561C"/>
    <w:rsid w:val="00FC59BD"/>
    <w:rsid w:val="00FC6B65"/>
    <w:rsid w:val="00FC6F09"/>
    <w:rsid w:val="00FC7474"/>
    <w:rsid w:val="00FC751B"/>
    <w:rsid w:val="00FC78AE"/>
    <w:rsid w:val="00FC7925"/>
    <w:rsid w:val="00FC7FB2"/>
    <w:rsid w:val="00FD040E"/>
    <w:rsid w:val="00FD0548"/>
    <w:rsid w:val="00FD0549"/>
    <w:rsid w:val="00FD055E"/>
    <w:rsid w:val="00FD0859"/>
    <w:rsid w:val="00FD0C57"/>
    <w:rsid w:val="00FD0E35"/>
    <w:rsid w:val="00FD0EF1"/>
    <w:rsid w:val="00FD0FFC"/>
    <w:rsid w:val="00FD107E"/>
    <w:rsid w:val="00FD1238"/>
    <w:rsid w:val="00FD171B"/>
    <w:rsid w:val="00FD20D1"/>
    <w:rsid w:val="00FD2F60"/>
    <w:rsid w:val="00FD32D4"/>
    <w:rsid w:val="00FD3355"/>
    <w:rsid w:val="00FD4DB9"/>
    <w:rsid w:val="00FD569B"/>
    <w:rsid w:val="00FD581F"/>
    <w:rsid w:val="00FD5A45"/>
    <w:rsid w:val="00FD5C79"/>
    <w:rsid w:val="00FD6016"/>
    <w:rsid w:val="00FD61F0"/>
    <w:rsid w:val="00FD6202"/>
    <w:rsid w:val="00FD6378"/>
    <w:rsid w:val="00FD65D2"/>
    <w:rsid w:val="00FD6E43"/>
    <w:rsid w:val="00FD70B6"/>
    <w:rsid w:val="00FD77DC"/>
    <w:rsid w:val="00FD7B32"/>
    <w:rsid w:val="00FE0179"/>
    <w:rsid w:val="00FE1522"/>
    <w:rsid w:val="00FE31EB"/>
    <w:rsid w:val="00FE3250"/>
    <w:rsid w:val="00FE3CCE"/>
    <w:rsid w:val="00FE3CF7"/>
    <w:rsid w:val="00FE3F92"/>
    <w:rsid w:val="00FE4189"/>
    <w:rsid w:val="00FE459D"/>
    <w:rsid w:val="00FE517F"/>
    <w:rsid w:val="00FE558B"/>
    <w:rsid w:val="00FE5F2D"/>
    <w:rsid w:val="00FE6EB0"/>
    <w:rsid w:val="00FE6EF7"/>
    <w:rsid w:val="00FE734A"/>
    <w:rsid w:val="00FE7901"/>
    <w:rsid w:val="00FE7DE5"/>
    <w:rsid w:val="00FE7EF8"/>
    <w:rsid w:val="00FF0D30"/>
    <w:rsid w:val="00FF0E97"/>
    <w:rsid w:val="00FF137C"/>
    <w:rsid w:val="00FF18B9"/>
    <w:rsid w:val="00FF1C77"/>
    <w:rsid w:val="00FF1D07"/>
    <w:rsid w:val="00FF2021"/>
    <w:rsid w:val="00FF20CB"/>
    <w:rsid w:val="00FF2507"/>
    <w:rsid w:val="00FF2BEB"/>
    <w:rsid w:val="00FF3191"/>
    <w:rsid w:val="00FF33BE"/>
    <w:rsid w:val="00FF36B5"/>
    <w:rsid w:val="00FF409A"/>
    <w:rsid w:val="00FF40D9"/>
    <w:rsid w:val="00FF454D"/>
    <w:rsid w:val="00FF5063"/>
    <w:rsid w:val="00FF55D9"/>
    <w:rsid w:val="00FF5A1C"/>
    <w:rsid w:val="00FF5D85"/>
    <w:rsid w:val="00FF60F0"/>
    <w:rsid w:val="00FF6262"/>
    <w:rsid w:val="00FF6544"/>
    <w:rsid w:val="00FF6CD2"/>
    <w:rsid w:val="00FF6FE8"/>
    <w:rsid w:val="00FF72F9"/>
    <w:rsid w:val="00FF7A05"/>
    <w:rsid w:val="00FF7BD9"/>
    <w:rsid w:val="00FF7CE4"/>
    <w:rsid w:val="010461FC"/>
    <w:rsid w:val="010750AA"/>
    <w:rsid w:val="01081124"/>
    <w:rsid w:val="0115264F"/>
    <w:rsid w:val="01176F91"/>
    <w:rsid w:val="01213548"/>
    <w:rsid w:val="01234069"/>
    <w:rsid w:val="012370DF"/>
    <w:rsid w:val="012B7E3E"/>
    <w:rsid w:val="01322ED7"/>
    <w:rsid w:val="013D0E81"/>
    <w:rsid w:val="014D233A"/>
    <w:rsid w:val="014E4B4C"/>
    <w:rsid w:val="01593653"/>
    <w:rsid w:val="01605B10"/>
    <w:rsid w:val="01655729"/>
    <w:rsid w:val="016B3017"/>
    <w:rsid w:val="01710FA8"/>
    <w:rsid w:val="017677DE"/>
    <w:rsid w:val="018225BF"/>
    <w:rsid w:val="018972D3"/>
    <w:rsid w:val="018E3F16"/>
    <w:rsid w:val="018E48F5"/>
    <w:rsid w:val="01916C5A"/>
    <w:rsid w:val="01987FE8"/>
    <w:rsid w:val="0199540E"/>
    <w:rsid w:val="019A2BE9"/>
    <w:rsid w:val="019D047F"/>
    <w:rsid w:val="01A4698D"/>
    <w:rsid w:val="01A5172E"/>
    <w:rsid w:val="01A856CA"/>
    <w:rsid w:val="01AB0271"/>
    <w:rsid w:val="01AC6451"/>
    <w:rsid w:val="01AF2D5E"/>
    <w:rsid w:val="01B30592"/>
    <w:rsid w:val="01B3299F"/>
    <w:rsid w:val="01C470D7"/>
    <w:rsid w:val="01CB731F"/>
    <w:rsid w:val="01CC0885"/>
    <w:rsid w:val="01CE5DE6"/>
    <w:rsid w:val="01CF272D"/>
    <w:rsid w:val="01D1386D"/>
    <w:rsid w:val="01D813B7"/>
    <w:rsid w:val="01E05934"/>
    <w:rsid w:val="01E24452"/>
    <w:rsid w:val="01E46E86"/>
    <w:rsid w:val="01EE2958"/>
    <w:rsid w:val="01F471FD"/>
    <w:rsid w:val="01FD29C4"/>
    <w:rsid w:val="020016E9"/>
    <w:rsid w:val="020220E2"/>
    <w:rsid w:val="020901DE"/>
    <w:rsid w:val="02090713"/>
    <w:rsid w:val="021B0911"/>
    <w:rsid w:val="021D6D34"/>
    <w:rsid w:val="021E42C0"/>
    <w:rsid w:val="021F2703"/>
    <w:rsid w:val="02240C87"/>
    <w:rsid w:val="02274205"/>
    <w:rsid w:val="02303922"/>
    <w:rsid w:val="02313318"/>
    <w:rsid w:val="02373C91"/>
    <w:rsid w:val="02451BA6"/>
    <w:rsid w:val="02470C76"/>
    <w:rsid w:val="025A3BCF"/>
    <w:rsid w:val="025E6FD5"/>
    <w:rsid w:val="026229BE"/>
    <w:rsid w:val="02660D0F"/>
    <w:rsid w:val="026D1B94"/>
    <w:rsid w:val="026F6060"/>
    <w:rsid w:val="02866E1C"/>
    <w:rsid w:val="02866EA3"/>
    <w:rsid w:val="02877C19"/>
    <w:rsid w:val="028A7D84"/>
    <w:rsid w:val="028D7421"/>
    <w:rsid w:val="02905538"/>
    <w:rsid w:val="02921448"/>
    <w:rsid w:val="029A5B93"/>
    <w:rsid w:val="029C1108"/>
    <w:rsid w:val="029C718A"/>
    <w:rsid w:val="029E2E64"/>
    <w:rsid w:val="02A47927"/>
    <w:rsid w:val="02A5313A"/>
    <w:rsid w:val="02A8425B"/>
    <w:rsid w:val="02AD4C14"/>
    <w:rsid w:val="02B239E8"/>
    <w:rsid w:val="02B273CD"/>
    <w:rsid w:val="02B5333C"/>
    <w:rsid w:val="02B57783"/>
    <w:rsid w:val="02B77CBD"/>
    <w:rsid w:val="02BE0BB6"/>
    <w:rsid w:val="02C5361A"/>
    <w:rsid w:val="02C75241"/>
    <w:rsid w:val="02CD015E"/>
    <w:rsid w:val="02D057CC"/>
    <w:rsid w:val="02D0730E"/>
    <w:rsid w:val="02E00438"/>
    <w:rsid w:val="02F32FFC"/>
    <w:rsid w:val="030663D5"/>
    <w:rsid w:val="031144BE"/>
    <w:rsid w:val="03127926"/>
    <w:rsid w:val="031C2553"/>
    <w:rsid w:val="031D388E"/>
    <w:rsid w:val="032338E1"/>
    <w:rsid w:val="03252D50"/>
    <w:rsid w:val="032618C9"/>
    <w:rsid w:val="032B1215"/>
    <w:rsid w:val="032D21CF"/>
    <w:rsid w:val="033A67A6"/>
    <w:rsid w:val="0343660D"/>
    <w:rsid w:val="03440E7E"/>
    <w:rsid w:val="034C3D34"/>
    <w:rsid w:val="03575C81"/>
    <w:rsid w:val="035978D0"/>
    <w:rsid w:val="036E39F1"/>
    <w:rsid w:val="03742887"/>
    <w:rsid w:val="03766107"/>
    <w:rsid w:val="0378032E"/>
    <w:rsid w:val="03784C48"/>
    <w:rsid w:val="03792BAF"/>
    <w:rsid w:val="037B22EE"/>
    <w:rsid w:val="038053BC"/>
    <w:rsid w:val="03836591"/>
    <w:rsid w:val="038712C9"/>
    <w:rsid w:val="038D79EC"/>
    <w:rsid w:val="038F541B"/>
    <w:rsid w:val="038F7232"/>
    <w:rsid w:val="039577EB"/>
    <w:rsid w:val="03967D56"/>
    <w:rsid w:val="03970689"/>
    <w:rsid w:val="0399395B"/>
    <w:rsid w:val="03A00C07"/>
    <w:rsid w:val="03A553E2"/>
    <w:rsid w:val="03AF1619"/>
    <w:rsid w:val="03B016D7"/>
    <w:rsid w:val="03B06C4F"/>
    <w:rsid w:val="03B13FB2"/>
    <w:rsid w:val="03B3263D"/>
    <w:rsid w:val="03B76268"/>
    <w:rsid w:val="03B836D4"/>
    <w:rsid w:val="03B92F39"/>
    <w:rsid w:val="03BD699E"/>
    <w:rsid w:val="03C230CA"/>
    <w:rsid w:val="03C36E0F"/>
    <w:rsid w:val="03C6292A"/>
    <w:rsid w:val="03CA0A9B"/>
    <w:rsid w:val="03CB4BF1"/>
    <w:rsid w:val="03CC22F0"/>
    <w:rsid w:val="03D825C1"/>
    <w:rsid w:val="03D92041"/>
    <w:rsid w:val="03D95D89"/>
    <w:rsid w:val="03E16A1D"/>
    <w:rsid w:val="03E35569"/>
    <w:rsid w:val="03E7251F"/>
    <w:rsid w:val="03EB55B8"/>
    <w:rsid w:val="03EE36D3"/>
    <w:rsid w:val="03F725D0"/>
    <w:rsid w:val="03FD21C9"/>
    <w:rsid w:val="03FD2CD7"/>
    <w:rsid w:val="04024DEB"/>
    <w:rsid w:val="0404201D"/>
    <w:rsid w:val="0405508A"/>
    <w:rsid w:val="040E5186"/>
    <w:rsid w:val="040F216A"/>
    <w:rsid w:val="041366E4"/>
    <w:rsid w:val="04137DFA"/>
    <w:rsid w:val="041E7E7C"/>
    <w:rsid w:val="04220C99"/>
    <w:rsid w:val="04236159"/>
    <w:rsid w:val="04247CE6"/>
    <w:rsid w:val="042D0E7E"/>
    <w:rsid w:val="042E5EFD"/>
    <w:rsid w:val="042F04B5"/>
    <w:rsid w:val="04310E0E"/>
    <w:rsid w:val="04320C9C"/>
    <w:rsid w:val="043C2C22"/>
    <w:rsid w:val="043C394F"/>
    <w:rsid w:val="044004C3"/>
    <w:rsid w:val="04417761"/>
    <w:rsid w:val="04480022"/>
    <w:rsid w:val="0449282A"/>
    <w:rsid w:val="044C0C92"/>
    <w:rsid w:val="04572DB3"/>
    <w:rsid w:val="045D0DC2"/>
    <w:rsid w:val="045F4802"/>
    <w:rsid w:val="045F798A"/>
    <w:rsid w:val="0462668B"/>
    <w:rsid w:val="04762137"/>
    <w:rsid w:val="04814447"/>
    <w:rsid w:val="0485089C"/>
    <w:rsid w:val="048B3531"/>
    <w:rsid w:val="04902B92"/>
    <w:rsid w:val="04912B2B"/>
    <w:rsid w:val="04912C3B"/>
    <w:rsid w:val="04977481"/>
    <w:rsid w:val="049C2A19"/>
    <w:rsid w:val="049D750D"/>
    <w:rsid w:val="04A15587"/>
    <w:rsid w:val="04A43147"/>
    <w:rsid w:val="04A515BA"/>
    <w:rsid w:val="04A540F1"/>
    <w:rsid w:val="04B54A0D"/>
    <w:rsid w:val="04C37DFF"/>
    <w:rsid w:val="04C77367"/>
    <w:rsid w:val="04C8135D"/>
    <w:rsid w:val="04D070B6"/>
    <w:rsid w:val="04E13311"/>
    <w:rsid w:val="04E24D0E"/>
    <w:rsid w:val="04E30BC8"/>
    <w:rsid w:val="04E562CB"/>
    <w:rsid w:val="04E608C6"/>
    <w:rsid w:val="04E6769B"/>
    <w:rsid w:val="04ED6A85"/>
    <w:rsid w:val="04F217BD"/>
    <w:rsid w:val="04F37E4B"/>
    <w:rsid w:val="04F40C9B"/>
    <w:rsid w:val="04F43BD5"/>
    <w:rsid w:val="050A3BAA"/>
    <w:rsid w:val="052A53FB"/>
    <w:rsid w:val="052F1FA8"/>
    <w:rsid w:val="0530292D"/>
    <w:rsid w:val="05372881"/>
    <w:rsid w:val="05390F6C"/>
    <w:rsid w:val="053C15AA"/>
    <w:rsid w:val="053F0497"/>
    <w:rsid w:val="054333BC"/>
    <w:rsid w:val="054A07E8"/>
    <w:rsid w:val="054B5A32"/>
    <w:rsid w:val="054C717A"/>
    <w:rsid w:val="05517DBF"/>
    <w:rsid w:val="055204AE"/>
    <w:rsid w:val="055A36D1"/>
    <w:rsid w:val="055B08E7"/>
    <w:rsid w:val="055F3274"/>
    <w:rsid w:val="056164F5"/>
    <w:rsid w:val="05711B5E"/>
    <w:rsid w:val="057B5C57"/>
    <w:rsid w:val="057C552B"/>
    <w:rsid w:val="057F4C68"/>
    <w:rsid w:val="0582113E"/>
    <w:rsid w:val="05965FE5"/>
    <w:rsid w:val="05974212"/>
    <w:rsid w:val="05A37AAB"/>
    <w:rsid w:val="05A64F10"/>
    <w:rsid w:val="05AA442B"/>
    <w:rsid w:val="05AB0A4D"/>
    <w:rsid w:val="05B4405B"/>
    <w:rsid w:val="05B57D4E"/>
    <w:rsid w:val="05B85D8D"/>
    <w:rsid w:val="05BE35F2"/>
    <w:rsid w:val="05C416B8"/>
    <w:rsid w:val="05C51612"/>
    <w:rsid w:val="05C65C77"/>
    <w:rsid w:val="05C721BF"/>
    <w:rsid w:val="05CE1E79"/>
    <w:rsid w:val="05CE5B3D"/>
    <w:rsid w:val="05CF6414"/>
    <w:rsid w:val="05D8062A"/>
    <w:rsid w:val="05D90A70"/>
    <w:rsid w:val="05F05D44"/>
    <w:rsid w:val="05F36821"/>
    <w:rsid w:val="05FB2C7B"/>
    <w:rsid w:val="06062D2D"/>
    <w:rsid w:val="060E4140"/>
    <w:rsid w:val="060F639F"/>
    <w:rsid w:val="06147E59"/>
    <w:rsid w:val="0625569B"/>
    <w:rsid w:val="062878F5"/>
    <w:rsid w:val="06292CCF"/>
    <w:rsid w:val="06312F7F"/>
    <w:rsid w:val="06316315"/>
    <w:rsid w:val="06347FCB"/>
    <w:rsid w:val="063829E1"/>
    <w:rsid w:val="063D35BF"/>
    <w:rsid w:val="064355AB"/>
    <w:rsid w:val="064951F1"/>
    <w:rsid w:val="06513565"/>
    <w:rsid w:val="06525AB5"/>
    <w:rsid w:val="06541517"/>
    <w:rsid w:val="065C3446"/>
    <w:rsid w:val="06667A0D"/>
    <w:rsid w:val="067423C0"/>
    <w:rsid w:val="067B3A34"/>
    <w:rsid w:val="06860E7A"/>
    <w:rsid w:val="068A0851"/>
    <w:rsid w:val="068A3D73"/>
    <w:rsid w:val="068F128E"/>
    <w:rsid w:val="0690119E"/>
    <w:rsid w:val="069074E0"/>
    <w:rsid w:val="06930D7E"/>
    <w:rsid w:val="06994AAE"/>
    <w:rsid w:val="069D0DE0"/>
    <w:rsid w:val="069D1BFD"/>
    <w:rsid w:val="069E2A79"/>
    <w:rsid w:val="069E43F0"/>
    <w:rsid w:val="069F4106"/>
    <w:rsid w:val="06B74244"/>
    <w:rsid w:val="06BD404D"/>
    <w:rsid w:val="06CE0F77"/>
    <w:rsid w:val="06CF440B"/>
    <w:rsid w:val="06D12292"/>
    <w:rsid w:val="06D12DDA"/>
    <w:rsid w:val="06D42ACA"/>
    <w:rsid w:val="06D53145"/>
    <w:rsid w:val="06D743D3"/>
    <w:rsid w:val="06DE03C4"/>
    <w:rsid w:val="06EA1FB5"/>
    <w:rsid w:val="06EB0E43"/>
    <w:rsid w:val="06EC3A4F"/>
    <w:rsid w:val="06EE06AA"/>
    <w:rsid w:val="06F549C4"/>
    <w:rsid w:val="06F87437"/>
    <w:rsid w:val="06FD39CA"/>
    <w:rsid w:val="06FE7174"/>
    <w:rsid w:val="06FF4A78"/>
    <w:rsid w:val="0700029D"/>
    <w:rsid w:val="07071CF7"/>
    <w:rsid w:val="070873ED"/>
    <w:rsid w:val="070F2546"/>
    <w:rsid w:val="07100889"/>
    <w:rsid w:val="07127F81"/>
    <w:rsid w:val="07171E4E"/>
    <w:rsid w:val="071E541D"/>
    <w:rsid w:val="071E6A38"/>
    <w:rsid w:val="07256835"/>
    <w:rsid w:val="072F1770"/>
    <w:rsid w:val="072F6CF7"/>
    <w:rsid w:val="07324DA7"/>
    <w:rsid w:val="073678AF"/>
    <w:rsid w:val="073855E3"/>
    <w:rsid w:val="073A3A8F"/>
    <w:rsid w:val="073B644C"/>
    <w:rsid w:val="07403FB1"/>
    <w:rsid w:val="07537F7A"/>
    <w:rsid w:val="07543BE0"/>
    <w:rsid w:val="0754556F"/>
    <w:rsid w:val="076009AD"/>
    <w:rsid w:val="07606735"/>
    <w:rsid w:val="076769AD"/>
    <w:rsid w:val="07700FEE"/>
    <w:rsid w:val="077638D9"/>
    <w:rsid w:val="077A3CEC"/>
    <w:rsid w:val="07807554"/>
    <w:rsid w:val="07927285"/>
    <w:rsid w:val="07972F5A"/>
    <w:rsid w:val="079F7C9C"/>
    <w:rsid w:val="07A01180"/>
    <w:rsid w:val="07A1370E"/>
    <w:rsid w:val="07A57086"/>
    <w:rsid w:val="07A70ED4"/>
    <w:rsid w:val="07AC2C1D"/>
    <w:rsid w:val="07AF1BE8"/>
    <w:rsid w:val="07B33EB6"/>
    <w:rsid w:val="07B521D5"/>
    <w:rsid w:val="07BA553B"/>
    <w:rsid w:val="07C36014"/>
    <w:rsid w:val="07C379AF"/>
    <w:rsid w:val="07C87CCD"/>
    <w:rsid w:val="07CE4A65"/>
    <w:rsid w:val="07D2374A"/>
    <w:rsid w:val="07D527E9"/>
    <w:rsid w:val="07D6409D"/>
    <w:rsid w:val="07DC5075"/>
    <w:rsid w:val="07DC6755"/>
    <w:rsid w:val="07DE3FBC"/>
    <w:rsid w:val="07E115DD"/>
    <w:rsid w:val="07E6459E"/>
    <w:rsid w:val="07E72D33"/>
    <w:rsid w:val="07FA6D9A"/>
    <w:rsid w:val="08024EC6"/>
    <w:rsid w:val="08135B3F"/>
    <w:rsid w:val="08137423"/>
    <w:rsid w:val="08174AFA"/>
    <w:rsid w:val="08186641"/>
    <w:rsid w:val="081A109D"/>
    <w:rsid w:val="08265899"/>
    <w:rsid w:val="082A0B37"/>
    <w:rsid w:val="082B2230"/>
    <w:rsid w:val="083827E7"/>
    <w:rsid w:val="083A4857"/>
    <w:rsid w:val="083E1B23"/>
    <w:rsid w:val="08412908"/>
    <w:rsid w:val="08437943"/>
    <w:rsid w:val="08470072"/>
    <w:rsid w:val="084B144F"/>
    <w:rsid w:val="08513B82"/>
    <w:rsid w:val="08516EE8"/>
    <w:rsid w:val="0854453D"/>
    <w:rsid w:val="085540FB"/>
    <w:rsid w:val="085567CB"/>
    <w:rsid w:val="085F5CC0"/>
    <w:rsid w:val="086458B9"/>
    <w:rsid w:val="086C1887"/>
    <w:rsid w:val="0878022B"/>
    <w:rsid w:val="087D7F17"/>
    <w:rsid w:val="087E6BE1"/>
    <w:rsid w:val="0882267D"/>
    <w:rsid w:val="0882445B"/>
    <w:rsid w:val="08851B67"/>
    <w:rsid w:val="088819EE"/>
    <w:rsid w:val="08881E9D"/>
    <w:rsid w:val="088C2B6B"/>
    <w:rsid w:val="08937FF1"/>
    <w:rsid w:val="08940E3F"/>
    <w:rsid w:val="08956006"/>
    <w:rsid w:val="08962BB4"/>
    <w:rsid w:val="0898176B"/>
    <w:rsid w:val="08993425"/>
    <w:rsid w:val="08A02C72"/>
    <w:rsid w:val="08A311D7"/>
    <w:rsid w:val="08A85716"/>
    <w:rsid w:val="08A901F4"/>
    <w:rsid w:val="08B61F39"/>
    <w:rsid w:val="08B651F8"/>
    <w:rsid w:val="08BA6FB4"/>
    <w:rsid w:val="08BD7E7F"/>
    <w:rsid w:val="08BE39B8"/>
    <w:rsid w:val="08BF3F5C"/>
    <w:rsid w:val="08C24FD6"/>
    <w:rsid w:val="08C57ED3"/>
    <w:rsid w:val="08CA0C00"/>
    <w:rsid w:val="08CD0A6D"/>
    <w:rsid w:val="08CE42EF"/>
    <w:rsid w:val="08D53E45"/>
    <w:rsid w:val="08D54052"/>
    <w:rsid w:val="08DE0DAF"/>
    <w:rsid w:val="08EA746D"/>
    <w:rsid w:val="08EB6F42"/>
    <w:rsid w:val="08EF7CAB"/>
    <w:rsid w:val="08F04266"/>
    <w:rsid w:val="08F35843"/>
    <w:rsid w:val="08F7738C"/>
    <w:rsid w:val="08F8264A"/>
    <w:rsid w:val="08F93B30"/>
    <w:rsid w:val="08FC1E62"/>
    <w:rsid w:val="09005DB9"/>
    <w:rsid w:val="090F5510"/>
    <w:rsid w:val="090F66F1"/>
    <w:rsid w:val="0910172E"/>
    <w:rsid w:val="0912089F"/>
    <w:rsid w:val="09123B20"/>
    <w:rsid w:val="09143A3B"/>
    <w:rsid w:val="0921760B"/>
    <w:rsid w:val="09363670"/>
    <w:rsid w:val="09384959"/>
    <w:rsid w:val="09393918"/>
    <w:rsid w:val="093B76A9"/>
    <w:rsid w:val="093D0ED8"/>
    <w:rsid w:val="094139FD"/>
    <w:rsid w:val="09483B9E"/>
    <w:rsid w:val="094C1395"/>
    <w:rsid w:val="094E64AB"/>
    <w:rsid w:val="094E7E56"/>
    <w:rsid w:val="09526CCE"/>
    <w:rsid w:val="095424E9"/>
    <w:rsid w:val="09552360"/>
    <w:rsid w:val="09577D7C"/>
    <w:rsid w:val="095C7FAA"/>
    <w:rsid w:val="095E0711"/>
    <w:rsid w:val="09665B06"/>
    <w:rsid w:val="09677B0E"/>
    <w:rsid w:val="096D0769"/>
    <w:rsid w:val="09710CD8"/>
    <w:rsid w:val="09740AE2"/>
    <w:rsid w:val="09762A26"/>
    <w:rsid w:val="09824CE2"/>
    <w:rsid w:val="098A5141"/>
    <w:rsid w:val="098F6D85"/>
    <w:rsid w:val="09912E13"/>
    <w:rsid w:val="099550AE"/>
    <w:rsid w:val="099F02F6"/>
    <w:rsid w:val="09A41669"/>
    <w:rsid w:val="09A45050"/>
    <w:rsid w:val="09B5347E"/>
    <w:rsid w:val="09B641A8"/>
    <w:rsid w:val="09B90AFC"/>
    <w:rsid w:val="09BB40DD"/>
    <w:rsid w:val="09C22EA2"/>
    <w:rsid w:val="09C676BC"/>
    <w:rsid w:val="09CD103A"/>
    <w:rsid w:val="09D745BA"/>
    <w:rsid w:val="09D84F06"/>
    <w:rsid w:val="09D85451"/>
    <w:rsid w:val="09DE6960"/>
    <w:rsid w:val="09E818DD"/>
    <w:rsid w:val="09EC020F"/>
    <w:rsid w:val="0A091100"/>
    <w:rsid w:val="0A1D31AD"/>
    <w:rsid w:val="0A1E4E03"/>
    <w:rsid w:val="0A261F09"/>
    <w:rsid w:val="0A293318"/>
    <w:rsid w:val="0A2A7A1A"/>
    <w:rsid w:val="0A2F7010"/>
    <w:rsid w:val="0A311F31"/>
    <w:rsid w:val="0A325BDE"/>
    <w:rsid w:val="0A335408"/>
    <w:rsid w:val="0A387E2D"/>
    <w:rsid w:val="0A3E44D2"/>
    <w:rsid w:val="0A4317D6"/>
    <w:rsid w:val="0A4B0665"/>
    <w:rsid w:val="0A4F320E"/>
    <w:rsid w:val="0A4F5267"/>
    <w:rsid w:val="0A5371A2"/>
    <w:rsid w:val="0A556683"/>
    <w:rsid w:val="0A5A2DFE"/>
    <w:rsid w:val="0A5D2A12"/>
    <w:rsid w:val="0A5E606A"/>
    <w:rsid w:val="0A616DCE"/>
    <w:rsid w:val="0A6F1491"/>
    <w:rsid w:val="0A7318E0"/>
    <w:rsid w:val="0A7B5D0E"/>
    <w:rsid w:val="0A876E4C"/>
    <w:rsid w:val="0A88448B"/>
    <w:rsid w:val="0A892D67"/>
    <w:rsid w:val="0A8C628A"/>
    <w:rsid w:val="0A954542"/>
    <w:rsid w:val="0AA062F8"/>
    <w:rsid w:val="0AAF1EFF"/>
    <w:rsid w:val="0AB45767"/>
    <w:rsid w:val="0ABC6268"/>
    <w:rsid w:val="0ABD461B"/>
    <w:rsid w:val="0AC5719F"/>
    <w:rsid w:val="0ACA6D38"/>
    <w:rsid w:val="0AD06B65"/>
    <w:rsid w:val="0AD57BB7"/>
    <w:rsid w:val="0AD61DF2"/>
    <w:rsid w:val="0AD80A56"/>
    <w:rsid w:val="0ADB2CF4"/>
    <w:rsid w:val="0AE07320"/>
    <w:rsid w:val="0AE4701C"/>
    <w:rsid w:val="0AF264D2"/>
    <w:rsid w:val="0AF4148C"/>
    <w:rsid w:val="0B0B35D9"/>
    <w:rsid w:val="0B140BA6"/>
    <w:rsid w:val="0B1571B6"/>
    <w:rsid w:val="0B1748F4"/>
    <w:rsid w:val="0B1F0AE4"/>
    <w:rsid w:val="0B3C0DA5"/>
    <w:rsid w:val="0B3E63F4"/>
    <w:rsid w:val="0B4462B6"/>
    <w:rsid w:val="0B4B0001"/>
    <w:rsid w:val="0B4E214B"/>
    <w:rsid w:val="0B527FFE"/>
    <w:rsid w:val="0B5D311A"/>
    <w:rsid w:val="0B694036"/>
    <w:rsid w:val="0B6D08B6"/>
    <w:rsid w:val="0B712CFA"/>
    <w:rsid w:val="0B7A250D"/>
    <w:rsid w:val="0B8769D7"/>
    <w:rsid w:val="0B8E2B84"/>
    <w:rsid w:val="0B9335CE"/>
    <w:rsid w:val="0B960018"/>
    <w:rsid w:val="0B967E06"/>
    <w:rsid w:val="0B972D58"/>
    <w:rsid w:val="0B98565A"/>
    <w:rsid w:val="0BA04C6C"/>
    <w:rsid w:val="0BA54EAA"/>
    <w:rsid w:val="0BA636D8"/>
    <w:rsid w:val="0BAA311F"/>
    <w:rsid w:val="0BAA4E89"/>
    <w:rsid w:val="0BAB4B6E"/>
    <w:rsid w:val="0BB0067A"/>
    <w:rsid w:val="0BBA75A0"/>
    <w:rsid w:val="0BC5011E"/>
    <w:rsid w:val="0BC9528F"/>
    <w:rsid w:val="0BCA342B"/>
    <w:rsid w:val="0BD75FB7"/>
    <w:rsid w:val="0BDD4549"/>
    <w:rsid w:val="0BDE14C7"/>
    <w:rsid w:val="0BDF5D8F"/>
    <w:rsid w:val="0BE51391"/>
    <w:rsid w:val="0BE82342"/>
    <w:rsid w:val="0BEB28CE"/>
    <w:rsid w:val="0BED7182"/>
    <w:rsid w:val="0BF07A36"/>
    <w:rsid w:val="0BF712EF"/>
    <w:rsid w:val="0BFD5D33"/>
    <w:rsid w:val="0BFD6B16"/>
    <w:rsid w:val="0BFE6D8D"/>
    <w:rsid w:val="0C075BDE"/>
    <w:rsid w:val="0C100C10"/>
    <w:rsid w:val="0C157B7E"/>
    <w:rsid w:val="0C1F1FC7"/>
    <w:rsid w:val="0C264442"/>
    <w:rsid w:val="0C272546"/>
    <w:rsid w:val="0C2C72E0"/>
    <w:rsid w:val="0C2D1721"/>
    <w:rsid w:val="0C3C3C66"/>
    <w:rsid w:val="0C3D1B8E"/>
    <w:rsid w:val="0C445D99"/>
    <w:rsid w:val="0C53407E"/>
    <w:rsid w:val="0C5660C6"/>
    <w:rsid w:val="0C5C0335"/>
    <w:rsid w:val="0C5F4082"/>
    <w:rsid w:val="0C616270"/>
    <w:rsid w:val="0C7234C9"/>
    <w:rsid w:val="0C735B51"/>
    <w:rsid w:val="0C78091A"/>
    <w:rsid w:val="0C7E427E"/>
    <w:rsid w:val="0C837B73"/>
    <w:rsid w:val="0C843458"/>
    <w:rsid w:val="0C864F0F"/>
    <w:rsid w:val="0C880C59"/>
    <w:rsid w:val="0C884407"/>
    <w:rsid w:val="0C89104C"/>
    <w:rsid w:val="0C8940C8"/>
    <w:rsid w:val="0C896997"/>
    <w:rsid w:val="0C8D6E71"/>
    <w:rsid w:val="0C931FBF"/>
    <w:rsid w:val="0C944EF4"/>
    <w:rsid w:val="0C945BC1"/>
    <w:rsid w:val="0C9508EC"/>
    <w:rsid w:val="0C9B273A"/>
    <w:rsid w:val="0CB63C8D"/>
    <w:rsid w:val="0CBC4713"/>
    <w:rsid w:val="0CC22C75"/>
    <w:rsid w:val="0CD234B9"/>
    <w:rsid w:val="0CD64CC8"/>
    <w:rsid w:val="0CD678E8"/>
    <w:rsid w:val="0CDF4558"/>
    <w:rsid w:val="0CE0549B"/>
    <w:rsid w:val="0CE64390"/>
    <w:rsid w:val="0CEE4F60"/>
    <w:rsid w:val="0CEF321A"/>
    <w:rsid w:val="0CF34200"/>
    <w:rsid w:val="0CF354C7"/>
    <w:rsid w:val="0CFD6347"/>
    <w:rsid w:val="0D074F8E"/>
    <w:rsid w:val="0D1151EA"/>
    <w:rsid w:val="0D124D20"/>
    <w:rsid w:val="0D1D1C4F"/>
    <w:rsid w:val="0D1D3A97"/>
    <w:rsid w:val="0D264163"/>
    <w:rsid w:val="0D27045F"/>
    <w:rsid w:val="0D2D0D5B"/>
    <w:rsid w:val="0D2D6634"/>
    <w:rsid w:val="0D305FA7"/>
    <w:rsid w:val="0D355956"/>
    <w:rsid w:val="0D361DE6"/>
    <w:rsid w:val="0D362952"/>
    <w:rsid w:val="0D3C2707"/>
    <w:rsid w:val="0D3D1A44"/>
    <w:rsid w:val="0D47054D"/>
    <w:rsid w:val="0D4E0A83"/>
    <w:rsid w:val="0D554FDF"/>
    <w:rsid w:val="0D5F4D19"/>
    <w:rsid w:val="0D62248A"/>
    <w:rsid w:val="0D6431F8"/>
    <w:rsid w:val="0D6A5FB2"/>
    <w:rsid w:val="0D821B9F"/>
    <w:rsid w:val="0D8256A8"/>
    <w:rsid w:val="0D833F18"/>
    <w:rsid w:val="0D844305"/>
    <w:rsid w:val="0D8E5294"/>
    <w:rsid w:val="0D915F1B"/>
    <w:rsid w:val="0D9909A4"/>
    <w:rsid w:val="0D9A0C44"/>
    <w:rsid w:val="0D9F625A"/>
    <w:rsid w:val="0DA02D7E"/>
    <w:rsid w:val="0DA11FD2"/>
    <w:rsid w:val="0DA40F8D"/>
    <w:rsid w:val="0DA43520"/>
    <w:rsid w:val="0DB300F1"/>
    <w:rsid w:val="0DB5243E"/>
    <w:rsid w:val="0DBD4D94"/>
    <w:rsid w:val="0DC01040"/>
    <w:rsid w:val="0DC8547F"/>
    <w:rsid w:val="0DC971B8"/>
    <w:rsid w:val="0DCF6C72"/>
    <w:rsid w:val="0DEE0607"/>
    <w:rsid w:val="0DF04390"/>
    <w:rsid w:val="0DF43E80"/>
    <w:rsid w:val="0DF72A6E"/>
    <w:rsid w:val="0E0C3E1A"/>
    <w:rsid w:val="0E184DF6"/>
    <w:rsid w:val="0E2602EC"/>
    <w:rsid w:val="0E266279"/>
    <w:rsid w:val="0E272BAB"/>
    <w:rsid w:val="0E2E7806"/>
    <w:rsid w:val="0E330F87"/>
    <w:rsid w:val="0E33230D"/>
    <w:rsid w:val="0E355127"/>
    <w:rsid w:val="0E42733E"/>
    <w:rsid w:val="0E44273A"/>
    <w:rsid w:val="0E46489E"/>
    <w:rsid w:val="0E4B1AF5"/>
    <w:rsid w:val="0E4E7FF3"/>
    <w:rsid w:val="0E552DBD"/>
    <w:rsid w:val="0E5739FC"/>
    <w:rsid w:val="0E6139BB"/>
    <w:rsid w:val="0E632805"/>
    <w:rsid w:val="0E6501B1"/>
    <w:rsid w:val="0E7605CA"/>
    <w:rsid w:val="0E7E613B"/>
    <w:rsid w:val="0E824329"/>
    <w:rsid w:val="0E84420A"/>
    <w:rsid w:val="0E875BEF"/>
    <w:rsid w:val="0E893023"/>
    <w:rsid w:val="0E992812"/>
    <w:rsid w:val="0E9D69B5"/>
    <w:rsid w:val="0EA05DDB"/>
    <w:rsid w:val="0EA367C5"/>
    <w:rsid w:val="0EA70FAF"/>
    <w:rsid w:val="0EA87391"/>
    <w:rsid w:val="0EAC0C2F"/>
    <w:rsid w:val="0EB66936"/>
    <w:rsid w:val="0EB93651"/>
    <w:rsid w:val="0EBA58E0"/>
    <w:rsid w:val="0EBF4721"/>
    <w:rsid w:val="0EC22451"/>
    <w:rsid w:val="0EC36088"/>
    <w:rsid w:val="0ECA08FF"/>
    <w:rsid w:val="0ECA4C67"/>
    <w:rsid w:val="0ECB4C48"/>
    <w:rsid w:val="0ED251FE"/>
    <w:rsid w:val="0ED74EFC"/>
    <w:rsid w:val="0EDB0451"/>
    <w:rsid w:val="0EDC4650"/>
    <w:rsid w:val="0EE829EA"/>
    <w:rsid w:val="0EEA34E3"/>
    <w:rsid w:val="0EEB0202"/>
    <w:rsid w:val="0EF70A9C"/>
    <w:rsid w:val="0F063538"/>
    <w:rsid w:val="0F0B6709"/>
    <w:rsid w:val="0F0C2AB1"/>
    <w:rsid w:val="0F175C63"/>
    <w:rsid w:val="0F193C81"/>
    <w:rsid w:val="0F2807D5"/>
    <w:rsid w:val="0F29004C"/>
    <w:rsid w:val="0F296723"/>
    <w:rsid w:val="0F342001"/>
    <w:rsid w:val="0F3550C8"/>
    <w:rsid w:val="0F3A235F"/>
    <w:rsid w:val="0F3A7353"/>
    <w:rsid w:val="0F3B4E70"/>
    <w:rsid w:val="0F4374E9"/>
    <w:rsid w:val="0F4846E9"/>
    <w:rsid w:val="0F4E1E33"/>
    <w:rsid w:val="0F545946"/>
    <w:rsid w:val="0F6905EB"/>
    <w:rsid w:val="0F6A157D"/>
    <w:rsid w:val="0F7206E6"/>
    <w:rsid w:val="0F780008"/>
    <w:rsid w:val="0F79640E"/>
    <w:rsid w:val="0F7B79DF"/>
    <w:rsid w:val="0F7D08C9"/>
    <w:rsid w:val="0F8100DD"/>
    <w:rsid w:val="0F896040"/>
    <w:rsid w:val="0FA346A2"/>
    <w:rsid w:val="0FA4224E"/>
    <w:rsid w:val="0FBB2715"/>
    <w:rsid w:val="0FBC6177"/>
    <w:rsid w:val="0FC33169"/>
    <w:rsid w:val="0FC74375"/>
    <w:rsid w:val="0FC859EB"/>
    <w:rsid w:val="0FCB0E33"/>
    <w:rsid w:val="0FCF51F0"/>
    <w:rsid w:val="0FD424D9"/>
    <w:rsid w:val="0FD61CDB"/>
    <w:rsid w:val="0FD80651"/>
    <w:rsid w:val="0FE466BF"/>
    <w:rsid w:val="0FEA4E03"/>
    <w:rsid w:val="0FEB51D7"/>
    <w:rsid w:val="0FF7412C"/>
    <w:rsid w:val="0FFD2968"/>
    <w:rsid w:val="10017C90"/>
    <w:rsid w:val="10043120"/>
    <w:rsid w:val="101203D5"/>
    <w:rsid w:val="10142A18"/>
    <w:rsid w:val="101822F4"/>
    <w:rsid w:val="1020246F"/>
    <w:rsid w:val="10220CC7"/>
    <w:rsid w:val="10247568"/>
    <w:rsid w:val="102644BB"/>
    <w:rsid w:val="10284291"/>
    <w:rsid w:val="102B22B3"/>
    <w:rsid w:val="10324F17"/>
    <w:rsid w:val="10385C50"/>
    <w:rsid w:val="103A04BC"/>
    <w:rsid w:val="103C6530"/>
    <w:rsid w:val="10487670"/>
    <w:rsid w:val="104A6951"/>
    <w:rsid w:val="104C6AB5"/>
    <w:rsid w:val="104F3B19"/>
    <w:rsid w:val="10501A8E"/>
    <w:rsid w:val="105266E8"/>
    <w:rsid w:val="106108D8"/>
    <w:rsid w:val="106E7684"/>
    <w:rsid w:val="10734861"/>
    <w:rsid w:val="107C11F7"/>
    <w:rsid w:val="107C79D6"/>
    <w:rsid w:val="10802373"/>
    <w:rsid w:val="10805C51"/>
    <w:rsid w:val="1090441B"/>
    <w:rsid w:val="1092465E"/>
    <w:rsid w:val="10944070"/>
    <w:rsid w:val="10982DCE"/>
    <w:rsid w:val="10992FF0"/>
    <w:rsid w:val="109B3D8A"/>
    <w:rsid w:val="10A27C14"/>
    <w:rsid w:val="10AA6A2C"/>
    <w:rsid w:val="10AB55AC"/>
    <w:rsid w:val="10B330FC"/>
    <w:rsid w:val="10B5256D"/>
    <w:rsid w:val="10B560D8"/>
    <w:rsid w:val="10BD2856"/>
    <w:rsid w:val="10BD34A9"/>
    <w:rsid w:val="10C35960"/>
    <w:rsid w:val="10C55FD8"/>
    <w:rsid w:val="10C95E9E"/>
    <w:rsid w:val="10D0345D"/>
    <w:rsid w:val="10D34649"/>
    <w:rsid w:val="10D76DAE"/>
    <w:rsid w:val="10DB3A4D"/>
    <w:rsid w:val="10DB564C"/>
    <w:rsid w:val="10DD77C5"/>
    <w:rsid w:val="10DF14D2"/>
    <w:rsid w:val="10E30B54"/>
    <w:rsid w:val="10E754D6"/>
    <w:rsid w:val="10E80FB0"/>
    <w:rsid w:val="10F265C9"/>
    <w:rsid w:val="10F813D6"/>
    <w:rsid w:val="10FB5DA0"/>
    <w:rsid w:val="10FE6600"/>
    <w:rsid w:val="110F0335"/>
    <w:rsid w:val="11162CD7"/>
    <w:rsid w:val="111D6C91"/>
    <w:rsid w:val="11230C7B"/>
    <w:rsid w:val="11277C30"/>
    <w:rsid w:val="112A2281"/>
    <w:rsid w:val="1139086C"/>
    <w:rsid w:val="114505E0"/>
    <w:rsid w:val="114D0931"/>
    <w:rsid w:val="1151750B"/>
    <w:rsid w:val="11550731"/>
    <w:rsid w:val="1158509E"/>
    <w:rsid w:val="1169555D"/>
    <w:rsid w:val="116B092B"/>
    <w:rsid w:val="116D20C1"/>
    <w:rsid w:val="11722488"/>
    <w:rsid w:val="117346C8"/>
    <w:rsid w:val="11741FC8"/>
    <w:rsid w:val="117F09B1"/>
    <w:rsid w:val="11805EF3"/>
    <w:rsid w:val="11856E30"/>
    <w:rsid w:val="11881B9E"/>
    <w:rsid w:val="11943ED5"/>
    <w:rsid w:val="119A0771"/>
    <w:rsid w:val="119B3C5D"/>
    <w:rsid w:val="119D0D03"/>
    <w:rsid w:val="11A26319"/>
    <w:rsid w:val="11A419D3"/>
    <w:rsid w:val="11A94654"/>
    <w:rsid w:val="11AB6F1B"/>
    <w:rsid w:val="11AF0CB3"/>
    <w:rsid w:val="11AF7808"/>
    <w:rsid w:val="11B06C88"/>
    <w:rsid w:val="11B31D4E"/>
    <w:rsid w:val="11B33C7B"/>
    <w:rsid w:val="11B73B12"/>
    <w:rsid w:val="11B76BAA"/>
    <w:rsid w:val="11BA7EF9"/>
    <w:rsid w:val="11BE53F0"/>
    <w:rsid w:val="11C5725C"/>
    <w:rsid w:val="11C74E50"/>
    <w:rsid w:val="11D64E8D"/>
    <w:rsid w:val="11E140E0"/>
    <w:rsid w:val="11EC1E9B"/>
    <w:rsid w:val="11EE6C77"/>
    <w:rsid w:val="11F42873"/>
    <w:rsid w:val="11F72ACF"/>
    <w:rsid w:val="11FA1551"/>
    <w:rsid w:val="11FC75E1"/>
    <w:rsid w:val="11FD0DEC"/>
    <w:rsid w:val="11FF0A82"/>
    <w:rsid w:val="120111F3"/>
    <w:rsid w:val="12096398"/>
    <w:rsid w:val="120D40DA"/>
    <w:rsid w:val="12130FC5"/>
    <w:rsid w:val="1230243F"/>
    <w:rsid w:val="123C353F"/>
    <w:rsid w:val="1242149A"/>
    <w:rsid w:val="124C4DD3"/>
    <w:rsid w:val="12502219"/>
    <w:rsid w:val="125440F2"/>
    <w:rsid w:val="12573BE5"/>
    <w:rsid w:val="12631F4C"/>
    <w:rsid w:val="12673465"/>
    <w:rsid w:val="12677A29"/>
    <w:rsid w:val="126958F8"/>
    <w:rsid w:val="127203E1"/>
    <w:rsid w:val="127C1510"/>
    <w:rsid w:val="128F7080"/>
    <w:rsid w:val="12945060"/>
    <w:rsid w:val="12957C2C"/>
    <w:rsid w:val="12997EFB"/>
    <w:rsid w:val="12A165D1"/>
    <w:rsid w:val="12A61E39"/>
    <w:rsid w:val="12AB491E"/>
    <w:rsid w:val="12B134AB"/>
    <w:rsid w:val="12BA4D3A"/>
    <w:rsid w:val="12BD5D56"/>
    <w:rsid w:val="12C454E6"/>
    <w:rsid w:val="12C64289"/>
    <w:rsid w:val="12CB6265"/>
    <w:rsid w:val="12CC1508"/>
    <w:rsid w:val="12D544AD"/>
    <w:rsid w:val="12D6271E"/>
    <w:rsid w:val="12E17D73"/>
    <w:rsid w:val="12E77C3A"/>
    <w:rsid w:val="12ED7399"/>
    <w:rsid w:val="12F01337"/>
    <w:rsid w:val="12F31A04"/>
    <w:rsid w:val="12FB30F0"/>
    <w:rsid w:val="12FE6943"/>
    <w:rsid w:val="12FF1475"/>
    <w:rsid w:val="130840B2"/>
    <w:rsid w:val="13086650"/>
    <w:rsid w:val="130C4810"/>
    <w:rsid w:val="130E25B5"/>
    <w:rsid w:val="13134D2F"/>
    <w:rsid w:val="13165E4B"/>
    <w:rsid w:val="13184F75"/>
    <w:rsid w:val="131D4976"/>
    <w:rsid w:val="132056FC"/>
    <w:rsid w:val="13206A65"/>
    <w:rsid w:val="13326CD0"/>
    <w:rsid w:val="133C338B"/>
    <w:rsid w:val="133F3C6F"/>
    <w:rsid w:val="13445AD8"/>
    <w:rsid w:val="134655A4"/>
    <w:rsid w:val="134852C7"/>
    <w:rsid w:val="1353193C"/>
    <w:rsid w:val="13541A69"/>
    <w:rsid w:val="13544D93"/>
    <w:rsid w:val="13544E7C"/>
    <w:rsid w:val="135C6B1A"/>
    <w:rsid w:val="13623853"/>
    <w:rsid w:val="136915B2"/>
    <w:rsid w:val="136B7C6C"/>
    <w:rsid w:val="13765CAF"/>
    <w:rsid w:val="13765F00"/>
    <w:rsid w:val="13794177"/>
    <w:rsid w:val="137E6249"/>
    <w:rsid w:val="138452C2"/>
    <w:rsid w:val="138875B3"/>
    <w:rsid w:val="13906D71"/>
    <w:rsid w:val="13947495"/>
    <w:rsid w:val="13952A53"/>
    <w:rsid w:val="139C2756"/>
    <w:rsid w:val="139D658C"/>
    <w:rsid w:val="13AC4A5F"/>
    <w:rsid w:val="13AF2F6F"/>
    <w:rsid w:val="13B04C9C"/>
    <w:rsid w:val="13B81E24"/>
    <w:rsid w:val="13BC2722"/>
    <w:rsid w:val="13C13C6B"/>
    <w:rsid w:val="13C55773"/>
    <w:rsid w:val="13CF2EA8"/>
    <w:rsid w:val="13D22C6B"/>
    <w:rsid w:val="13D77455"/>
    <w:rsid w:val="13E110E2"/>
    <w:rsid w:val="13E45F3D"/>
    <w:rsid w:val="13E500A7"/>
    <w:rsid w:val="13EE44DB"/>
    <w:rsid w:val="13F266E9"/>
    <w:rsid w:val="13FE1F65"/>
    <w:rsid w:val="14167777"/>
    <w:rsid w:val="1419089C"/>
    <w:rsid w:val="14282930"/>
    <w:rsid w:val="143C4FA9"/>
    <w:rsid w:val="143D18E9"/>
    <w:rsid w:val="143F6714"/>
    <w:rsid w:val="1442778D"/>
    <w:rsid w:val="144731A8"/>
    <w:rsid w:val="144F438B"/>
    <w:rsid w:val="14513F61"/>
    <w:rsid w:val="14567CBD"/>
    <w:rsid w:val="14587163"/>
    <w:rsid w:val="145F16B7"/>
    <w:rsid w:val="14603813"/>
    <w:rsid w:val="14627216"/>
    <w:rsid w:val="146B6F15"/>
    <w:rsid w:val="146D2E7E"/>
    <w:rsid w:val="146E2BD8"/>
    <w:rsid w:val="14713259"/>
    <w:rsid w:val="14742B43"/>
    <w:rsid w:val="14744C8B"/>
    <w:rsid w:val="14752E08"/>
    <w:rsid w:val="14754AF7"/>
    <w:rsid w:val="147B787A"/>
    <w:rsid w:val="148054FA"/>
    <w:rsid w:val="14832432"/>
    <w:rsid w:val="14882B4E"/>
    <w:rsid w:val="148F7029"/>
    <w:rsid w:val="14911FA3"/>
    <w:rsid w:val="14926301"/>
    <w:rsid w:val="14974E0F"/>
    <w:rsid w:val="14AB7BDB"/>
    <w:rsid w:val="14AC643C"/>
    <w:rsid w:val="14B670F9"/>
    <w:rsid w:val="14C26A37"/>
    <w:rsid w:val="14C864BB"/>
    <w:rsid w:val="14D77B60"/>
    <w:rsid w:val="14DF17C8"/>
    <w:rsid w:val="14E0080E"/>
    <w:rsid w:val="14E07884"/>
    <w:rsid w:val="14E84B23"/>
    <w:rsid w:val="14E97066"/>
    <w:rsid w:val="14F663C5"/>
    <w:rsid w:val="14F77F85"/>
    <w:rsid w:val="14FD0BC7"/>
    <w:rsid w:val="14FD6964"/>
    <w:rsid w:val="15001CD4"/>
    <w:rsid w:val="150E47D3"/>
    <w:rsid w:val="150F1842"/>
    <w:rsid w:val="15134105"/>
    <w:rsid w:val="151B71F4"/>
    <w:rsid w:val="15262497"/>
    <w:rsid w:val="15295DE0"/>
    <w:rsid w:val="153533D0"/>
    <w:rsid w:val="153B4ABB"/>
    <w:rsid w:val="15462202"/>
    <w:rsid w:val="1549766B"/>
    <w:rsid w:val="154E5444"/>
    <w:rsid w:val="15545B7C"/>
    <w:rsid w:val="155B6EC7"/>
    <w:rsid w:val="155C2C83"/>
    <w:rsid w:val="15642ACE"/>
    <w:rsid w:val="15684DE9"/>
    <w:rsid w:val="156C2CBA"/>
    <w:rsid w:val="1574621E"/>
    <w:rsid w:val="15785D0F"/>
    <w:rsid w:val="157A0E04"/>
    <w:rsid w:val="157E1B74"/>
    <w:rsid w:val="157F45EE"/>
    <w:rsid w:val="158F43F2"/>
    <w:rsid w:val="15934820"/>
    <w:rsid w:val="15937EDF"/>
    <w:rsid w:val="159545D3"/>
    <w:rsid w:val="15957A32"/>
    <w:rsid w:val="15A35CFD"/>
    <w:rsid w:val="15A65C53"/>
    <w:rsid w:val="15A837FD"/>
    <w:rsid w:val="15B649CB"/>
    <w:rsid w:val="15B72090"/>
    <w:rsid w:val="15C204DC"/>
    <w:rsid w:val="15C92187"/>
    <w:rsid w:val="15CB2C15"/>
    <w:rsid w:val="15D35728"/>
    <w:rsid w:val="15D408D2"/>
    <w:rsid w:val="15E23CA1"/>
    <w:rsid w:val="15E44B10"/>
    <w:rsid w:val="15F04FF3"/>
    <w:rsid w:val="15F3132C"/>
    <w:rsid w:val="15F860E3"/>
    <w:rsid w:val="15FA18AE"/>
    <w:rsid w:val="15FA5B71"/>
    <w:rsid w:val="15FB06EE"/>
    <w:rsid w:val="15FF6AE8"/>
    <w:rsid w:val="16021D1A"/>
    <w:rsid w:val="1604482A"/>
    <w:rsid w:val="16086C4E"/>
    <w:rsid w:val="161233C7"/>
    <w:rsid w:val="16133C89"/>
    <w:rsid w:val="161550E9"/>
    <w:rsid w:val="16186956"/>
    <w:rsid w:val="1620398B"/>
    <w:rsid w:val="16300397"/>
    <w:rsid w:val="163056F5"/>
    <w:rsid w:val="163A05C5"/>
    <w:rsid w:val="164058E2"/>
    <w:rsid w:val="16433A3E"/>
    <w:rsid w:val="16583588"/>
    <w:rsid w:val="16586370"/>
    <w:rsid w:val="165B081F"/>
    <w:rsid w:val="165D32C4"/>
    <w:rsid w:val="16650A91"/>
    <w:rsid w:val="166840C5"/>
    <w:rsid w:val="166C616C"/>
    <w:rsid w:val="166D7788"/>
    <w:rsid w:val="16714074"/>
    <w:rsid w:val="16723718"/>
    <w:rsid w:val="16751E9A"/>
    <w:rsid w:val="16767D46"/>
    <w:rsid w:val="16784272"/>
    <w:rsid w:val="167F78A1"/>
    <w:rsid w:val="169721C5"/>
    <w:rsid w:val="16974580"/>
    <w:rsid w:val="16985F3D"/>
    <w:rsid w:val="169B1B17"/>
    <w:rsid w:val="16A612CD"/>
    <w:rsid w:val="16A94A99"/>
    <w:rsid w:val="16AE11D0"/>
    <w:rsid w:val="16B712B5"/>
    <w:rsid w:val="16B77E6B"/>
    <w:rsid w:val="16B81E99"/>
    <w:rsid w:val="16BF4409"/>
    <w:rsid w:val="16D40C5B"/>
    <w:rsid w:val="16DC65C6"/>
    <w:rsid w:val="16E17C63"/>
    <w:rsid w:val="16E3540A"/>
    <w:rsid w:val="16EA44E3"/>
    <w:rsid w:val="16EB42BE"/>
    <w:rsid w:val="16EB5BE3"/>
    <w:rsid w:val="16EF32AC"/>
    <w:rsid w:val="16EF3DAF"/>
    <w:rsid w:val="16F1577C"/>
    <w:rsid w:val="16FE7F38"/>
    <w:rsid w:val="17045380"/>
    <w:rsid w:val="170E3AE7"/>
    <w:rsid w:val="170E47DD"/>
    <w:rsid w:val="170F0995"/>
    <w:rsid w:val="170F4A25"/>
    <w:rsid w:val="171001C9"/>
    <w:rsid w:val="17107C6C"/>
    <w:rsid w:val="171321BA"/>
    <w:rsid w:val="171901C9"/>
    <w:rsid w:val="17190903"/>
    <w:rsid w:val="171F7265"/>
    <w:rsid w:val="1722617F"/>
    <w:rsid w:val="17242B7D"/>
    <w:rsid w:val="172829FA"/>
    <w:rsid w:val="172C0D00"/>
    <w:rsid w:val="1736657A"/>
    <w:rsid w:val="173916E6"/>
    <w:rsid w:val="173D29C4"/>
    <w:rsid w:val="173E4D36"/>
    <w:rsid w:val="174218AC"/>
    <w:rsid w:val="1744273D"/>
    <w:rsid w:val="1747316A"/>
    <w:rsid w:val="17495F75"/>
    <w:rsid w:val="174A6742"/>
    <w:rsid w:val="174B5D9B"/>
    <w:rsid w:val="174B6870"/>
    <w:rsid w:val="17560E1F"/>
    <w:rsid w:val="17586875"/>
    <w:rsid w:val="17644E41"/>
    <w:rsid w:val="176E5110"/>
    <w:rsid w:val="176F7B15"/>
    <w:rsid w:val="17726023"/>
    <w:rsid w:val="17811758"/>
    <w:rsid w:val="17826F70"/>
    <w:rsid w:val="178A3AD0"/>
    <w:rsid w:val="178F76B6"/>
    <w:rsid w:val="17916313"/>
    <w:rsid w:val="17946D71"/>
    <w:rsid w:val="17A55D8C"/>
    <w:rsid w:val="17AE7C49"/>
    <w:rsid w:val="17AF1F69"/>
    <w:rsid w:val="17AF3898"/>
    <w:rsid w:val="17B54E2F"/>
    <w:rsid w:val="17B84970"/>
    <w:rsid w:val="17BB681D"/>
    <w:rsid w:val="17C01B9B"/>
    <w:rsid w:val="17C219E5"/>
    <w:rsid w:val="17C4359E"/>
    <w:rsid w:val="17C53E11"/>
    <w:rsid w:val="17C76AD9"/>
    <w:rsid w:val="17CB07DE"/>
    <w:rsid w:val="17CD36EA"/>
    <w:rsid w:val="17CD6C10"/>
    <w:rsid w:val="17D020C2"/>
    <w:rsid w:val="17D3551C"/>
    <w:rsid w:val="17D460A3"/>
    <w:rsid w:val="17DD36AB"/>
    <w:rsid w:val="17DD4433"/>
    <w:rsid w:val="17DD454F"/>
    <w:rsid w:val="17DE53A2"/>
    <w:rsid w:val="17E12AD5"/>
    <w:rsid w:val="17ED01A9"/>
    <w:rsid w:val="17F33D23"/>
    <w:rsid w:val="17F8587D"/>
    <w:rsid w:val="17F86DDF"/>
    <w:rsid w:val="17FA76AC"/>
    <w:rsid w:val="18171380"/>
    <w:rsid w:val="18203CF8"/>
    <w:rsid w:val="18235B74"/>
    <w:rsid w:val="1826621F"/>
    <w:rsid w:val="182E68B5"/>
    <w:rsid w:val="18304FE0"/>
    <w:rsid w:val="183B3024"/>
    <w:rsid w:val="183E3DA8"/>
    <w:rsid w:val="183E7DF9"/>
    <w:rsid w:val="18486082"/>
    <w:rsid w:val="18551886"/>
    <w:rsid w:val="18574301"/>
    <w:rsid w:val="185A227F"/>
    <w:rsid w:val="18605B86"/>
    <w:rsid w:val="18620BAC"/>
    <w:rsid w:val="18685DF9"/>
    <w:rsid w:val="18717C2F"/>
    <w:rsid w:val="187364E4"/>
    <w:rsid w:val="18745AE8"/>
    <w:rsid w:val="18772149"/>
    <w:rsid w:val="187C61A2"/>
    <w:rsid w:val="187D1248"/>
    <w:rsid w:val="1883469D"/>
    <w:rsid w:val="189270E7"/>
    <w:rsid w:val="18986393"/>
    <w:rsid w:val="189A41EE"/>
    <w:rsid w:val="189D62F5"/>
    <w:rsid w:val="189F1FC6"/>
    <w:rsid w:val="18A1588B"/>
    <w:rsid w:val="18A4359D"/>
    <w:rsid w:val="18AF5EEB"/>
    <w:rsid w:val="18BB5877"/>
    <w:rsid w:val="18BE3D2E"/>
    <w:rsid w:val="18C035E4"/>
    <w:rsid w:val="18C10B83"/>
    <w:rsid w:val="18C416E8"/>
    <w:rsid w:val="18CC7B61"/>
    <w:rsid w:val="18D97E60"/>
    <w:rsid w:val="18DB52D8"/>
    <w:rsid w:val="18DF5A23"/>
    <w:rsid w:val="18E36ED5"/>
    <w:rsid w:val="18E37F41"/>
    <w:rsid w:val="18E461B2"/>
    <w:rsid w:val="18E67BAE"/>
    <w:rsid w:val="18E71B57"/>
    <w:rsid w:val="18EA162A"/>
    <w:rsid w:val="18F345A2"/>
    <w:rsid w:val="19090C79"/>
    <w:rsid w:val="190E1BEA"/>
    <w:rsid w:val="190E24E6"/>
    <w:rsid w:val="19145D4E"/>
    <w:rsid w:val="191776A5"/>
    <w:rsid w:val="19290502"/>
    <w:rsid w:val="19353311"/>
    <w:rsid w:val="19377C8F"/>
    <w:rsid w:val="193E133E"/>
    <w:rsid w:val="194062C1"/>
    <w:rsid w:val="19527BA2"/>
    <w:rsid w:val="195531FB"/>
    <w:rsid w:val="195A11A9"/>
    <w:rsid w:val="195A531C"/>
    <w:rsid w:val="195E735D"/>
    <w:rsid w:val="19663A48"/>
    <w:rsid w:val="196A24F0"/>
    <w:rsid w:val="196A2E61"/>
    <w:rsid w:val="196D40E0"/>
    <w:rsid w:val="196E288B"/>
    <w:rsid w:val="196E5916"/>
    <w:rsid w:val="19722A75"/>
    <w:rsid w:val="197A1C24"/>
    <w:rsid w:val="197B254B"/>
    <w:rsid w:val="199B447E"/>
    <w:rsid w:val="19BE0A0D"/>
    <w:rsid w:val="19C73D73"/>
    <w:rsid w:val="19C84D8B"/>
    <w:rsid w:val="19C96816"/>
    <w:rsid w:val="19CD1256"/>
    <w:rsid w:val="19D2330D"/>
    <w:rsid w:val="19D92991"/>
    <w:rsid w:val="19DB6136"/>
    <w:rsid w:val="19DC2082"/>
    <w:rsid w:val="19DF0C38"/>
    <w:rsid w:val="19E432D1"/>
    <w:rsid w:val="19E85250"/>
    <w:rsid w:val="19EA3FA9"/>
    <w:rsid w:val="19EC2C03"/>
    <w:rsid w:val="19EF056A"/>
    <w:rsid w:val="19F353B5"/>
    <w:rsid w:val="19F5133B"/>
    <w:rsid w:val="19FD7B33"/>
    <w:rsid w:val="1A035F4D"/>
    <w:rsid w:val="1A065F2D"/>
    <w:rsid w:val="1A0E06FB"/>
    <w:rsid w:val="1A105F4A"/>
    <w:rsid w:val="1A107ADA"/>
    <w:rsid w:val="1A1678A4"/>
    <w:rsid w:val="1A170471"/>
    <w:rsid w:val="1A1B1083"/>
    <w:rsid w:val="1A1C6362"/>
    <w:rsid w:val="1A237B72"/>
    <w:rsid w:val="1A2C2AF9"/>
    <w:rsid w:val="1A2C531A"/>
    <w:rsid w:val="1A31736B"/>
    <w:rsid w:val="1A32281E"/>
    <w:rsid w:val="1A475E1E"/>
    <w:rsid w:val="1A497AD7"/>
    <w:rsid w:val="1A4A3EB7"/>
    <w:rsid w:val="1A4A49D3"/>
    <w:rsid w:val="1A4B082A"/>
    <w:rsid w:val="1A5228BF"/>
    <w:rsid w:val="1A5B755A"/>
    <w:rsid w:val="1A5C3588"/>
    <w:rsid w:val="1A6A20E5"/>
    <w:rsid w:val="1A734B50"/>
    <w:rsid w:val="1A7B177B"/>
    <w:rsid w:val="1A7C7171"/>
    <w:rsid w:val="1A8F1797"/>
    <w:rsid w:val="1A90236E"/>
    <w:rsid w:val="1A915210"/>
    <w:rsid w:val="1A9A59B8"/>
    <w:rsid w:val="1A9A5A57"/>
    <w:rsid w:val="1A9F1F7F"/>
    <w:rsid w:val="1AA646A4"/>
    <w:rsid w:val="1AA7675D"/>
    <w:rsid w:val="1AA774D8"/>
    <w:rsid w:val="1AAA1BC3"/>
    <w:rsid w:val="1AAA28C3"/>
    <w:rsid w:val="1ABC2DC4"/>
    <w:rsid w:val="1ABE2DF0"/>
    <w:rsid w:val="1AC0222F"/>
    <w:rsid w:val="1AC1665C"/>
    <w:rsid w:val="1AD25D63"/>
    <w:rsid w:val="1AD36971"/>
    <w:rsid w:val="1AD50CBF"/>
    <w:rsid w:val="1AE203DF"/>
    <w:rsid w:val="1AE431D8"/>
    <w:rsid w:val="1AED6063"/>
    <w:rsid w:val="1AF54CE3"/>
    <w:rsid w:val="1AF705EA"/>
    <w:rsid w:val="1AF70DA3"/>
    <w:rsid w:val="1AFC6418"/>
    <w:rsid w:val="1B042739"/>
    <w:rsid w:val="1B075494"/>
    <w:rsid w:val="1B0A22A2"/>
    <w:rsid w:val="1B0A5522"/>
    <w:rsid w:val="1B0E67CD"/>
    <w:rsid w:val="1B1825CA"/>
    <w:rsid w:val="1B1E2C5D"/>
    <w:rsid w:val="1B1E43B2"/>
    <w:rsid w:val="1B1F4E7E"/>
    <w:rsid w:val="1B232AB3"/>
    <w:rsid w:val="1B23671D"/>
    <w:rsid w:val="1B2B02C2"/>
    <w:rsid w:val="1B2C465B"/>
    <w:rsid w:val="1B2D3918"/>
    <w:rsid w:val="1B3264C4"/>
    <w:rsid w:val="1B386D51"/>
    <w:rsid w:val="1B403C15"/>
    <w:rsid w:val="1B4156D7"/>
    <w:rsid w:val="1B443D64"/>
    <w:rsid w:val="1B455583"/>
    <w:rsid w:val="1B4C5A53"/>
    <w:rsid w:val="1B4F12C0"/>
    <w:rsid w:val="1B5468D6"/>
    <w:rsid w:val="1B642039"/>
    <w:rsid w:val="1B690A91"/>
    <w:rsid w:val="1B723200"/>
    <w:rsid w:val="1B7546AC"/>
    <w:rsid w:val="1B7616AC"/>
    <w:rsid w:val="1B78320A"/>
    <w:rsid w:val="1B836EA2"/>
    <w:rsid w:val="1B8759FD"/>
    <w:rsid w:val="1B8D508E"/>
    <w:rsid w:val="1B9C269C"/>
    <w:rsid w:val="1B9D615A"/>
    <w:rsid w:val="1B9E01AA"/>
    <w:rsid w:val="1B9F30FF"/>
    <w:rsid w:val="1BA302BB"/>
    <w:rsid w:val="1BA94B12"/>
    <w:rsid w:val="1BBB1918"/>
    <w:rsid w:val="1BBC088D"/>
    <w:rsid w:val="1BC021BE"/>
    <w:rsid w:val="1BC33A5C"/>
    <w:rsid w:val="1BC3580A"/>
    <w:rsid w:val="1BC561B7"/>
    <w:rsid w:val="1BCA2520"/>
    <w:rsid w:val="1BDA4853"/>
    <w:rsid w:val="1BDA7761"/>
    <w:rsid w:val="1BE03CC6"/>
    <w:rsid w:val="1BE42B51"/>
    <w:rsid w:val="1BE534A9"/>
    <w:rsid w:val="1BE87DC6"/>
    <w:rsid w:val="1C0A46B0"/>
    <w:rsid w:val="1C0C5AF2"/>
    <w:rsid w:val="1C102CD0"/>
    <w:rsid w:val="1C1F1628"/>
    <w:rsid w:val="1C2148A0"/>
    <w:rsid w:val="1C271F49"/>
    <w:rsid w:val="1C291DDD"/>
    <w:rsid w:val="1C2E751D"/>
    <w:rsid w:val="1C3756AE"/>
    <w:rsid w:val="1C3C7E4D"/>
    <w:rsid w:val="1C3D2B71"/>
    <w:rsid w:val="1C3E3B74"/>
    <w:rsid w:val="1C4516BE"/>
    <w:rsid w:val="1C512148"/>
    <w:rsid w:val="1C54163E"/>
    <w:rsid w:val="1C574C89"/>
    <w:rsid w:val="1C5823F6"/>
    <w:rsid w:val="1C5B1C63"/>
    <w:rsid w:val="1C5D6071"/>
    <w:rsid w:val="1C60775C"/>
    <w:rsid w:val="1C6369F7"/>
    <w:rsid w:val="1C694D3C"/>
    <w:rsid w:val="1C7445EE"/>
    <w:rsid w:val="1C79305B"/>
    <w:rsid w:val="1C7F378D"/>
    <w:rsid w:val="1C7F7F83"/>
    <w:rsid w:val="1C8651B5"/>
    <w:rsid w:val="1C867623"/>
    <w:rsid w:val="1C8A1B4D"/>
    <w:rsid w:val="1C8A2B20"/>
    <w:rsid w:val="1C8B7A0E"/>
    <w:rsid w:val="1C915791"/>
    <w:rsid w:val="1C9627DC"/>
    <w:rsid w:val="1C9D2D4B"/>
    <w:rsid w:val="1C9E0704"/>
    <w:rsid w:val="1C9E20B6"/>
    <w:rsid w:val="1C9F0891"/>
    <w:rsid w:val="1CA35D6A"/>
    <w:rsid w:val="1CA42B60"/>
    <w:rsid w:val="1CA5332E"/>
    <w:rsid w:val="1CA77CA4"/>
    <w:rsid w:val="1CA92D01"/>
    <w:rsid w:val="1CAA2ED9"/>
    <w:rsid w:val="1CAB56CB"/>
    <w:rsid w:val="1CB860BE"/>
    <w:rsid w:val="1CBC30A8"/>
    <w:rsid w:val="1CC12F0F"/>
    <w:rsid w:val="1CC4598C"/>
    <w:rsid w:val="1CC6471F"/>
    <w:rsid w:val="1CCB0D82"/>
    <w:rsid w:val="1CCC0EFB"/>
    <w:rsid w:val="1CD218A1"/>
    <w:rsid w:val="1CE70C84"/>
    <w:rsid w:val="1CEF0322"/>
    <w:rsid w:val="1CF743B7"/>
    <w:rsid w:val="1D0255DD"/>
    <w:rsid w:val="1D083E1C"/>
    <w:rsid w:val="1D0B56BA"/>
    <w:rsid w:val="1D1259D5"/>
    <w:rsid w:val="1D146655"/>
    <w:rsid w:val="1D151012"/>
    <w:rsid w:val="1D1919AC"/>
    <w:rsid w:val="1D1B5A75"/>
    <w:rsid w:val="1D2020BE"/>
    <w:rsid w:val="1D275B51"/>
    <w:rsid w:val="1D287202"/>
    <w:rsid w:val="1D2E6DDB"/>
    <w:rsid w:val="1D322570"/>
    <w:rsid w:val="1D340923"/>
    <w:rsid w:val="1D3C74A8"/>
    <w:rsid w:val="1D3D318A"/>
    <w:rsid w:val="1D401372"/>
    <w:rsid w:val="1D4043CB"/>
    <w:rsid w:val="1D4315AE"/>
    <w:rsid w:val="1D4969D2"/>
    <w:rsid w:val="1D544687"/>
    <w:rsid w:val="1D55737A"/>
    <w:rsid w:val="1D57646C"/>
    <w:rsid w:val="1D6525B6"/>
    <w:rsid w:val="1D69029B"/>
    <w:rsid w:val="1D6B61B9"/>
    <w:rsid w:val="1D6E0A39"/>
    <w:rsid w:val="1D73055C"/>
    <w:rsid w:val="1D747A33"/>
    <w:rsid w:val="1D755F0C"/>
    <w:rsid w:val="1D7B0D0A"/>
    <w:rsid w:val="1D7B74D6"/>
    <w:rsid w:val="1D800073"/>
    <w:rsid w:val="1D845053"/>
    <w:rsid w:val="1D886D0B"/>
    <w:rsid w:val="1D8C6BC2"/>
    <w:rsid w:val="1D8E3F78"/>
    <w:rsid w:val="1D8F53E4"/>
    <w:rsid w:val="1D99799F"/>
    <w:rsid w:val="1DA0232B"/>
    <w:rsid w:val="1DA71F38"/>
    <w:rsid w:val="1DA8303F"/>
    <w:rsid w:val="1DA96932"/>
    <w:rsid w:val="1DAE1B8D"/>
    <w:rsid w:val="1DB9291B"/>
    <w:rsid w:val="1DBC3FAE"/>
    <w:rsid w:val="1DBC75D4"/>
    <w:rsid w:val="1DC53ABB"/>
    <w:rsid w:val="1DC64373"/>
    <w:rsid w:val="1DD21A7A"/>
    <w:rsid w:val="1DDA7E2C"/>
    <w:rsid w:val="1DE160D4"/>
    <w:rsid w:val="1DE1743A"/>
    <w:rsid w:val="1DEA6200"/>
    <w:rsid w:val="1DEC54EC"/>
    <w:rsid w:val="1DEF0DFE"/>
    <w:rsid w:val="1DFC744D"/>
    <w:rsid w:val="1E007A1F"/>
    <w:rsid w:val="1E0A442D"/>
    <w:rsid w:val="1E124B5C"/>
    <w:rsid w:val="1E146C1C"/>
    <w:rsid w:val="1E164317"/>
    <w:rsid w:val="1E176FE0"/>
    <w:rsid w:val="1E1D17EE"/>
    <w:rsid w:val="1E2A1A42"/>
    <w:rsid w:val="1E3E0DA5"/>
    <w:rsid w:val="1E430BB2"/>
    <w:rsid w:val="1E432C6D"/>
    <w:rsid w:val="1E4504AC"/>
    <w:rsid w:val="1E455B65"/>
    <w:rsid w:val="1E461A7F"/>
    <w:rsid w:val="1E484E15"/>
    <w:rsid w:val="1E4F5985"/>
    <w:rsid w:val="1E5170FD"/>
    <w:rsid w:val="1E670523"/>
    <w:rsid w:val="1E6719AC"/>
    <w:rsid w:val="1E707B6E"/>
    <w:rsid w:val="1E765D0F"/>
    <w:rsid w:val="1E7D5438"/>
    <w:rsid w:val="1E8023A9"/>
    <w:rsid w:val="1E893E47"/>
    <w:rsid w:val="1E926F12"/>
    <w:rsid w:val="1E9A5DA3"/>
    <w:rsid w:val="1E9B481C"/>
    <w:rsid w:val="1EA02135"/>
    <w:rsid w:val="1EA23DFC"/>
    <w:rsid w:val="1EA2792C"/>
    <w:rsid w:val="1EAD4CC4"/>
    <w:rsid w:val="1EB1403F"/>
    <w:rsid w:val="1EB309CE"/>
    <w:rsid w:val="1EB34D89"/>
    <w:rsid w:val="1EB51951"/>
    <w:rsid w:val="1EC61787"/>
    <w:rsid w:val="1EC8682E"/>
    <w:rsid w:val="1ECB33A2"/>
    <w:rsid w:val="1ECB7FFF"/>
    <w:rsid w:val="1ED01AE8"/>
    <w:rsid w:val="1ED06545"/>
    <w:rsid w:val="1ED21D12"/>
    <w:rsid w:val="1EDA3B35"/>
    <w:rsid w:val="1EDC498D"/>
    <w:rsid w:val="1EE2601B"/>
    <w:rsid w:val="1EE41FFE"/>
    <w:rsid w:val="1EEA622B"/>
    <w:rsid w:val="1EEB554F"/>
    <w:rsid w:val="1EF06916"/>
    <w:rsid w:val="1EF80128"/>
    <w:rsid w:val="1F091105"/>
    <w:rsid w:val="1F0C4DE9"/>
    <w:rsid w:val="1F0E5964"/>
    <w:rsid w:val="1F112955"/>
    <w:rsid w:val="1F1F34F6"/>
    <w:rsid w:val="1F1F5E4E"/>
    <w:rsid w:val="1F206DEB"/>
    <w:rsid w:val="1F210BF0"/>
    <w:rsid w:val="1F2724CA"/>
    <w:rsid w:val="1F2C4FD3"/>
    <w:rsid w:val="1F2E083B"/>
    <w:rsid w:val="1F33406A"/>
    <w:rsid w:val="1F354FC8"/>
    <w:rsid w:val="1F367F81"/>
    <w:rsid w:val="1F3C7DAD"/>
    <w:rsid w:val="1F3F5B60"/>
    <w:rsid w:val="1F4359CD"/>
    <w:rsid w:val="1F46658F"/>
    <w:rsid w:val="1F487C3F"/>
    <w:rsid w:val="1F5359BE"/>
    <w:rsid w:val="1F546703"/>
    <w:rsid w:val="1F5835FA"/>
    <w:rsid w:val="1F590D48"/>
    <w:rsid w:val="1F597844"/>
    <w:rsid w:val="1F6031FC"/>
    <w:rsid w:val="1F654E00"/>
    <w:rsid w:val="1F690BF5"/>
    <w:rsid w:val="1F6B68E4"/>
    <w:rsid w:val="1F700CB2"/>
    <w:rsid w:val="1F7767BD"/>
    <w:rsid w:val="1F777B86"/>
    <w:rsid w:val="1F826B07"/>
    <w:rsid w:val="1F881237"/>
    <w:rsid w:val="1F8F4D85"/>
    <w:rsid w:val="1F900169"/>
    <w:rsid w:val="1F926555"/>
    <w:rsid w:val="1F944B30"/>
    <w:rsid w:val="1FA37D0D"/>
    <w:rsid w:val="1FA44662"/>
    <w:rsid w:val="1FA71619"/>
    <w:rsid w:val="1FAC7B52"/>
    <w:rsid w:val="1FBA6F24"/>
    <w:rsid w:val="1FBB35E8"/>
    <w:rsid w:val="1FBE4C66"/>
    <w:rsid w:val="1FC04FB3"/>
    <w:rsid w:val="1FC20A57"/>
    <w:rsid w:val="1FC20A8C"/>
    <w:rsid w:val="1FC248EC"/>
    <w:rsid w:val="1FC319E3"/>
    <w:rsid w:val="1FC83070"/>
    <w:rsid w:val="1FD06E8E"/>
    <w:rsid w:val="1FD160C2"/>
    <w:rsid w:val="1FD313F0"/>
    <w:rsid w:val="1FD7195E"/>
    <w:rsid w:val="1FD80714"/>
    <w:rsid w:val="1FD85E11"/>
    <w:rsid w:val="1FDD4A1F"/>
    <w:rsid w:val="1FE162F5"/>
    <w:rsid w:val="1FEB1F1D"/>
    <w:rsid w:val="1FEE0A7F"/>
    <w:rsid w:val="1FEF06D7"/>
    <w:rsid w:val="1FF16202"/>
    <w:rsid w:val="1FF42436"/>
    <w:rsid w:val="1FF561AE"/>
    <w:rsid w:val="1FFB7EEF"/>
    <w:rsid w:val="1FFE50E3"/>
    <w:rsid w:val="1FFF3961"/>
    <w:rsid w:val="20012538"/>
    <w:rsid w:val="200742C6"/>
    <w:rsid w:val="200A3A07"/>
    <w:rsid w:val="200D7D4E"/>
    <w:rsid w:val="201A0E7B"/>
    <w:rsid w:val="201F1B33"/>
    <w:rsid w:val="2026400C"/>
    <w:rsid w:val="202D5DC8"/>
    <w:rsid w:val="20337402"/>
    <w:rsid w:val="20387CF2"/>
    <w:rsid w:val="203A4953"/>
    <w:rsid w:val="204C0A33"/>
    <w:rsid w:val="204D625B"/>
    <w:rsid w:val="20625122"/>
    <w:rsid w:val="2063435E"/>
    <w:rsid w:val="20637207"/>
    <w:rsid w:val="206615FE"/>
    <w:rsid w:val="20683E15"/>
    <w:rsid w:val="2077514B"/>
    <w:rsid w:val="207F2875"/>
    <w:rsid w:val="20803CC9"/>
    <w:rsid w:val="208A3385"/>
    <w:rsid w:val="208C08C0"/>
    <w:rsid w:val="20900455"/>
    <w:rsid w:val="209877B2"/>
    <w:rsid w:val="20990A39"/>
    <w:rsid w:val="209A17F0"/>
    <w:rsid w:val="209C6EA1"/>
    <w:rsid w:val="209D648D"/>
    <w:rsid w:val="209F4679"/>
    <w:rsid w:val="20A16773"/>
    <w:rsid w:val="20AC2BFD"/>
    <w:rsid w:val="20B532F3"/>
    <w:rsid w:val="20B76408"/>
    <w:rsid w:val="20BF7061"/>
    <w:rsid w:val="20C07FF8"/>
    <w:rsid w:val="20C12B7A"/>
    <w:rsid w:val="20C50676"/>
    <w:rsid w:val="20CD2A98"/>
    <w:rsid w:val="20D11726"/>
    <w:rsid w:val="20DC6A9E"/>
    <w:rsid w:val="20E4139D"/>
    <w:rsid w:val="20E75CB1"/>
    <w:rsid w:val="20EA3A28"/>
    <w:rsid w:val="20EF3A95"/>
    <w:rsid w:val="20F2574F"/>
    <w:rsid w:val="20F46B58"/>
    <w:rsid w:val="20F525F8"/>
    <w:rsid w:val="21043F6B"/>
    <w:rsid w:val="210A3C28"/>
    <w:rsid w:val="210D2C11"/>
    <w:rsid w:val="21147BC7"/>
    <w:rsid w:val="2116324A"/>
    <w:rsid w:val="21192959"/>
    <w:rsid w:val="21197F46"/>
    <w:rsid w:val="2120725A"/>
    <w:rsid w:val="21407393"/>
    <w:rsid w:val="21500D19"/>
    <w:rsid w:val="215059C6"/>
    <w:rsid w:val="21527B7A"/>
    <w:rsid w:val="21562C7C"/>
    <w:rsid w:val="2159776B"/>
    <w:rsid w:val="215C64E4"/>
    <w:rsid w:val="21620309"/>
    <w:rsid w:val="21623B5B"/>
    <w:rsid w:val="21783C19"/>
    <w:rsid w:val="218078DF"/>
    <w:rsid w:val="21810588"/>
    <w:rsid w:val="21863C06"/>
    <w:rsid w:val="21902756"/>
    <w:rsid w:val="21933ED0"/>
    <w:rsid w:val="219A525F"/>
    <w:rsid w:val="219E33D5"/>
    <w:rsid w:val="219F6B10"/>
    <w:rsid w:val="21A124D6"/>
    <w:rsid w:val="21AB5206"/>
    <w:rsid w:val="21B46B62"/>
    <w:rsid w:val="21C30F39"/>
    <w:rsid w:val="21C5052E"/>
    <w:rsid w:val="21C86500"/>
    <w:rsid w:val="21CA3688"/>
    <w:rsid w:val="21CC0404"/>
    <w:rsid w:val="21D62627"/>
    <w:rsid w:val="21DD3243"/>
    <w:rsid w:val="21E16521"/>
    <w:rsid w:val="21F07D00"/>
    <w:rsid w:val="21F94BEC"/>
    <w:rsid w:val="21FE57EE"/>
    <w:rsid w:val="22162C9E"/>
    <w:rsid w:val="221670F5"/>
    <w:rsid w:val="222A08FD"/>
    <w:rsid w:val="222A49B8"/>
    <w:rsid w:val="222E1BA3"/>
    <w:rsid w:val="222E30EB"/>
    <w:rsid w:val="224017D1"/>
    <w:rsid w:val="22467474"/>
    <w:rsid w:val="22486028"/>
    <w:rsid w:val="22493735"/>
    <w:rsid w:val="22516980"/>
    <w:rsid w:val="2252682D"/>
    <w:rsid w:val="22541985"/>
    <w:rsid w:val="22551466"/>
    <w:rsid w:val="22554145"/>
    <w:rsid w:val="225927B1"/>
    <w:rsid w:val="225D0C6F"/>
    <w:rsid w:val="225D4377"/>
    <w:rsid w:val="225D6265"/>
    <w:rsid w:val="22603DB2"/>
    <w:rsid w:val="22697339"/>
    <w:rsid w:val="226A3AEE"/>
    <w:rsid w:val="226D2DD0"/>
    <w:rsid w:val="226D64CF"/>
    <w:rsid w:val="22812984"/>
    <w:rsid w:val="228673E4"/>
    <w:rsid w:val="229375DA"/>
    <w:rsid w:val="229B303C"/>
    <w:rsid w:val="229B5408"/>
    <w:rsid w:val="229C3D38"/>
    <w:rsid w:val="229E7F41"/>
    <w:rsid w:val="22A81DC2"/>
    <w:rsid w:val="22AC349C"/>
    <w:rsid w:val="22AD6FD8"/>
    <w:rsid w:val="22B10AB2"/>
    <w:rsid w:val="22BC7EA6"/>
    <w:rsid w:val="22BC7FA6"/>
    <w:rsid w:val="22CC54A6"/>
    <w:rsid w:val="22CE0CE2"/>
    <w:rsid w:val="22DB10BE"/>
    <w:rsid w:val="22E82A66"/>
    <w:rsid w:val="22EE64FA"/>
    <w:rsid w:val="22F16537"/>
    <w:rsid w:val="22FD3CF7"/>
    <w:rsid w:val="22FD41E0"/>
    <w:rsid w:val="22FD5518"/>
    <w:rsid w:val="22FE1B5E"/>
    <w:rsid w:val="23071689"/>
    <w:rsid w:val="23094A8A"/>
    <w:rsid w:val="230D66E7"/>
    <w:rsid w:val="23106021"/>
    <w:rsid w:val="231116E2"/>
    <w:rsid w:val="231A3CFC"/>
    <w:rsid w:val="231A5A5A"/>
    <w:rsid w:val="231E0654"/>
    <w:rsid w:val="23247BEE"/>
    <w:rsid w:val="233104C8"/>
    <w:rsid w:val="233A46C3"/>
    <w:rsid w:val="233D25B3"/>
    <w:rsid w:val="2349019E"/>
    <w:rsid w:val="235356C5"/>
    <w:rsid w:val="23542CBB"/>
    <w:rsid w:val="235F60F6"/>
    <w:rsid w:val="236941EC"/>
    <w:rsid w:val="236E26B5"/>
    <w:rsid w:val="23700025"/>
    <w:rsid w:val="2374611D"/>
    <w:rsid w:val="23750F1A"/>
    <w:rsid w:val="23780AD2"/>
    <w:rsid w:val="23790E1A"/>
    <w:rsid w:val="237C48EC"/>
    <w:rsid w:val="23835DAD"/>
    <w:rsid w:val="238623A5"/>
    <w:rsid w:val="238B4E5F"/>
    <w:rsid w:val="238C7AD1"/>
    <w:rsid w:val="239159FB"/>
    <w:rsid w:val="23954366"/>
    <w:rsid w:val="23955EAD"/>
    <w:rsid w:val="23A002E8"/>
    <w:rsid w:val="23A03458"/>
    <w:rsid w:val="23A2788A"/>
    <w:rsid w:val="23B57133"/>
    <w:rsid w:val="23B819CC"/>
    <w:rsid w:val="23B9735B"/>
    <w:rsid w:val="23BC6B52"/>
    <w:rsid w:val="23BF50E6"/>
    <w:rsid w:val="23C46BCA"/>
    <w:rsid w:val="23C51181"/>
    <w:rsid w:val="23CB775D"/>
    <w:rsid w:val="23CD2C26"/>
    <w:rsid w:val="23D04A20"/>
    <w:rsid w:val="23D51134"/>
    <w:rsid w:val="23D61708"/>
    <w:rsid w:val="23D866DD"/>
    <w:rsid w:val="23DE7645"/>
    <w:rsid w:val="23E15203"/>
    <w:rsid w:val="23F75717"/>
    <w:rsid w:val="23F76E82"/>
    <w:rsid w:val="23F95D05"/>
    <w:rsid w:val="23FD6B9C"/>
    <w:rsid w:val="2409674D"/>
    <w:rsid w:val="240D5326"/>
    <w:rsid w:val="24116997"/>
    <w:rsid w:val="241314AF"/>
    <w:rsid w:val="24134ED6"/>
    <w:rsid w:val="24170D2A"/>
    <w:rsid w:val="241F0360"/>
    <w:rsid w:val="241F1CDE"/>
    <w:rsid w:val="24223252"/>
    <w:rsid w:val="242D3CD5"/>
    <w:rsid w:val="242F48DA"/>
    <w:rsid w:val="24485FE3"/>
    <w:rsid w:val="244A2FF6"/>
    <w:rsid w:val="244C538F"/>
    <w:rsid w:val="24504957"/>
    <w:rsid w:val="24521B8A"/>
    <w:rsid w:val="245502E5"/>
    <w:rsid w:val="245575FF"/>
    <w:rsid w:val="245604A1"/>
    <w:rsid w:val="245A0A7F"/>
    <w:rsid w:val="245A195E"/>
    <w:rsid w:val="245F724E"/>
    <w:rsid w:val="24655BA6"/>
    <w:rsid w:val="246A0F18"/>
    <w:rsid w:val="2472601F"/>
    <w:rsid w:val="247E36CF"/>
    <w:rsid w:val="247F4284"/>
    <w:rsid w:val="24822EB3"/>
    <w:rsid w:val="24835957"/>
    <w:rsid w:val="24871D5F"/>
    <w:rsid w:val="24980425"/>
    <w:rsid w:val="249B3813"/>
    <w:rsid w:val="249D62D1"/>
    <w:rsid w:val="24A02EA5"/>
    <w:rsid w:val="24A25288"/>
    <w:rsid w:val="24A36893"/>
    <w:rsid w:val="24AD6BE8"/>
    <w:rsid w:val="24B06F90"/>
    <w:rsid w:val="24B240B3"/>
    <w:rsid w:val="24B44889"/>
    <w:rsid w:val="24B83FD1"/>
    <w:rsid w:val="24B9641E"/>
    <w:rsid w:val="24BA7AFE"/>
    <w:rsid w:val="24BE1264"/>
    <w:rsid w:val="24C3687B"/>
    <w:rsid w:val="24CC22FB"/>
    <w:rsid w:val="24D06521"/>
    <w:rsid w:val="24D952E1"/>
    <w:rsid w:val="24DD529B"/>
    <w:rsid w:val="24DF1E8D"/>
    <w:rsid w:val="24F06265"/>
    <w:rsid w:val="24F82AF5"/>
    <w:rsid w:val="25000C26"/>
    <w:rsid w:val="25037B30"/>
    <w:rsid w:val="25072853"/>
    <w:rsid w:val="25112977"/>
    <w:rsid w:val="251A7459"/>
    <w:rsid w:val="252671AB"/>
    <w:rsid w:val="253D4889"/>
    <w:rsid w:val="253E1595"/>
    <w:rsid w:val="254327E6"/>
    <w:rsid w:val="254D7E6D"/>
    <w:rsid w:val="254E25E8"/>
    <w:rsid w:val="254F2DD3"/>
    <w:rsid w:val="25546D72"/>
    <w:rsid w:val="255B48AB"/>
    <w:rsid w:val="255F36C5"/>
    <w:rsid w:val="256062A5"/>
    <w:rsid w:val="25611299"/>
    <w:rsid w:val="25667C37"/>
    <w:rsid w:val="256B3794"/>
    <w:rsid w:val="25714529"/>
    <w:rsid w:val="25714FBF"/>
    <w:rsid w:val="2573559F"/>
    <w:rsid w:val="257C26A0"/>
    <w:rsid w:val="257C7710"/>
    <w:rsid w:val="2586473A"/>
    <w:rsid w:val="25891872"/>
    <w:rsid w:val="258C7E03"/>
    <w:rsid w:val="258E2883"/>
    <w:rsid w:val="259863FD"/>
    <w:rsid w:val="259E012A"/>
    <w:rsid w:val="259F7F34"/>
    <w:rsid w:val="25AE1727"/>
    <w:rsid w:val="25B04CC0"/>
    <w:rsid w:val="25B20D41"/>
    <w:rsid w:val="25B4289D"/>
    <w:rsid w:val="25BE3B70"/>
    <w:rsid w:val="25C63EC8"/>
    <w:rsid w:val="25CA3FBA"/>
    <w:rsid w:val="25D02B22"/>
    <w:rsid w:val="25D2240E"/>
    <w:rsid w:val="25D90851"/>
    <w:rsid w:val="25DA0A1E"/>
    <w:rsid w:val="25DF65A5"/>
    <w:rsid w:val="25F34F21"/>
    <w:rsid w:val="25F552F5"/>
    <w:rsid w:val="25FA7BA8"/>
    <w:rsid w:val="25FF5B6F"/>
    <w:rsid w:val="26003E8A"/>
    <w:rsid w:val="26017921"/>
    <w:rsid w:val="26127B25"/>
    <w:rsid w:val="2616153F"/>
    <w:rsid w:val="261D2D87"/>
    <w:rsid w:val="26244ADB"/>
    <w:rsid w:val="26286A9E"/>
    <w:rsid w:val="262F16FF"/>
    <w:rsid w:val="26300F37"/>
    <w:rsid w:val="26323402"/>
    <w:rsid w:val="26330CDF"/>
    <w:rsid w:val="263A4437"/>
    <w:rsid w:val="263D1ED2"/>
    <w:rsid w:val="263F27A3"/>
    <w:rsid w:val="263F4E2D"/>
    <w:rsid w:val="26423528"/>
    <w:rsid w:val="26483DDB"/>
    <w:rsid w:val="264D63FB"/>
    <w:rsid w:val="26503802"/>
    <w:rsid w:val="26690A04"/>
    <w:rsid w:val="26763C01"/>
    <w:rsid w:val="26793E48"/>
    <w:rsid w:val="26800451"/>
    <w:rsid w:val="268159F5"/>
    <w:rsid w:val="2683071F"/>
    <w:rsid w:val="268400DE"/>
    <w:rsid w:val="26914158"/>
    <w:rsid w:val="26926958"/>
    <w:rsid w:val="26961119"/>
    <w:rsid w:val="269B3BA7"/>
    <w:rsid w:val="26A12BEB"/>
    <w:rsid w:val="26C453F7"/>
    <w:rsid w:val="26C96942"/>
    <w:rsid w:val="26CD1F3C"/>
    <w:rsid w:val="26D0702D"/>
    <w:rsid w:val="26D46FE0"/>
    <w:rsid w:val="26DA7CC8"/>
    <w:rsid w:val="26DF0176"/>
    <w:rsid w:val="26DF118A"/>
    <w:rsid w:val="26E50D2A"/>
    <w:rsid w:val="26E551E7"/>
    <w:rsid w:val="26F4468E"/>
    <w:rsid w:val="26F564E2"/>
    <w:rsid w:val="26FB4FD9"/>
    <w:rsid w:val="26FF18DC"/>
    <w:rsid w:val="2700211E"/>
    <w:rsid w:val="27002EA6"/>
    <w:rsid w:val="27036136"/>
    <w:rsid w:val="27045711"/>
    <w:rsid w:val="2704620A"/>
    <w:rsid w:val="270D66AE"/>
    <w:rsid w:val="2712321F"/>
    <w:rsid w:val="27151DB5"/>
    <w:rsid w:val="271D2E3C"/>
    <w:rsid w:val="27244BBC"/>
    <w:rsid w:val="2729330D"/>
    <w:rsid w:val="272D3E2A"/>
    <w:rsid w:val="27367FD2"/>
    <w:rsid w:val="27385029"/>
    <w:rsid w:val="273854E4"/>
    <w:rsid w:val="273A6EC2"/>
    <w:rsid w:val="273C6723"/>
    <w:rsid w:val="2748569C"/>
    <w:rsid w:val="27511CE5"/>
    <w:rsid w:val="27517FDA"/>
    <w:rsid w:val="27521C6D"/>
    <w:rsid w:val="27556925"/>
    <w:rsid w:val="275D0B79"/>
    <w:rsid w:val="275E4D7A"/>
    <w:rsid w:val="27664277"/>
    <w:rsid w:val="276F4A98"/>
    <w:rsid w:val="27756435"/>
    <w:rsid w:val="277A3B68"/>
    <w:rsid w:val="27817E5A"/>
    <w:rsid w:val="27836248"/>
    <w:rsid w:val="278A1216"/>
    <w:rsid w:val="278C4C47"/>
    <w:rsid w:val="278C7164"/>
    <w:rsid w:val="279076FE"/>
    <w:rsid w:val="27962EA4"/>
    <w:rsid w:val="279D0FCC"/>
    <w:rsid w:val="279D49F6"/>
    <w:rsid w:val="27A122EC"/>
    <w:rsid w:val="27A952B9"/>
    <w:rsid w:val="27AC0F35"/>
    <w:rsid w:val="27AD0FD9"/>
    <w:rsid w:val="27BC3B07"/>
    <w:rsid w:val="27CB1273"/>
    <w:rsid w:val="27D709AD"/>
    <w:rsid w:val="27DB451B"/>
    <w:rsid w:val="27E012B3"/>
    <w:rsid w:val="27E014F2"/>
    <w:rsid w:val="27E24A7C"/>
    <w:rsid w:val="27E35F2B"/>
    <w:rsid w:val="27E66387"/>
    <w:rsid w:val="27F2509D"/>
    <w:rsid w:val="27F77396"/>
    <w:rsid w:val="28017DE6"/>
    <w:rsid w:val="280727DE"/>
    <w:rsid w:val="280C52E1"/>
    <w:rsid w:val="281D5A63"/>
    <w:rsid w:val="28246CCB"/>
    <w:rsid w:val="282B5E6A"/>
    <w:rsid w:val="282B65C8"/>
    <w:rsid w:val="28330F7E"/>
    <w:rsid w:val="28384009"/>
    <w:rsid w:val="283D09A7"/>
    <w:rsid w:val="283F539B"/>
    <w:rsid w:val="2840271D"/>
    <w:rsid w:val="28414686"/>
    <w:rsid w:val="284A2623"/>
    <w:rsid w:val="284A5664"/>
    <w:rsid w:val="284E54B5"/>
    <w:rsid w:val="2851569D"/>
    <w:rsid w:val="28663457"/>
    <w:rsid w:val="28677BDC"/>
    <w:rsid w:val="286C3BC6"/>
    <w:rsid w:val="28726E94"/>
    <w:rsid w:val="28731A84"/>
    <w:rsid w:val="28840A8F"/>
    <w:rsid w:val="28977FF3"/>
    <w:rsid w:val="28A47CE8"/>
    <w:rsid w:val="28A619E2"/>
    <w:rsid w:val="28AB5457"/>
    <w:rsid w:val="28AC60B9"/>
    <w:rsid w:val="28AC6EC6"/>
    <w:rsid w:val="28AF52BB"/>
    <w:rsid w:val="28B40C90"/>
    <w:rsid w:val="28B5472C"/>
    <w:rsid w:val="28C522EB"/>
    <w:rsid w:val="28CA642C"/>
    <w:rsid w:val="28D13347"/>
    <w:rsid w:val="28DB59FC"/>
    <w:rsid w:val="28DC7F0B"/>
    <w:rsid w:val="28E056F6"/>
    <w:rsid w:val="28E13773"/>
    <w:rsid w:val="28E952BE"/>
    <w:rsid w:val="28ED2A41"/>
    <w:rsid w:val="28EF68E2"/>
    <w:rsid w:val="29083849"/>
    <w:rsid w:val="29216D99"/>
    <w:rsid w:val="292D7B28"/>
    <w:rsid w:val="292F3C55"/>
    <w:rsid w:val="292F44DF"/>
    <w:rsid w:val="293270B0"/>
    <w:rsid w:val="2935507D"/>
    <w:rsid w:val="29395C03"/>
    <w:rsid w:val="293B2E83"/>
    <w:rsid w:val="293B3D7D"/>
    <w:rsid w:val="293B65B0"/>
    <w:rsid w:val="293C6E7D"/>
    <w:rsid w:val="293D6BFB"/>
    <w:rsid w:val="29481594"/>
    <w:rsid w:val="294A21CC"/>
    <w:rsid w:val="294C1B9A"/>
    <w:rsid w:val="29506C0A"/>
    <w:rsid w:val="29547798"/>
    <w:rsid w:val="295D10C9"/>
    <w:rsid w:val="29653929"/>
    <w:rsid w:val="29690B29"/>
    <w:rsid w:val="296B349B"/>
    <w:rsid w:val="296C128F"/>
    <w:rsid w:val="296C22A1"/>
    <w:rsid w:val="296C50F1"/>
    <w:rsid w:val="29747C9B"/>
    <w:rsid w:val="297665B1"/>
    <w:rsid w:val="297927B6"/>
    <w:rsid w:val="297F526F"/>
    <w:rsid w:val="29885241"/>
    <w:rsid w:val="298D5B60"/>
    <w:rsid w:val="299D17C8"/>
    <w:rsid w:val="29A4380E"/>
    <w:rsid w:val="29A45139"/>
    <w:rsid w:val="29A7676B"/>
    <w:rsid w:val="29AA078A"/>
    <w:rsid w:val="29AC3B4D"/>
    <w:rsid w:val="29AC4C50"/>
    <w:rsid w:val="29AD5CA4"/>
    <w:rsid w:val="29B910E9"/>
    <w:rsid w:val="29C300BB"/>
    <w:rsid w:val="29C4165C"/>
    <w:rsid w:val="29C94F21"/>
    <w:rsid w:val="29CD3705"/>
    <w:rsid w:val="29D532D8"/>
    <w:rsid w:val="29D644B4"/>
    <w:rsid w:val="29DD03DE"/>
    <w:rsid w:val="29E91916"/>
    <w:rsid w:val="29E9340C"/>
    <w:rsid w:val="29EF5E4F"/>
    <w:rsid w:val="29F574D6"/>
    <w:rsid w:val="29F81ABF"/>
    <w:rsid w:val="2A025551"/>
    <w:rsid w:val="2A057D9F"/>
    <w:rsid w:val="2A0E5CD0"/>
    <w:rsid w:val="2A0F1521"/>
    <w:rsid w:val="2A175BB1"/>
    <w:rsid w:val="2A1F6E38"/>
    <w:rsid w:val="2A2B646C"/>
    <w:rsid w:val="2A3341A2"/>
    <w:rsid w:val="2A3E750E"/>
    <w:rsid w:val="2A41663F"/>
    <w:rsid w:val="2A4D0158"/>
    <w:rsid w:val="2A565DF1"/>
    <w:rsid w:val="2A582808"/>
    <w:rsid w:val="2A5D22C7"/>
    <w:rsid w:val="2A633900"/>
    <w:rsid w:val="2A651734"/>
    <w:rsid w:val="2A710EF2"/>
    <w:rsid w:val="2A735C44"/>
    <w:rsid w:val="2A7C5494"/>
    <w:rsid w:val="2A7D14E8"/>
    <w:rsid w:val="2A837064"/>
    <w:rsid w:val="2A885049"/>
    <w:rsid w:val="2A8C55B9"/>
    <w:rsid w:val="2A8F2485"/>
    <w:rsid w:val="2A900FAD"/>
    <w:rsid w:val="2A924576"/>
    <w:rsid w:val="2A954347"/>
    <w:rsid w:val="2A9767DF"/>
    <w:rsid w:val="2AA01E42"/>
    <w:rsid w:val="2AAA7910"/>
    <w:rsid w:val="2AB76548"/>
    <w:rsid w:val="2ABA24FF"/>
    <w:rsid w:val="2ABD181F"/>
    <w:rsid w:val="2ABE5AD9"/>
    <w:rsid w:val="2AC13DD3"/>
    <w:rsid w:val="2AC347ED"/>
    <w:rsid w:val="2AD0449D"/>
    <w:rsid w:val="2AD56B8B"/>
    <w:rsid w:val="2AD62011"/>
    <w:rsid w:val="2ADE5822"/>
    <w:rsid w:val="2ADE7F6A"/>
    <w:rsid w:val="2AE00186"/>
    <w:rsid w:val="2AE011D4"/>
    <w:rsid w:val="2AE606D2"/>
    <w:rsid w:val="2AE93942"/>
    <w:rsid w:val="2AEB2245"/>
    <w:rsid w:val="2AEC5353"/>
    <w:rsid w:val="2AEE149F"/>
    <w:rsid w:val="2AF342FD"/>
    <w:rsid w:val="2AF53506"/>
    <w:rsid w:val="2AF754D0"/>
    <w:rsid w:val="2AF939DC"/>
    <w:rsid w:val="2AF969E5"/>
    <w:rsid w:val="2AFF1A5F"/>
    <w:rsid w:val="2AFF73B8"/>
    <w:rsid w:val="2B021EE1"/>
    <w:rsid w:val="2B022702"/>
    <w:rsid w:val="2B063EFC"/>
    <w:rsid w:val="2B0D6AA1"/>
    <w:rsid w:val="2B0F72A7"/>
    <w:rsid w:val="2B184FE6"/>
    <w:rsid w:val="2B1F5B82"/>
    <w:rsid w:val="2B2217BD"/>
    <w:rsid w:val="2B2222B4"/>
    <w:rsid w:val="2B234160"/>
    <w:rsid w:val="2B2F5D45"/>
    <w:rsid w:val="2B38014B"/>
    <w:rsid w:val="2B3E6888"/>
    <w:rsid w:val="2B4A3852"/>
    <w:rsid w:val="2B4E032A"/>
    <w:rsid w:val="2B500602"/>
    <w:rsid w:val="2B6941B8"/>
    <w:rsid w:val="2B7100AF"/>
    <w:rsid w:val="2B757510"/>
    <w:rsid w:val="2B782E43"/>
    <w:rsid w:val="2B802CB4"/>
    <w:rsid w:val="2B942AB9"/>
    <w:rsid w:val="2B9548AD"/>
    <w:rsid w:val="2B995725"/>
    <w:rsid w:val="2BA20995"/>
    <w:rsid w:val="2BB460C1"/>
    <w:rsid w:val="2BBC2D93"/>
    <w:rsid w:val="2BBD475C"/>
    <w:rsid w:val="2BC41856"/>
    <w:rsid w:val="2BC96E6C"/>
    <w:rsid w:val="2BD026C0"/>
    <w:rsid w:val="2BD50571"/>
    <w:rsid w:val="2BDA26D1"/>
    <w:rsid w:val="2BE5344F"/>
    <w:rsid w:val="2BED035B"/>
    <w:rsid w:val="2BF6678E"/>
    <w:rsid w:val="2BF95EEB"/>
    <w:rsid w:val="2C0C0B07"/>
    <w:rsid w:val="2C146B88"/>
    <w:rsid w:val="2C212B81"/>
    <w:rsid w:val="2C233FBA"/>
    <w:rsid w:val="2C24674A"/>
    <w:rsid w:val="2C257CF7"/>
    <w:rsid w:val="2C3D1051"/>
    <w:rsid w:val="2C502FA7"/>
    <w:rsid w:val="2C513231"/>
    <w:rsid w:val="2C541DE0"/>
    <w:rsid w:val="2C5768E6"/>
    <w:rsid w:val="2C5B1670"/>
    <w:rsid w:val="2C5F101C"/>
    <w:rsid w:val="2C5F31B6"/>
    <w:rsid w:val="2C81606C"/>
    <w:rsid w:val="2C83526D"/>
    <w:rsid w:val="2C89437B"/>
    <w:rsid w:val="2C8F31E1"/>
    <w:rsid w:val="2C91102F"/>
    <w:rsid w:val="2C924633"/>
    <w:rsid w:val="2C9373C6"/>
    <w:rsid w:val="2C987734"/>
    <w:rsid w:val="2C9A7267"/>
    <w:rsid w:val="2C9C30BC"/>
    <w:rsid w:val="2C9E3E47"/>
    <w:rsid w:val="2CA4630B"/>
    <w:rsid w:val="2CB34D98"/>
    <w:rsid w:val="2CB55659"/>
    <w:rsid w:val="2CB622E5"/>
    <w:rsid w:val="2CC27D2D"/>
    <w:rsid w:val="2CC67E51"/>
    <w:rsid w:val="2CC8314B"/>
    <w:rsid w:val="2CCA131E"/>
    <w:rsid w:val="2CD45AC9"/>
    <w:rsid w:val="2CE101B5"/>
    <w:rsid w:val="2CE545FA"/>
    <w:rsid w:val="2CE673AE"/>
    <w:rsid w:val="2CF230ED"/>
    <w:rsid w:val="2CF33A75"/>
    <w:rsid w:val="2CF7104F"/>
    <w:rsid w:val="2D020AE2"/>
    <w:rsid w:val="2D0469EA"/>
    <w:rsid w:val="2D084723"/>
    <w:rsid w:val="2D0D13EA"/>
    <w:rsid w:val="2D1934DC"/>
    <w:rsid w:val="2D206F68"/>
    <w:rsid w:val="2D2E5A54"/>
    <w:rsid w:val="2D2F4155"/>
    <w:rsid w:val="2D346B98"/>
    <w:rsid w:val="2D360531"/>
    <w:rsid w:val="2D3D3F92"/>
    <w:rsid w:val="2D3D4A7E"/>
    <w:rsid w:val="2D412230"/>
    <w:rsid w:val="2D4A20E0"/>
    <w:rsid w:val="2D4A4A8D"/>
    <w:rsid w:val="2D4B51F3"/>
    <w:rsid w:val="2D522D6C"/>
    <w:rsid w:val="2D53391B"/>
    <w:rsid w:val="2D5A6D4E"/>
    <w:rsid w:val="2D5E6954"/>
    <w:rsid w:val="2D665D7B"/>
    <w:rsid w:val="2D6669F1"/>
    <w:rsid w:val="2D6A3F3C"/>
    <w:rsid w:val="2D6C1426"/>
    <w:rsid w:val="2D6C6FB3"/>
    <w:rsid w:val="2D6E44A6"/>
    <w:rsid w:val="2D702154"/>
    <w:rsid w:val="2D71156A"/>
    <w:rsid w:val="2D735424"/>
    <w:rsid w:val="2D7746A6"/>
    <w:rsid w:val="2D7D0952"/>
    <w:rsid w:val="2D7F6B78"/>
    <w:rsid w:val="2D8311AB"/>
    <w:rsid w:val="2D881C8E"/>
    <w:rsid w:val="2D8C421A"/>
    <w:rsid w:val="2D9B0DC2"/>
    <w:rsid w:val="2DA01B9B"/>
    <w:rsid w:val="2DA51600"/>
    <w:rsid w:val="2DA84DFB"/>
    <w:rsid w:val="2DAD5B30"/>
    <w:rsid w:val="2DB11849"/>
    <w:rsid w:val="2DC53663"/>
    <w:rsid w:val="2DCB7356"/>
    <w:rsid w:val="2DCD2E76"/>
    <w:rsid w:val="2DD570BE"/>
    <w:rsid w:val="2DD7454B"/>
    <w:rsid w:val="2DD87D86"/>
    <w:rsid w:val="2DDF255C"/>
    <w:rsid w:val="2DE03FF9"/>
    <w:rsid w:val="2DE32494"/>
    <w:rsid w:val="2DE63F23"/>
    <w:rsid w:val="2DE72218"/>
    <w:rsid w:val="2DEA1E15"/>
    <w:rsid w:val="2DEB29FF"/>
    <w:rsid w:val="2DED2E88"/>
    <w:rsid w:val="2DF34029"/>
    <w:rsid w:val="2DF974E2"/>
    <w:rsid w:val="2E0028ED"/>
    <w:rsid w:val="2E0777D8"/>
    <w:rsid w:val="2E086459"/>
    <w:rsid w:val="2E1142C0"/>
    <w:rsid w:val="2E1A7AB6"/>
    <w:rsid w:val="2E1C43CC"/>
    <w:rsid w:val="2E1E7C13"/>
    <w:rsid w:val="2E1F21FB"/>
    <w:rsid w:val="2E2251BE"/>
    <w:rsid w:val="2E2F5776"/>
    <w:rsid w:val="2E374675"/>
    <w:rsid w:val="2E385BE3"/>
    <w:rsid w:val="2E4231F4"/>
    <w:rsid w:val="2E4429AF"/>
    <w:rsid w:val="2E46248D"/>
    <w:rsid w:val="2E4C0111"/>
    <w:rsid w:val="2E552E88"/>
    <w:rsid w:val="2E5C0A9F"/>
    <w:rsid w:val="2E5F2430"/>
    <w:rsid w:val="2E647796"/>
    <w:rsid w:val="2E6621B3"/>
    <w:rsid w:val="2E67296D"/>
    <w:rsid w:val="2E6811A4"/>
    <w:rsid w:val="2E6B139C"/>
    <w:rsid w:val="2E6C57AA"/>
    <w:rsid w:val="2E785B7F"/>
    <w:rsid w:val="2E7B7ED2"/>
    <w:rsid w:val="2E7F0BD1"/>
    <w:rsid w:val="2E8202E3"/>
    <w:rsid w:val="2E8B274E"/>
    <w:rsid w:val="2E92692A"/>
    <w:rsid w:val="2E980200"/>
    <w:rsid w:val="2E9C2616"/>
    <w:rsid w:val="2EA87847"/>
    <w:rsid w:val="2EAA67C5"/>
    <w:rsid w:val="2EAE163D"/>
    <w:rsid w:val="2EB41A36"/>
    <w:rsid w:val="2EB51363"/>
    <w:rsid w:val="2EBA2DC8"/>
    <w:rsid w:val="2EBF6F8E"/>
    <w:rsid w:val="2EC04FA7"/>
    <w:rsid w:val="2EC43647"/>
    <w:rsid w:val="2EC503D7"/>
    <w:rsid w:val="2EC53187"/>
    <w:rsid w:val="2EC659DB"/>
    <w:rsid w:val="2ECA1D33"/>
    <w:rsid w:val="2ED9380B"/>
    <w:rsid w:val="2EDE1246"/>
    <w:rsid w:val="2EDE4E3B"/>
    <w:rsid w:val="2EE16C53"/>
    <w:rsid w:val="2EE959F0"/>
    <w:rsid w:val="2EF125D9"/>
    <w:rsid w:val="2EF3025E"/>
    <w:rsid w:val="2EFE6B2E"/>
    <w:rsid w:val="2F037674"/>
    <w:rsid w:val="2F0409BC"/>
    <w:rsid w:val="2F04358E"/>
    <w:rsid w:val="2F061A56"/>
    <w:rsid w:val="2F130783"/>
    <w:rsid w:val="2F176141"/>
    <w:rsid w:val="2F203DB1"/>
    <w:rsid w:val="2F28792B"/>
    <w:rsid w:val="2F3135D9"/>
    <w:rsid w:val="2F3445FD"/>
    <w:rsid w:val="2F385A4B"/>
    <w:rsid w:val="2F3B259D"/>
    <w:rsid w:val="2F4A276C"/>
    <w:rsid w:val="2F542EF1"/>
    <w:rsid w:val="2F5549B5"/>
    <w:rsid w:val="2F5876BD"/>
    <w:rsid w:val="2F5A7DDB"/>
    <w:rsid w:val="2F694868"/>
    <w:rsid w:val="2F6C5055"/>
    <w:rsid w:val="2F6C7BC8"/>
    <w:rsid w:val="2F783251"/>
    <w:rsid w:val="2F7A583D"/>
    <w:rsid w:val="2F7D01D0"/>
    <w:rsid w:val="2F877C1C"/>
    <w:rsid w:val="2F8C4586"/>
    <w:rsid w:val="2F8E09EC"/>
    <w:rsid w:val="2F947916"/>
    <w:rsid w:val="2F971A88"/>
    <w:rsid w:val="2F9B67AD"/>
    <w:rsid w:val="2F9E2232"/>
    <w:rsid w:val="2FA55609"/>
    <w:rsid w:val="2FA558E8"/>
    <w:rsid w:val="2FA902FC"/>
    <w:rsid w:val="2FAC1E3E"/>
    <w:rsid w:val="2FAC4ADB"/>
    <w:rsid w:val="2FB52523"/>
    <w:rsid w:val="2FB61DE0"/>
    <w:rsid w:val="2FB655BB"/>
    <w:rsid w:val="2FBA7FA8"/>
    <w:rsid w:val="2FC064A7"/>
    <w:rsid w:val="2FC565A0"/>
    <w:rsid w:val="2FCA45AD"/>
    <w:rsid w:val="2FCB7589"/>
    <w:rsid w:val="2FCF19E7"/>
    <w:rsid w:val="2FDA2872"/>
    <w:rsid w:val="2FDA5387"/>
    <w:rsid w:val="2FDF498B"/>
    <w:rsid w:val="2FDF6A5B"/>
    <w:rsid w:val="2FE14BF2"/>
    <w:rsid w:val="2FE204FD"/>
    <w:rsid w:val="2FE57685"/>
    <w:rsid w:val="2FEA115F"/>
    <w:rsid w:val="2FEA141F"/>
    <w:rsid w:val="2FEB3082"/>
    <w:rsid w:val="2FED4468"/>
    <w:rsid w:val="2FEE76C7"/>
    <w:rsid w:val="30015886"/>
    <w:rsid w:val="300344B8"/>
    <w:rsid w:val="30095825"/>
    <w:rsid w:val="30153C50"/>
    <w:rsid w:val="301B2226"/>
    <w:rsid w:val="301F630C"/>
    <w:rsid w:val="302428C3"/>
    <w:rsid w:val="302C348D"/>
    <w:rsid w:val="302F514D"/>
    <w:rsid w:val="30365D6E"/>
    <w:rsid w:val="30372DBD"/>
    <w:rsid w:val="30401100"/>
    <w:rsid w:val="30446A90"/>
    <w:rsid w:val="30450784"/>
    <w:rsid w:val="3046209A"/>
    <w:rsid w:val="30493590"/>
    <w:rsid w:val="304D37C3"/>
    <w:rsid w:val="30556CEE"/>
    <w:rsid w:val="305612E3"/>
    <w:rsid w:val="30580313"/>
    <w:rsid w:val="305B3E0B"/>
    <w:rsid w:val="305C6582"/>
    <w:rsid w:val="306E1551"/>
    <w:rsid w:val="306F5022"/>
    <w:rsid w:val="30712AFC"/>
    <w:rsid w:val="307C0CB7"/>
    <w:rsid w:val="30800BAF"/>
    <w:rsid w:val="3086387A"/>
    <w:rsid w:val="30887A78"/>
    <w:rsid w:val="308C0CC3"/>
    <w:rsid w:val="308F3269"/>
    <w:rsid w:val="30976399"/>
    <w:rsid w:val="30977539"/>
    <w:rsid w:val="30987BC4"/>
    <w:rsid w:val="309D6128"/>
    <w:rsid w:val="30A9133E"/>
    <w:rsid w:val="30AD404F"/>
    <w:rsid w:val="30B005FB"/>
    <w:rsid w:val="30B90A61"/>
    <w:rsid w:val="30BD44B4"/>
    <w:rsid w:val="30C220DC"/>
    <w:rsid w:val="30C37A98"/>
    <w:rsid w:val="30C5649A"/>
    <w:rsid w:val="30CA7FD3"/>
    <w:rsid w:val="30CF66EF"/>
    <w:rsid w:val="30DD18A9"/>
    <w:rsid w:val="30DF4782"/>
    <w:rsid w:val="30E33A7C"/>
    <w:rsid w:val="30EA4026"/>
    <w:rsid w:val="30EB2DBA"/>
    <w:rsid w:val="30EC51B8"/>
    <w:rsid w:val="30FC76D2"/>
    <w:rsid w:val="311553CB"/>
    <w:rsid w:val="311B49FF"/>
    <w:rsid w:val="311D575A"/>
    <w:rsid w:val="311F5392"/>
    <w:rsid w:val="31214900"/>
    <w:rsid w:val="31223F6C"/>
    <w:rsid w:val="312600D7"/>
    <w:rsid w:val="312856F9"/>
    <w:rsid w:val="312873FD"/>
    <w:rsid w:val="312B061D"/>
    <w:rsid w:val="3144269D"/>
    <w:rsid w:val="314678FF"/>
    <w:rsid w:val="31481129"/>
    <w:rsid w:val="314D5E4A"/>
    <w:rsid w:val="315676D9"/>
    <w:rsid w:val="315D7A19"/>
    <w:rsid w:val="31673DD6"/>
    <w:rsid w:val="316F3D2C"/>
    <w:rsid w:val="3171715C"/>
    <w:rsid w:val="31741E1B"/>
    <w:rsid w:val="3188020F"/>
    <w:rsid w:val="318C5CE1"/>
    <w:rsid w:val="318D184D"/>
    <w:rsid w:val="318D7092"/>
    <w:rsid w:val="319607EF"/>
    <w:rsid w:val="319B575E"/>
    <w:rsid w:val="31AC60D0"/>
    <w:rsid w:val="31AF1041"/>
    <w:rsid w:val="31B02099"/>
    <w:rsid w:val="31C64474"/>
    <w:rsid w:val="31CA00E3"/>
    <w:rsid w:val="31CE4742"/>
    <w:rsid w:val="31CF0A44"/>
    <w:rsid w:val="31D45D6B"/>
    <w:rsid w:val="31D5760D"/>
    <w:rsid w:val="31DF4126"/>
    <w:rsid w:val="31E1191A"/>
    <w:rsid w:val="31E63BA8"/>
    <w:rsid w:val="31EA5FAE"/>
    <w:rsid w:val="31ED0303"/>
    <w:rsid w:val="31EF2764"/>
    <w:rsid w:val="31F664E1"/>
    <w:rsid w:val="31F80397"/>
    <w:rsid w:val="32044BCD"/>
    <w:rsid w:val="32112144"/>
    <w:rsid w:val="321931B2"/>
    <w:rsid w:val="321B5A22"/>
    <w:rsid w:val="3220225F"/>
    <w:rsid w:val="32205605"/>
    <w:rsid w:val="3223620A"/>
    <w:rsid w:val="32282B65"/>
    <w:rsid w:val="322D4A0A"/>
    <w:rsid w:val="322E1BE1"/>
    <w:rsid w:val="323112C7"/>
    <w:rsid w:val="323A4202"/>
    <w:rsid w:val="323D7998"/>
    <w:rsid w:val="323E39E4"/>
    <w:rsid w:val="32427CD7"/>
    <w:rsid w:val="32490D03"/>
    <w:rsid w:val="324A7C32"/>
    <w:rsid w:val="324C37E3"/>
    <w:rsid w:val="324E632C"/>
    <w:rsid w:val="324F326A"/>
    <w:rsid w:val="32521FE7"/>
    <w:rsid w:val="3256252E"/>
    <w:rsid w:val="3259126C"/>
    <w:rsid w:val="32597FC8"/>
    <w:rsid w:val="326655AE"/>
    <w:rsid w:val="327513DF"/>
    <w:rsid w:val="327B39FD"/>
    <w:rsid w:val="32851613"/>
    <w:rsid w:val="32861AB2"/>
    <w:rsid w:val="328E16AE"/>
    <w:rsid w:val="328F3C13"/>
    <w:rsid w:val="3296737C"/>
    <w:rsid w:val="329C2367"/>
    <w:rsid w:val="329D0BD3"/>
    <w:rsid w:val="329E0CF6"/>
    <w:rsid w:val="329F0E39"/>
    <w:rsid w:val="32A47CEB"/>
    <w:rsid w:val="32A62835"/>
    <w:rsid w:val="32B13551"/>
    <w:rsid w:val="32B705FF"/>
    <w:rsid w:val="32CA4CF4"/>
    <w:rsid w:val="32CD15AA"/>
    <w:rsid w:val="32D1777A"/>
    <w:rsid w:val="32D207E6"/>
    <w:rsid w:val="32D3237F"/>
    <w:rsid w:val="32D83CA4"/>
    <w:rsid w:val="32DB1296"/>
    <w:rsid w:val="32DB12B4"/>
    <w:rsid w:val="32E30949"/>
    <w:rsid w:val="32E36677"/>
    <w:rsid w:val="32E87C4B"/>
    <w:rsid w:val="32F10FE0"/>
    <w:rsid w:val="32F43038"/>
    <w:rsid w:val="32F47A4B"/>
    <w:rsid w:val="32F57765"/>
    <w:rsid w:val="330A3DB0"/>
    <w:rsid w:val="330F6322"/>
    <w:rsid w:val="331050D2"/>
    <w:rsid w:val="331137DA"/>
    <w:rsid w:val="331702C3"/>
    <w:rsid w:val="33176159"/>
    <w:rsid w:val="331A5D75"/>
    <w:rsid w:val="331F55C4"/>
    <w:rsid w:val="331F7372"/>
    <w:rsid w:val="332820FE"/>
    <w:rsid w:val="332F6462"/>
    <w:rsid w:val="33354C00"/>
    <w:rsid w:val="33383727"/>
    <w:rsid w:val="333F661E"/>
    <w:rsid w:val="33484716"/>
    <w:rsid w:val="3350645E"/>
    <w:rsid w:val="33511153"/>
    <w:rsid w:val="33603461"/>
    <w:rsid w:val="336307AC"/>
    <w:rsid w:val="336B24A4"/>
    <w:rsid w:val="336B25B7"/>
    <w:rsid w:val="33776630"/>
    <w:rsid w:val="337A15EB"/>
    <w:rsid w:val="337A253B"/>
    <w:rsid w:val="337D782B"/>
    <w:rsid w:val="338030AD"/>
    <w:rsid w:val="33824AB9"/>
    <w:rsid w:val="33842533"/>
    <w:rsid w:val="33853FEE"/>
    <w:rsid w:val="33894F05"/>
    <w:rsid w:val="339929E7"/>
    <w:rsid w:val="33A87367"/>
    <w:rsid w:val="33AB6E58"/>
    <w:rsid w:val="33B124DD"/>
    <w:rsid w:val="33DF6530"/>
    <w:rsid w:val="33E17CDC"/>
    <w:rsid w:val="33EB3991"/>
    <w:rsid w:val="33EC5CB1"/>
    <w:rsid w:val="33EF354F"/>
    <w:rsid w:val="33EF4F96"/>
    <w:rsid w:val="33F445F0"/>
    <w:rsid w:val="33F72506"/>
    <w:rsid w:val="33F85909"/>
    <w:rsid w:val="33F87D68"/>
    <w:rsid w:val="33F97BC3"/>
    <w:rsid w:val="3406440D"/>
    <w:rsid w:val="34086058"/>
    <w:rsid w:val="340B5413"/>
    <w:rsid w:val="34110C1F"/>
    <w:rsid w:val="34143EE2"/>
    <w:rsid w:val="34183467"/>
    <w:rsid w:val="341B32EA"/>
    <w:rsid w:val="341B5DFC"/>
    <w:rsid w:val="341D5FA7"/>
    <w:rsid w:val="34210C38"/>
    <w:rsid w:val="342525E0"/>
    <w:rsid w:val="34273681"/>
    <w:rsid w:val="343707B5"/>
    <w:rsid w:val="34400F81"/>
    <w:rsid w:val="34421ED7"/>
    <w:rsid w:val="344C063B"/>
    <w:rsid w:val="344D5F4C"/>
    <w:rsid w:val="34536D24"/>
    <w:rsid w:val="34557CA7"/>
    <w:rsid w:val="34566510"/>
    <w:rsid w:val="34575E82"/>
    <w:rsid w:val="345B4703"/>
    <w:rsid w:val="346E4389"/>
    <w:rsid w:val="346E66F2"/>
    <w:rsid w:val="34723EE3"/>
    <w:rsid w:val="347B789E"/>
    <w:rsid w:val="347E5B46"/>
    <w:rsid w:val="347F2552"/>
    <w:rsid w:val="348879B3"/>
    <w:rsid w:val="348D2FED"/>
    <w:rsid w:val="349414FC"/>
    <w:rsid w:val="349D0E96"/>
    <w:rsid w:val="34AC732B"/>
    <w:rsid w:val="34AD45BB"/>
    <w:rsid w:val="34AE542D"/>
    <w:rsid w:val="34B44240"/>
    <w:rsid w:val="34BB4D9A"/>
    <w:rsid w:val="34BB7203"/>
    <w:rsid w:val="34BF705E"/>
    <w:rsid w:val="34C11BB2"/>
    <w:rsid w:val="34C130AB"/>
    <w:rsid w:val="34C40125"/>
    <w:rsid w:val="34CF1B35"/>
    <w:rsid w:val="34D63317"/>
    <w:rsid w:val="34D704E9"/>
    <w:rsid w:val="34D821B1"/>
    <w:rsid w:val="34DF7649"/>
    <w:rsid w:val="34E00AF8"/>
    <w:rsid w:val="34E50A53"/>
    <w:rsid w:val="34E56574"/>
    <w:rsid w:val="34F57401"/>
    <w:rsid w:val="350534F0"/>
    <w:rsid w:val="350F1FBE"/>
    <w:rsid w:val="3515164C"/>
    <w:rsid w:val="351B1C5A"/>
    <w:rsid w:val="352B3139"/>
    <w:rsid w:val="352E2FCE"/>
    <w:rsid w:val="35391794"/>
    <w:rsid w:val="353D7F83"/>
    <w:rsid w:val="353E7880"/>
    <w:rsid w:val="353F4879"/>
    <w:rsid w:val="35440A74"/>
    <w:rsid w:val="35442CD3"/>
    <w:rsid w:val="354D7E4F"/>
    <w:rsid w:val="35545A54"/>
    <w:rsid w:val="35546F00"/>
    <w:rsid w:val="35554788"/>
    <w:rsid w:val="3558448F"/>
    <w:rsid w:val="35584DBD"/>
    <w:rsid w:val="355A0DD0"/>
    <w:rsid w:val="355A541B"/>
    <w:rsid w:val="35635521"/>
    <w:rsid w:val="35643C0A"/>
    <w:rsid w:val="35655FAD"/>
    <w:rsid w:val="3569225E"/>
    <w:rsid w:val="357A4D33"/>
    <w:rsid w:val="357E7296"/>
    <w:rsid w:val="35811AA1"/>
    <w:rsid w:val="35832318"/>
    <w:rsid w:val="35852EC5"/>
    <w:rsid w:val="359D5606"/>
    <w:rsid w:val="359F3258"/>
    <w:rsid w:val="35AD104C"/>
    <w:rsid w:val="35AF503E"/>
    <w:rsid w:val="35B211AD"/>
    <w:rsid w:val="35BF6688"/>
    <w:rsid w:val="35C02F03"/>
    <w:rsid w:val="35C10BB4"/>
    <w:rsid w:val="35DB380A"/>
    <w:rsid w:val="35DF6856"/>
    <w:rsid w:val="35E91DBE"/>
    <w:rsid w:val="35EE38F0"/>
    <w:rsid w:val="35EE3A97"/>
    <w:rsid w:val="35F24C5C"/>
    <w:rsid w:val="35F60F41"/>
    <w:rsid w:val="35FF348B"/>
    <w:rsid w:val="36065D0D"/>
    <w:rsid w:val="36077AED"/>
    <w:rsid w:val="3611372A"/>
    <w:rsid w:val="36162BD0"/>
    <w:rsid w:val="361947AD"/>
    <w:rsid w:val="361F07A0"/>
    <w:rsid w:val="362C0E64"/>
    <w:rsid w:val="362D3010"/>
    <w:rsid w:val="362E110F"/>
    <w:rsid w:val="36394036"/>
    <w:rsid w:val="363C2273"/>
    <w:rsid w:val="363D2A3D"/>
    <w:rsid w:val="3640653B"/>
    <w:rsid w:val="36451E8A"/>
    <w:rsid w:val="36455341"/>
    <w:rsid w:val="364D7B49"/>
    <w:rsid w:val="364F7726"/>
    <w:rsid w:val="365731F1"/>
    <w:rsid w:val="365E4655"/>
    <w:rsid w:val="366154AF"/>
    <w:rsid w:val="366162FA"/>
    <w:rsid w:val="366178FC"/>
    <w:rsid w:val="36626C92"/>
    <w:rsid w:val="3665745A"/>
    <w:rsid w:val="366A4D4E"/>
    <w:rsid w:val="366B3B67"/>
    <w:rsid w:val="367070EE"/>
    <w:rsid w:val="36730CF0"/>
    <w:rsid w:val="367B74AA"/>
    <w:rsid w:val="367E36AB"/>
    <w:rsid w:val="3680166C"/>
    <w:rsid w:val="3680545E"/>
    <w:rsid w:val="36972A17"/>
    <w:rsid w:val="369C3F12"/>
    <w:rsid w:val="369D1A4B"/>
    <w:rsid w:val="36A54B31"/>
    <w:rsid w:val="36A5688E"/>
    <w:rsid w:val="36AA24AC"/>
    <w:rsid w:val="36AA2D8F"/>
    <w:rsid w:val="36AC3612"/>
    <w:rsid w:val="36AD19E0"/>
    <w:rsid w:val="36BA5521"/>
    <w:rsid w:val="36BA58B8"/>
    <w:rsid w:val="36BE3490"/>
    <w:rsid w:val="36C02C1A"/>
    <w:rsid w:val="36CE565E"/>
    <w:rsid w:val="36D67686"/>
    <w:rsid w:val="36D809DA"/>
    <w:rsid w:val="36DC2292"/>
    <w:rsid w:val="36E80DB1"/>
    <w:rsid w:val="36EA44B3"/>
    <w:rsid w:val="36EB1F06"/>
    <w:rsid w:val="36EE57E5"/>
    <w:rsid w:val="36EF2939"/>
    <w:rsid w:val="36EF650C"/>
    <w:rsid w:val="36F16746"/>
    <w:rsid w:val="36F30DF9"/>
    <w:rsid w:val="36FC1E63"/>
    <w:rsid w:val="37036542"/>
    <w:rsid w:val="37117919"/>
    <w:rsid w:val="37126A76"/>
    <w:rsid w:val="37157C21"/>
    <w:rsid w:val="37205DF5"/>
    <w:rsid w:val="37210D5F"/>
    <w:rsid w:val="37235C54"/>
    <w:rsid w:val="372A2368"/>
    <w:rsid w:val="37314121"/>
    <w:rsid w:val="37332B5D"/>
    <w:rsid w:val="37337890"/>
    <w:rsid w:val="373A37FB"/>
    <w:rsid w:val="374843E2"/>
    <w:rsid w:val="37500F26"/>
    <w:rsid w:val="37550EB3"/>
    <w:rsid w:val="375F5227"/>
    <w:rsid w:val="376778A8"/>
    <w:rsid w:val="376C04A1"/>
    <w:rsid w:val="37785499"/>
    <w:rsid w:val="377E3540"/>
    <w:rsid w:val="378420D9"/>
    <w:rsid w:val="378718E5"/>
    <w:rsid w:val="378B7890"/>
    <w:rsid w:val="37932CF8"/>
    <w:rsid w:val="37972D5A"/>
    <w:rsid w:val="37990D63"/>
    <w:rsid w:val="379C6A73"/>
    <w:rsid w:val="379D2F5B"/>
    <w:rsid w:val="37A109FA"/>
    <w:rsid w:val="37A261BB"/>
    <w:rsid w:val="37A42E6D"/>
    <w:rsid w:val="37A50E9C"/>
    <w:rsid w:val="37A91A33"/>
    <w:rsid w:val="37AA136D"/>
    <w:rsid w:val="37AC45F5"/>
    <w:rsid w:val="37AC48DF"/>
    <w:rsid w:val="37AC5111"/>
    <w:rsid w:val="37B00475"/>
    <w:rsid w:val="37B523EE"/>
    <w:rsid w:val="37B56462"/>
    <w:rsid w:val="37B637AA"/>
    <w:rsid w:val="37BB6C62"/>
    <w:rsid w:val="37BD53AB"/>
    <w:rsid w:val="37BF2ED1"/>
    <w:rsid w:val="37CA6B2B"/>
    <w:rsid w:val="37D63596"/>
    <w:rsid w:val="37DF2BE6"/>
    <w:rsid w:val="37DF54D9"/>
    <w:rsid w:val="37E80A06"/>
    <w:rsid w:val="37EB2F9D"/>
    <w:rsid w:val="37F64533"/>
    <w:rsid w:val="37F90122"/>
    <w:rsid w:val="37FD69E2"/>
    <w:rsid w:val="38104E1E"/>
    <w:rsid w:val="381301E6"/>
    <w:rsid w:val="38140507"/>
    <w:rsid w:val="3819488E"/>
    <w:rsid w:val="3820401F"/>
    <w:rsid w:val="383036BD"/>
    <w:rsid w:val="383722BD"/>
    <w:rsid w:val="38423FAD"/>
    <w:rsid w:val="3847606F"/>
    <w:rsid w:val="384A0518"/>
    <w:rsid w:val="384D6ECD"/>
    <w:rsid w:val="385B53A8"/>
    <w:rsid w:val="386F18F2"/>
    <w:rsid w:val="387A6545"/>
    <w:rsid w:val="388571F9"/>
    <w:rsid w:val="388B1940"/>
    <w:rsid w:val="388C1AC3"/>
    <w:rsid w:val="38901E8A"/>
    <w:rsid w:val="389813FD"/>
    <w:rsid w:val="38996991"/>
    <w:rsid w:val="38B05757"/>
    <w:rsid w:val="38C14AA6"/>
    <w:rsid w:val="38C32BD7"/>
    <w:rsid w:val="38CF35E8"/>
    <w:rsid w:val="38CF612B"/>
    <w:rsid w:val="38D52365"/>
    <w:rsid w:val="38D86699"/>
    <w:rsid w:val="38DC1314"/>
    <w:rsid w:val="38DC6540"/>
    <w:rsid w:val="38DD3618"/>
    <w:rsid w:val="38E34D8C"/>
    <w:rsid w:val="38E53B55"/>
    <w:rsid w:val="38E74B9E"/>
    <w:rsid w:val="38E75563"/>
    <w:rsid w:val="38ED31C1"/>
    <w:rsid w:val="38F22625"/>
    <w:rsid w:val="39010ADB"/>
    <w:rsid w:val="39082F52"/>
    <w:rsid w:val="3909370E"/>
    <w:rsid w:val="39111E53"/>
    <w:rsid w:val="391A4597"/>
    <w:rsid w:val="391B0C98"/>
    <w:rsid w:val="391D07F7"/>
    <w:rsid w:val="39272E55"/>
    <w:rsid w:val="39292CF8"/>
    <w:rsid w:val="392A27AB"/>
    <w:rsid w:val="392B375B"/>
    <w:rsid w:val="392C1E5E"/>
    <w:rsid w:val="3936095B"/>
    <w:rsid w:val="393940F7"/>
    <w:rsid w:val="393A0792"/>
    <w:rsid w:val="394238BD"/>
    <w:rsid w:val="39470F0D"/>
    <w:rsid w:val="3948467A"/>
    <w:rsid w:val="394A09A9"/>
    <w:rsid w:val="394C104B"/>
    <w:rsid w:val="39556034"/>
    <w:rsid w:val="39631BD9"/>
    <w:rsid w:val="396401D4"/>
    <w:rsid w:val="3966788B"/>
    <w:rsid w:val="396B4B9F"/>
    <w:rsid w:val="396B771F"/>
    <w:rsid w:val="39742654"/>
    <w:rsid w:val="397A33D6"/>
    <w:rsid w:val="397B1E50"/>
    <w:rsid w:val="397C7C08"/>
    <w:rsid w:val="398B304A"/>
    <w:rsid w:val="398D1A52"/>
    <w:rsid w:val="39910BF1"/>
    <w:rsid w:val="39924030"/>
    <w:rsid w:val="39931F3B"/>
    <w:rsid w:val="39983E27"/>
    <w:rsid w:val="399E309B"/>
    <w:rsid w:val="399E6D53"/>
    <w:rsid w:val="39A5111A"/>
    <w:rsid w:val="39A8639B"/>
    <w:rsid w:val="39AA5F1B"/>
    <w:rsid w:val="39B05D85"/>
    <w:rsid w:val="39B11FE5"/>
    <w:rsid w:val="39C60CF9"/>
    <w:rsid w:val="39CE23D0"/>
    <w:rsid w:val="39D45D6B"/>
    <w:rsid w:val="39DB4897"/>
    <w:rsid w:val="39E01B54"/>
    <w:rsid w:val="39E07CC2"/>
    <w:rsid w:val="39E442BC"/>
    <w:rsid w:val="39E7599E"/>
    <w:rsid w:val="39E920EA"/>
    <w:rsid w:val="39EA2DE9"/>
    <w:rsid w:val="39F53FAB"/>
    <w:rsid w:val="39FF0BE3"/>
    <w:rsid w:val="39FF4664"/>
    <w:rsid w:val="39FF475D"/>
    <w:rsid w:val="3A033155"/>
    <w:rsid w:val="3A041753"/>
    <w:rsid w:val="3A197CB4"/>
    <w:rsid w:val="3A1F6DD0"/>
    <w:rsid w:val="3A2636DC"/>
    <w:rsid w:val="3A2D5EBD"/>
    <w:rsid w:val="3A347BA7"/>
    <w:rsid w:val="3A385DFA"/>
    <w:rsid w:val="3A3A6667"/>
    <w:rsid w:val="3A402F80"/>
    <w:rsid w:val="3A4818A4"/>
    <w:rsid w:val="3A496DD7"/>
    <w:rsid w:val="3A4B2127"/>
    <w:rsid w:val="3A4D49FA"/>
    <w:rsid w:val="3A507ABD"/>
    <w:rsid w:val="3A54010E"/>
    <w:rsid w:val="3A54026C"/>
    <w:rsid w:val="3A543E89"/>
    <w:rsid w:val="3A573895"/>
    <w:rsid w:val="3A626D22"/>
    <w:rsid w:val="3A65618E"/>
    <w:rsid w:val="3A6D4884"/>
    <w:rsid w:val="3A810BC6"/>
    <w:rsid w:val="3A855738"/>
    <w:rsid w:val="3A8B1791"/>
    <w:rsid w:val="3A95616C"/>
    <w:rsid w:val="3A9B19D4"/>
    <w:rsid w:val="3A9B4CC3"/>
    <w:rsid w:val="3A9C6B78"/>
    <w:rsid w:val="3AA57051"/>
    <w:rsid w:val="3AA570BD"/>
    <w:rsid w:val="3AA750CE"/>
    <w:rsid w:val="3AA82701"/>
    <w:rsid w:val="3AA96802"/>
    <w:rsid w:val="3AAC6CBB"/>
    <w:rsid w:val="3AB16F31"/>
    <w:rsid w:val="3AB55DC3"/>
    <w:rsid w:val="3ABA02B7"/>
    <w:rsid w:val="3ABA0B8A"/>
    <w:rsid w:val="3ABF031F"/>
    <w:rsid w:val="3AC409F7"/>
    <w:rsid w:val="3ACC4283"/>
    <w:rsid w:val="3ACE5805"/>
    <w:rsid w:val="3AD2266F"/>
    <w:rsid w:val="3AD24486"/>
    <w:rsid w:val="3AD56E6C"/>
    <w:rsid w:val="3AE25855"/>
    <w:rsid w:val="3AE62845"/>
    <w:rsid w:val="3AEB7712"/>
    <w:rsid w:val="3AEE45CB"/>
    <w:rsid w:val="3AF17846"/>
    <w:rsid w:val="3AFD268F"/>
    <w:rsid w:val="3B002E82"/>
    <w:rsid w:val="3B091033"/>
    <w:rsid w:val="3B0D0E23"/>
    <w:rsid w:val="3B0D1DC8"/>
    <w:rsid w:val="3B125C96"/>
    <w:rsid w:val="3B171DD0"/>
    <w:rsid w:val="3B200365"/>
    <w:rsid w:val="3B2B6991"/>
    <w:rsid w:val="3B2D5FE2"/>
    <w:rsid w:val="3B2E668D"/>
    <w:rsid w:val="3B33745E"/>
    <w:rsid w:val="3B361AFA"/>
    <w:rsid w:val="3B386D75"/>
    <w:rsid w:val="3B3C089F"/>
    <w:rsid w:val="3B3C27FC"/>
    <w:rsid w:val="3B3E62A5"/>
    <w:rsid w:val="3B436BB1"/>
    <w:rsid w:val="3B437602"/>
    <w:rsid w:val="3B491430"/>
    <w:rsid w:val="3B4E4C98"/>
    <w:rsid w:val="3B4F5D6F"/>
    <w:rsid w:val="3B564918"/>
    <w:rsid w:val="3B580B67"/>
    <w:rsid w:val="3B5F2ACF"/>
    <w:rsid w:val="3B6145FB"/>
    <w:rsid w:val="3B6C236D"/>
    <w:rsid w:val="3B6F2596"/>
    <w:rsid w:val="3B740371"/>
    <w:rsid w:val="3B783A92"/>
    <w:rsid w:val="3B7A559F"/>
    <w:rsid w:val="3B871D3A"/>
    <w:rsid w:val="3B961C02"/>
    <w:rsid w:val="3BAD3FAA"/>
    <w:rsid w:val="3BB4130A"/>
    <w:rsid w:val="3BB767F0"/>
    <w:rsid w:val="3BBD561B"/>
    <w:rsid w:val="3BC54CDD"/>
    <w:rsid w:val="3BCC3E0F"/>
    <w:rsid w:val="3BD863BB"/>
    <w:rsid w:val="3BD8670C"/>
    <w:rsid w:val="3BDB2070"/>
    <w:rsid w:val="3BE2271B"/>
    <w:rsid w:val="3BE36E76"/>
    <w:rsid w:val="3BF03A8C"/>
    <w:rsid w:val="3BF621E9"/>
    <w:rsid w:val="3BF777D8"/>
    <w:rsid w:val="3BFB7854"/>
    <w:rsid w:val="3BFE3A97"/>
    <w:rsid w:val="3C0362C9"/>
    <w:rsid w:val="3C0C6B80"/>
    <w:rsid w:val="3C156189"/>
    <w:rsid w:val="3C2D6FA3"/>
    <w:rsid w:val="3C2F1041"/>
    <w:rsid w:val="3C300842"/>
    <w:rsid w:val="3C3814A4"/>
    <w:rsid w:val="3C3F5DDB"/>
    <w:rsid w:val="3C490AA3"/>
    <w:rsid w:val="3C4C631A"/>
    <w:rsid w:val="3C500343"/>
    <w:rsid w:val="3C501FC9"/>
    <w:rsid w:val="3C536A2E"/>
    <w:rsid w:val="3C58117D"/>
    <w:rsid w:val="3C590C5F"/>
    <w:rsid w:val="3C6172AE"/>
    <w:rsid w:val="3C672912"/>
    <w:rsid w:val="3C6B6D50"/>
    <w:rsid w:val="3C762022"/>
    <w:rsid w:val="3C766277"/>
    <w:rsid w:val="3C7F70D3"/>
    <w:rsid w:val="3C9001D9"/>
    <w:rsid w:val="3C911A6F"/>
    <w:rsid w:val="3C93302D"/>
    <w:rsid w:val="3C956C9A"/>
    <w:rsid w:val="3C970C89"/>
    <w:rsid w:val="3C9A5CBB"/>
    <w:rsid w:val="3C9D31B3"/>
    <w:rsid w:val="3CA20B1B"/>
    <w:rsid w:val="3CAC00D3"/>
    <w:rsid w:val="3CB017D5"/>
    <w:rsid w:val="3CB41E22"/>
    <w:rsid w:val="3CBA7E58"/>
    <w:rsid w:val="3CBD36B1"/>
    <w:rsid w:val="3CBE745A"/>
    <w:rsid w:val="3CC62061"/>
    <w:rsid w:val="3CC76334"/>
    <w:rsid w:val="3CCB5EA8"/>
    <w:rsid w:val="3CCE4BAB"/>
    <w:rsid w:val="3CD92C87"/>
    <w:rsid w:val="3CE369EA"/>
    <w:rsid w:val="3CE43022"/>
    <w:rsid w:val="3CE50A74"/>
    <w:rsid w:val="3CEE7FF8"/>
    <w:rsid w:val="3D027B07"/>
    <w:rsid w:val="3D030D01"/>
    <w:rsid w:val="3D0C04D6"/>
    <w:rsid w:val="3D1072B5"/>
    <w:rsid w:val="3D12687D"/>
    <w:rsid w:val="3D157C84"/>
    <w:rsid w:val="3D163FBC"/>
    <w:rsid w:val="3D1B6DFC"/>
    <w:rsid w:val="3D1D2B74"/>
    <w:rsid w:val="3D1F3ECC"/>
    <w:rsid w:val="3D28361F"/>
    <w:rsid w:val="3D2A636C"/>
    <w:rsid w:val="3D2C2DBF"/>
    <w:rsid w:val="3D2D18A1"/>
    <w:rsid w:val="3D2F3C14"/>
    <w:rsid w:val="3D34380A"/>
    <w:rsid w:val="3D395ECE"/>
    <w:rsid w:val="3D3A19A2"/>
    <w:rsid w:val="3D3B5D26"/>
    <w:rsid w:val="3D3D7699"/>
    <w:rsid w:val="3D47016A"/>
    <w:rsid w:val="3D470596"/>
    <w:rsid w:val="3D483612"/>
    <w:rsid w:val="3D4849B6"/>
    <w:rsid w:val="3D580CE6"/>
    <w:rsid w:val="3D5C080F"/>
    <w:rsid w:val="3D61016F"/>
    <w:rsid w:val="3D623C46"/>
    <w:rsid w:val="3D635302"/>
    <w:rsid w:val="3D69473A"/>
    <w:rsid w:val="3D6F37E0"/>
    <w:rsid w:val="3D7438B0"/>
    <w:rsid w:val="3D744703"/>
    <w:rsid w:val="3D7C0D5A"/>
    <w:rsid w:val="3D7D45D4"/>
    <w:rsid w:val="3D815B39"/>
    <w:rsid w:val="3D826E7B"/>
    <w:rsid w:val="3D9B7EB0"/>
    <w:rsid w:val="3D9F6E33"/>
    <w:rsid w:val="3DA155C9"/>
    <w:rsid w:val="3DA84E6E"/>
    <w:rsid w:val="3DAB63D2"/>
    <w:rsid w:val="3DB24705"/>
    <w:rsid w:val="3DB31F10"/>
    <w:rsid w:val="3DB80AEF"/>
    <w:rsid w:val="3DBE1B2B"/>
    <w:rsid w:val="3DC3273B"/>
    <w:rsid w:val="3DC3546A"/>
    <w:rsid w:val="3DC56D68"/>
    <w:rsid w:val="3DCB5B63"/>
    <w:rsid w:val="3DD7387F"/>
    <w:rsid w:val="3DDB47E4"/>
    <w:rsid w:val="3DDC134C"/>
    <w:rsid w:val="3DDC5841"/>
    <w:rsid w:val="3DDD758B"/>
    <w:rsid w:val="3DE431A5"/>
    <w:rsid w:val="3DE90CA8"/>
    <w:rsid w:val="3DEE1054"/>
    <w:rsid w:val="3DF43966"/>
    <w:rsid w:val="3DFB09D1"/>
    <w:rsid w:val="3DFF5BE5"/>
    <w:rsid w:val="3E000792"/>
    <w:rsid w:val="3E004291"/>
    <w:rsid w:val="3E0B0037"/>
    <w:rsid w:val="3E0C3228"/>
    <w:rsid w:val="3E1A5199"/>
    <w:rsid w:val="3E1B47EF"/>
    <w:rsid w:val="3E1D427C"/>
    <w:rsid w:val="3E1F66BC"/>
    <w:rsid w:val="3E296F5B"/>
    <w:rsid w:val="3E2C6DE7"/>
    <w:rsid w:val="3E356C51"/>
    <w:rsid w:val="3E396C81"/>
    <w:rsid w:val="3E3A3501"/>
    <w:rsid w:val="3E3A75CA"/>
    <w:rsid w:val="3E412892"/>
    <w:rsid w:val="3E457D2A"/>
    <w:rsid w:val="3E480791"/>
    <w:rsid w:val="3E481E73"/>
    <w:rsid w:val="3E502AD5"/>
    <w:rsid w:val="3E506F79"/>
    <w:rsid w:val="3E540184"/>
    <w:rsid w:val="3E56461E"/>
    <w:rsid w:val="3E5A555B"/>
    <w:rsid w:val="3E630388"/>
    <w:rsid w:val="3E6851B3"/>
    <w:rsid w:val="3E6A6DA2"/>
    <w:rsid w:val="3E810CFF"/>
    <w:rsid w:val="3E817133"/>
    <w:rsid w:val="3E851072"/>
    <w:rsid w:val="3E85512B"/>
    <w:rsid w:val="3E8C3CBB"/>
    <w:rsid w:val="3E8E691C"/>
    <w:rsid w:val="3E8F6A08"/>
    <w:rsid w:val="3E913C15"/>
    <w:rsid w:val="3E943704"/>
    <w:rsid w:val="3E9465CC"/>
    <w:rsid w:val="3E9560B7"/>
    <w:rsid w:val="3E9716EF"/>
    <w:rsid w:val="3E9E4863"/>
    <w:rsid w:val="3EA13891"/>
    <w:rsid w:val="3EAA48DB"/>
    <w:rsid w:val="3EAA7931"/>
    <w:rsid w:val="3EBB0D66"/>
    <w:rsid w:val="3EBC620C"/>
    <w:rsid w:val="3EC038C7"/>
    <w:rsid w:val="3EC05B5F"/>
    <w:rsid w:val="3EC07DD2"/>
    <w:rsid w:val="3EC139D3"/>
    <w:rsid w:val="3EC71643"/>
    <w:rsid w:val="3ECE2070"/>
    <w:rsid w:val="3ED17423"/>
    <w:rsid w:val="3ED6747E"/>
    <w:rsid w:val="3ED71449"/>
    <w:rsid w:val="3EEA2BD5"/>
    <w:rsid w:val="3EF9316D"/>
    <w:rsid w:val="3EFA7D2B"/>
    <w:rsid w:val="3F0F4CB5"/>
    <w:rsid w:val="3F1609BD"/>
    <w:rsid w:val="3F1B7587"/>
    <w:rsid w:val="3F1D78D6"/>
    <w:rsid w:val="3F2C1C26"/>
    <w:rsid w:val="3F376CF0"/>
    <w:rsid w:val="3F39027C"/>
    <w:rsid w:val="3F3D2D64"/>
    <w:rsid w:val="3F464454"/>
    <w:rsid w:val="3F4914DE"/>
    <w:rsid w:val="3F520ACF"/>
    <w:rsid w:val="3F5564F0"/>
    <w:rsid w:val="3F6A7BC7"/>
    <w:rsid w:val="3F7040BA"/>
    <w:rsid w:val="3F725AA7"/>
    <w:rsid w:val="3F726A53"/>
    <w:rsid w:val="3F7448C2"/>
    <w:rsid w:val="3F76387F"/>
    <w:rsid w:val="3F7B0390"/>
    <w:rsid w:val="3F7B1E1D"/>
    <w:rsid w:val="3F887B42"/>
    <w:rsid w:val="3F8F5529"/>
    <w:rsid w:val="3F95733A"/>
    <w:rsid w:val="3F9B6D5D"/>
    <w:rsid w:val="3F9C7841"/>
    <w:rsid w:val="3F9E5120"/>
    <w:rsid w:val="3FA72E59"/>
    <w:rsid w:val="3FA73DCB"/>
    <w:rsid w:val="3FA9101B"/>
    <w:rsid w:val="3FAC0B6B"/>
    <w:rsid w:val="3FB72016"/>
    <w:rsid w:val="3FC222A0"/>
    <w:rsid w:val="3FCB3A44"/>
    <w:rsid w:val="3FCC5C98"/>
    <w:rsid w:val="3FD2028A"/>
    <w:rsid w:val="3FD61F57"/>
    <w:rsid w:val="3FDD65EB"/>
    <w:rsid w:val="3FE6712E"/>
    <w:rsid w:val="3FFA4E38"/>
    <w:rsid w:val="3FFA7F71"/>
    <w:rsid w:val="3FFB69CA"/>
    <w:rsid w:val="4009739C"/>
    <w:rsid w:val="400B13AA"/>
    <w:rsid w:val="40113732"/>
    <w:rsid w:val="40174D0B"/>
    <w:rsid w:val="402840BD"/>
    <w:rsid w:val="4029359A"/>
    <w:rsid w:val="402B30A5"/>
    <w:rsid w:val="402E6092"/>
    <w:rsid w:val="40355301"/>
    <w:rsid w:val="40375DFD"/>
    <w:rsid w:val="4038621B"/>
    <w:rsid w:val="4038717F"/>
    <w:rsid w:val="403B3239"/>
    <w:rsid w:val="40413115"/>
    <w:rsid w:val="40477F21"/>
    <w:rsid w:val="404843AC"/>
    <w:rsid w:val="404C2041"/>
    <w:rsid w:val="404F6FD5"/>
    <w:rsid w:val="404F7765"/>
    <w:rsid w:val="405030B3"/>
    <w:rsid w:val="40512280"/>
    <w:rsid w:val="4054078A"/>
    <w:rsid w:val="405609E0"/>
    <w:rsid w:val="40582BCA"/>
    <w:rsid w:val="40610FCA"/>
    <w:rsid w:val="40637705"/>
    <w:rsid w:val="40671DAB"/>
    <w:rsid w:val="406960D0"/>
    <w:rsid w:val="407179C3"/>
    <w:rsid w:val="40750522"/>
    <w:rsid w:val="40767EE4"/>
    <w:rsid w:val="40794DA0"/>
    <w:rsid w:val="40801DC5"/>
    <w:rsid w:val="408A2243"/>
    <w:rsid w:val="408A343A"/>
    <w:rsid w:val="409230AB"/>
    <w:rsid w:val="4097797A"/>
    <w:rsid w:val="409C33B5"/>
    <w:rsid w:val="409C46F8"/>
    <w:rsid w:val="40A916A4"/>
    <w:rsid w:val="40B21825"/>
    <w:rsid w:val="40BE7B61"/>
    <w:rsid w:val="40C60F44"/>
    <w:rsid w:val="40CE7BA3"/>
    <w:rsid w:val="40E72518"/>
    <w:rsid w:val="40EC6629"/>
    <w:rsid w:val="40EE7647"/>
    <w:rsid w:val="40EF42E4"/>
    <w:rsid w:val="40F619D5"/>
    <w:rsid w:val="40F6695C"/>
    <w:rsid w:val="40FE41DF"/>
    <w:rsid w:val="41004C7D"/>
    <w:rsid w:val="410066E2"/>
    <w:rsid w:val="4103174A"/>
    <w:rsid w:val="410B7187"/>
    <w:rsid w:val="410F6B0B"/>
    <w:rsid w:val="41111D82"/>
    <w:rsid w:val="41113C95"/>
    <w:rsid w:val="411958FB"/>
    <w:rsid w:val="411B1BB9"/>
    <w:rsid w:val="411B561D"/>
    <w:rsid w:val="411E5105"/>
    <w:rsid w:val="41225C43"/>
    <w:rsid w:val="412315AD"/>
    <w:rsid w:val="41265D6F"/>
    <w:rsid w:val="412D3BA9"/>
    <w:rsid w:val="41391282"/>
    <w:rsid w:val="413C344D"/>
    <w:rsid w:val="414240A8"/>
    <w:rsid w:val="4146274D"/>
    <w:rsid w:val="41495231"/>
    <w:rsid w:val="414D4579"/>
    <w:rsid w:val="414E0FDF"/>
    <w:rsid w:val="414E17CA"/>
    <w:rsid w:val="415727F6"/>
    <w:rsid w:val="415974B0"/>
    <w:rsid w:val="415C3F32"/>
    <w:rsid w:val="415D2877"/>
    <w:rsid w:val="415F77A2"/>
    <w:rsid w:val="41625D0B"/>
    <w:rsid w:val="41681225"/>
    <w:rsid w:val="41682300"/>
    <w:rsid w:val="41684FED"/>
    <w:rsid w:val="416858E8"/>
    <w:rsid w:val="417644EE"/>
    <w:rsid w:val="41891AD2"/>
    <w:rsid w:val="418B5357"/>
    <w:rsid w:val="418B792E"/>
    <w:rsid w:val="418F3FF2"/>
    <w:rsid w:val="41913D0F"/>
    <w:rsid w:val="41967399"/>
    <w:rsid w:val="41A17C39"/>
    <w:rsid w:val="41A35612"/>
    <w:rsid w:val="41B63873"/>
    <w:rsid w:val="41BA0790"/>
    <w:rsid w:val="41C27FBF"/>
    <w:rsid w:val="41C55462"/>
    <w:rsid w:val="41C7542D"/>
    <w:rsid w:val="41CD41F7"/>
    <w:rsid w:val="41D01C4B"/>
    <w:rsid w:val="41D2138B"/>
    <w:rsid w:val="41D507D8"/>
    <w:rsid w:val="41DC3ACA"/>
    <w:rsid w:val="41E10CC2"/>
    <w:rsid w:val="41EE0FEB"/>
    <w:rsid w:val="41F0060C"/>
    <w:rsid w:val="41F07146"/>
    <w:rsid w:val="41FA3DFA"/>
    <w:rsid w:val="41FB7F98"/>
    <w:rsid w:val="420231E2"/>
    <w:rsid w:val="42134546"/>
    <w:rsid w:val="42207DDF"/>
    <w:rsid w:val="4222797A"/>
    <w:rsid w:val="42240501"/>
    <w:rsid w:val="42244172"/>
    <w:rsid w:val="42252B2A"/>
    <w:rsid w:val="423D4951"/>
    <w:rsid w:val="424020CE"/>
    <w:rsid w:val="42587080"/>
    <w:rsid w:val="42607AC6"/>
    <w:rsid w:val="42640622"/>
    <w:rsid w:val="42676C72"/>
    <w:rsid w:val="426849CF"/>
    <w:rsid w:val="42690610"/>
    <w:rsid w:val="426D0F02"/>
    <w:rsid w:val="4270053B"/>
    <w:rsid w:val="427D54FB"/>
    <w:rsid w:val="427E1592"/>
    <w:rsid w:val="428619BA"/>
    <w:rsid w:val="4289586D"/>
    <w:rsid w:val="428A33B7"/>
    <w:rsid w:val="428E1E1E"/>
    <w:rsid w:val="4290203A"/>
    <w:rsid w:val="42936EB3"/>
    <w:rsid w:val="429C621F"/>
    <w:rsid w:val="42A87E2D"/>
    <w:rsid w:val="42B04C62"/>
    <w:rsid w:val="42B2563A"/>
    <w:rsid w:val="42B409D3"/>
    <w:rsid w:val="42C10446"/>
    <w:rsid w:val="42D37B16"/>
    <w:rsid w:val="42DC5BDB"/>
    <w:rsid w:val="42FA5706"/>
    <w:rsid w:val="42FD6CD5"/>
    <w:rsid w:val="42FF1539"/>
    <w:rsid w:val="43012F78"/>
    <w:rsid w:val="43082409"/>
    <w:rsid w:val="430A0A19"/>
    <w:rsid w:val="430B346F"/>
    <w:rsid w:val="430B6BDF"/>
    <w:rsid w:val="430F6ADD"/>
    <w:rsid w:val="43110D53"/>
    <w:rsid w:val="43146A4C"/>
    <w:rsid w:val="431F0A91"/>
    <w:rsid w:val="432106F9"/>
    <w:rsid w:val="43216E99"/>
    <w:rsid w:val="432266F3"/>
    <w:rsid w:val="43304B34"/>
    <w:rsid w:val="4335089C"/>
    <w:rsid w:val="434041E1"/>
    <w:rsid w:val="43411D6F"/>
    <w:rsid w:val="434A5A04"/>
    <w:rsid w:val="434F6FEC"/>
    <w:rsid w:val="43575D99"/>
    <w:rsid w:val="43587A37"/>
    <w:rsid w:val="43666C5B"/>
    <w:rsid w:val="4368266F"/>
    <w:rsid w:val="436C3988"/>
    <w:rsid w:val="43753C34"/>
    <w:rsid w:val="437A3BAA"/>
    <w:rsid w:val="437F1E98"/>
    <w:rsid w:val="4384401E"/>
    <w:rsid w:val="438F4031"/>
    <w:rsid w:val="439421B4"/>
    <w:rsid w:val="43972F54"/>
    <w:rsid w:val="43977067"/>
    <w:rsid w:val="439820B6"/>
    <w:rsid w:val="439A093C"/>
    <w:rsid w:val="439F6C27"/>
    <w:rsid w:val="43A03120"/>
    <w:rsid w:val="43A56FBE"/>
    <w:rsid w:val="43AA712C"/>
    <w:rsid w:val="43B4108A"/>
    <w:rsid w:val="43B43B06"/>
    <w:rsid w:val="43BC21AA"/>
    <w:rsid w:val="43BD0C0D"/>
    <w:rsid w:val="43BF51C4"/>
    <w:rsid w:val="43C36590"/>
    <w:rsid w:val="43C430D3"/>
    <w:rsid w:val="43C80C3D"/>
    <w:rsid w:val="43C93D99"/>
    <w:rsid w:val="43CB542E"/>
    <w:rsid w:val="43CE2749"/>
    <w:rsid w:val="43CF5479"/>
    <w:rsid w:val="43D6734D"/>
    <w:rsid w:val="43DF5D64"/>
    <w:rsid w:val="43E20674"/>
    <w:rsid w:val="43E36448"/>
    <w:rsid w:val="43E66E24"/>
    <w:rsid w:val="43E8042D"/>
    <w:rsid w:val="43ED6494"/>
    <w:rsid w:val="43F403A7"/>
    <w:rsid w:val="43F42155"/>
    <w:rsid w:val="43FD617D"/>
    <w:rsid w:val="440E34C8"/>
    <w:rsid w:val="44100662"/>
    <w:rsid w:val="44103433"/>
    <w:rsid w:val="44116F59"/>
    <w:rsid w:val="4415427A"/>
    <w:rsid w:val="441E3767"/>
    <w:rsid w:val="44202F4A"/>
    <w:rsid w:val="44223166"/>
    <w:rsid w:val="442531CE"/>
    <w:rsid w:val="442773DE"/>
    <w:rsid w:val="44282AEB"/>
    <w:rsid w:val="44283A33"/>
    <w:rsid w:val="44394B9A"/>
    <w:rsid w:val="443C44DA"/>
    <w:rsid w:val="443F5AC6"/>
    <w:rsid w:val="44417237"/>
    <w:rsid w:val="44444896"/>
    <w:rsid w:val="44450C02"/>
    <w:rsid w:val="44493829"/>
    <w:rsid w:val="44540580"/>
    <w:rsid w:val="4455434F"/>
    <w:rsid w:val="44560CA6"/>
    <w:rsid w:val="445B0426"/>
    <w:rsid w:val="445B236B"/>
    <w:rsid w:val="446146C2"/>
    <w:rsid w:val="4463144B"/>
    <w:rsid w:val="4466612A"/>
    <w:rsid w:val="446C53C6"/>
    <w:rsid w:val="4476137E"/>
    <w:rsid w:val="44796BFB"/>
    <w:rsid w:val="448127BC"/>
    <w:rsid w:val="448F1A3A"/>
    <w:rsid w:val="448F4487"/>
    <w:rsid w:val="44956885"/>
    <w:rsid w:val="449A104B"/>
    <w:rsid w:val="449B4749"/>
    <w:rsid w:val="44B06EF3"/>
    <w:rsid w:val="44B32BFD"/>
    <w:rsid w:val="44B42139"/>
    <w:rsid w:val="44B42BFF"/>
    <w:rsid w:val="44B542BF"/>
    <w:rsid w:val="44BF2808"/>
    <w:rsid w:val="44C22F68"/>
    <w:rsid w:val="44C4421D"/>
    <w:rsid w:val="44CF7D7F"/>
    <w:rsid w:val="44D64BD7"/>
    <w:rsid w:val="44E11521"/>
    <w:rsid w:val="44E55D05"/>
    <w:rsid w:val="44E76D34"/>
    <w:rsid w:val="44EF1455"/>
    <w:rsid w:val="44F0470D"/>
    <w:rsid w:val="44F45D2E"/>
    <w:rsid w:val="44F74DDC"/>
    <w:rsid w:val="44FD5AF3"/>
    <w:rsid w:val="44FE4D7E"/>
    <w:rsid w:val="4504103E"/>
    <w:rsid w:val="45074936"/>
    <w:rsid w:val="4508410A"/>
    <w:rsid w:val="450C68D6"/>
    <w:rsid w:val="450E6462"/>
    <w:rsid w:val="45103B25"/>
    <w:rsid w:val="451B0098"/>
    <w:rsid w:val="451E0C58"/>
    <w:rsid w:val="45251AF5"/>
    <w:rsid w:val="45265326"/>
    <w:rsid w:val="452E7A96"/>
    <w:rsid w:val="45332760"/>
    <w:rsid w:val="45397684"/>
    <w:rsid w:val="453A003B"/>
    <w:rsid w:val="453B2E04"/>
    <w:rsid w:val="453C36B5"/>
    <w:rsid w:val="45420150"/>
    <w:rsid w:val="45440C01"/>
    <w:rsid w:val="45442C68"/>
    <w:rsid w:val="454476AA"/>
    <w:rsid w:val="45462FC9"/>
    <w:rsid w:val="45530F94"/>
    <w:rsid w:val="45590CBD"/>
    <w:rsid w:val="456C4066"/>
    <w:rsid w:val="45731001"/>
    <w:rsid w:val="457667CA"/>
    <w:rsid w:val="457B2AC3"/>
    <w:rsid w:val="45827BA5"/>
    <w:rsid w:val="45847C7F"/>
    <w:rsid w:val="4586550B"/>
    <w:rsid w:val="45872E31"/>
    <w:rsid w:val="458A4E45"/>
    <w:rsid w:val="459E05CA"/>
    <w:rsid w:val="459E681C"/>
    <w:rsid w:val="459F5FC7"/>
    <w:rsid w:val="45A86F7F"/>
    <w:rsid w:val="45AA2D32"/>
    <w:rsid w:val="45AD15B1"/>
    <w:rsid w:val="45B66D05"/>
    <w:rsid w:val="45B70CCE"/>
    <w:rsid w:val="45B92CB8"/>
    <w:rsid w:val="45C41232"/>
    <w:rsid w:val="45C703B0"/>
    <w:rsid w:val="45CA643D"/>
    <w:rsid w:val="45CB4C64"/>
    <w:rsid w:val="45D109A0"/>
    <w:rsid w:val="45D2502E"/>
    <w:rsid w:val="45DB7FB6"/>
    <w:rsid w:val="45DD3BC0"/>
    <w:rsid w:val="45EA514A"/>
    <w:rsid w:val="45F60406"/>
    <w:rsid w:val="45FC0202"/>
    <w:rsid w:val="46024FFD"/>
    <w:rsid w:val="46033124"/>
    <w:rsid w:val="46044300"/>
    <w:rsid w:val="46072613"/>
    <w:rsid w:val="460B41A5"/>
    <w:rsid w:val="46130FB8"/>
    <w:rsid w:val="46183FCD"/>
    <w:rsid w:val="46261186"/>
    <w:rsid w:val="462B6DBC"/>
    <w:rsid w:val="46481257"/>
    <w:rsid w:val="464E6A7D"/>
    <w:rsid w:val="464F3EF8"/>
    <w:rsid w:val="46577CB2"/>
    <w:rsid w:val="465A0F31"/>
    <w:rsid w:val="465A34D7"/>
    <w:rsid w:val="465D72E0"/>
    <w:rsid w:val="465F3B4D"/>
    <w:rsid w:val="46690FDF"/>
    <w:rsid w:val="46710467"/>
    <w:rsid w:val="467A1D38"/>
    <w:rsid w:val="467D28D5"/>
    <w:rsid w:val="467D7153"/>
    <w:rsid w:val="468439F0"/>
    <w:rsid w:val="46930915"/>
    <w:rsid w:val="469636EF"/>
    <w:rsid w:val="46997E83"/>
    <w:rsid w:val="469B4A2B"/>
    <w:rsid w:val="46A2058E"/>
    <w:rsid w:val="46A40515"/>
    <w:rsid w:val="46A93608"/>
    <w:rsid w:val="46AA073A"/>
    <w:rsid w:val="46B067AF"/>
    <w:rsid w:val="46B51498"/>
    <w:rsid w:val="46B60CB8"/>
    <w:rsid w:val="46B76CCB"/>
    <w:rsid w:val="46BB601E"/>
    <w:rsid w:val="46C32BCA"/>
    <w:rsid w:val="46C81412"/>
    <w:rsid w:val="46D70760"/>
    <w:rsid w:val="46D81AA8"/>
    <w:rsid w:val="46DB6CEE"/>
    <w:rsid w:val="46E14335"/>
    <w:rsid w:val="46E20E05"/>
    <w:rsid w:val="46E93AC7"/>
    <w:rsid w:val="4704519C"/>
    <w:rsid w:val="4709790B"/>
    <w:rsid w:val="47152789"/>
    <w:rsid w:val="47171F8D"/>
    <w:rsid w:val="47264AFC"/>
    <w:rsid w:val="4730245D"/>
    <w:rsid w:val="47352C41"/>
    <w:rsid w:val="4738732D"/>
    <w:rsid w:val="4739012A"/>
    <w:rsid w:val="473979EB"/>
    <w:rsid w:val="473A5A18"/>
    <w:rsid w:val="47434DE4"/>
    <w:rsid w:val="474A34FA"/>
    <w:rsid w:val="474C444B"/>
    <w:rsid w:val="47533690"/>
    <w:rsid w:val="4755115C"/>
    <w:rsid w:val="4755426C"/>
    <w:rsid w:val="47596E9F"/>
    <w:rsid w:val="475A10FE"/>
    <w:rsid w:val="47705F96"/>
    <w:rsid w:val="47716B3D"/>
    <w:rsid w:val="47737835"/>
    <w:rsid w:val="4774328E"/>
    <w:rsid w:val="47745A86"/>
    <w:rsid w:val="477A3310"/>
    <w:rsid w:val="477F48DA"/>
    <w:rsid w:val="478127A1"/>
    <w:rsid w:val="47891ACF"/>
    <w:rsid w:val="478F466E"/>
    <w:rsid w:val="47950D0B"/>
    <w:rsid w:val="47953C4F"/>
    <w:rsid w:val="479E4F2D"/>
    <w:rsid w:val="47A178CB"/>
    <w:rsid w:val="47A563E7"/>
    <w:rsid w:val="47A752DC"/>
    <w:rsid w:val="47AA030A"/>
    <w:rsid w:val="47AB1FDE"/>
    <w:rsid w:val="47B378A1"/>
    <w:rsid w:val="47B5232B"/>
    <w:rsid w:val="47BB2E58"/>
    <w:rsid w:val="47C27D1D"/>
    <w:rsid w:val="47C32712"/>
    <w:rsid w:val="47C562E2"/>
    <w:rsid w:val="47D66A8E"/>
    <w:rsid w:val="47DA3D23"/>
    <w:rsid w:val="47DF1BCB"/>
    <w:rsid w:val="47E349BA"/>
    <w:rsid w:val="47E52A12"/>
    <w:rsid w:val="47ED36C0"/>
    <w:rsid w:val="47F006DC"/>
    <w:rsid w:val="47F210A1"/>
    <w:rsid w:val="47F66FF8"/>
    <w:rsid w:val="47F730AB"/>
    <w:rsid w:val="48040D3F"/>
    <w:rsid w:val="48091BC0"/>
    <w:rsid w:val="480A4F86"/>
    <w:rsid w:val="48132D3F"/>
    <w:rsid w:val="48196045"/>
    <w:rsid w:val="48203246"/>
    <w:rsid w:val="48236BF5"/>
    <w:rsid w:val="48342CB5"/>
    <w:rsid w:val="483475C8"/>
    <w:rsid w:val="483653F2"/>
    <w:rsid w:val="48455675"/>
    <w:rsid w:val="485543C7"/>
    <w:rsid w:val="48554AE2"/>
    <w:rsid w:val="4856596A"/>
    <w:rsid w:val="48584B2D"/>
    <w:rsid w:val="485E0330"/>
    <w:rsid w:val="485F01F4"/>
    <w:rsid w:val="48640E21"/>
    <w:rsid w:val="486C3998"/>
    <w:rsid w:val="486F4386"/>
    <w:rsid w:val="487109C8"/>
    <w:rsid w:val="48742F5F"/>
    <w:rsid w:val="487877F8"/>
    <w:rsid w:val="487B1866"/>
    <w:rsid w:val="488D5C62"/>
    <w:rsid w:val="489270A7"/>
    <w:rsid w:val="489A25DD"/>
    <w:rsid w:val="489D0D60"/>
    <w:rsid w:val="48B65994"/>
    <w:rsid w:val="48BD2D9D"/>
    <w:rsid w:val="48BD42AA"/>
    <w:rsid w:val="48BE39BE"/>
    <w:rsid w:val="48BE792B"/>
    <w:rsid w:val="48C44D8A"/>
    <w:rsid w:val="48CE458D"/>
    <w:rsid w:val="48D222DA"/>
    <w:rsid w:val="48D42AED"/>
    <w:rsid w:val="48D43B4A"/>
    <w:rsid w:val="48D64CD4"/>
    <w:rsid w:val="48D83DF3"/>
    <w:rsid w:val="48DF6109"/>
    <w:rsid w:val="48E0180D"/>
    <w:rsid w:val="48E04AC4"/>
    <w:rsid w:val="48E30199"/>
    <w:rsid w:val="48E37C9D"/>
    <w:rsid w:val="48E66A12"/>
    <w:rsid w:val="48E87B15"/>
    <w:rsid w:val="48EF7AC5"/>
    <w:rsid w:val="48F0661B"/>
    <w:rsid w:val="48F50E49"/>
    <w:rsid w:val="48FA645F"/>
    <w:rsid w:val="48FD215B"/>
    <w:rsid w:val="48FE4461"/>
    <w:rsid w:val="49090450"/>
    <w:rsid w:val="490946F8"/>
    <w:rsid w:val="490A11F3"/>
    <w:rsid w:val="4912455E"/>
    <w:rsid w:val="49186ABA"/>
    <w:rsid w:val="491D4036"/>
    <w:rsid w:val="49264C34"/>
    <w:rsid w:val="492D489A"/>
    <w:rsid w:val="49331E1E"/>
    <w:rsid w:val="49342C50"/>
    <w:rsid w:val="493904E2"/>
    <w:rsid w:val="493C0826"/>
    <w:rsid w:val="493F661D"/>
    <w:rsid w:val="494420A0"/>
    <w:rsid w:val="49463DA7"/>
    <w:rsid w:val="494B2817"/>
    <w:rsid w:val="494B4E26"/>
    <w:rsid w:val="4951284A"/>
    <w:rsid w:val="495C2C76"/>
    <w:rsid w:val="49627B61"/>
    <w:rsid w:val="496651F0"/>
    <w:rsid w:val="4968786D"/>
    <w:rsid w:val="49687A39"/>
    <w:rsid w:val="496A4B69"/>
    <w:rsid w:val="496B4C67"/>
    <w:rsid w:val="496F5D62"/>
    <w:rsid w:val="497535C8"/>
    <w:rsid w:val="4977360C"/>
    <w:rsid w:val="49834D10"/>
    <w:rsid w:val="49855F47"/>
    <w:rsid w:val="498B7096"/>
    <w:rsid w:val="498D2F6B"/>
    <w:rsid w:val="4991050A"/>
    <w:rsid w:val="499158DF"/>
    <w:rsid w:val="49923F57"/>
    <w:rsid w:val="4994091F"/>
    <w:rsid w:val="49961987"/>
    <w:rsid w:val="499853EC"/>
    <w:rsid w:val="499D4F95"/>
    <w:rsid w:val="499F1A4A"/>
    <w:rsid w:val="49AA6690"/>
    <w:rsid w:val="49AD602E"/>
    <w:rsid w:val="49B14C54"/>
    <w:rsid w:val="49C16CFB"/>
    <w:rsid w:val="49C432A5"/>
    <w:rsid w:val="49C93EA3"/>
    <w:rsid w:val="49D62A28"/>
    <w:rsid w:val="49E707F1"/>
    <w:rsid w:val="49EC5A6B"/>
    <w:rsid w:val="49ED33E0"/>
    <w:rsid w:val="49F10669"/>
    <w:rsid w:val="49F34542"/>
    <w:rsid w:val="49FE0000"/>
    <w:rsid w:val="4A0155CC"/>
    <w:rsid w:val="4A0376B9"/>
    <w:rsid w:val="4A103246"/>
    <w:rsid w:val="4A111682"/>
    <w:rsid w:val="4A1366B9"/>
    <w:rsid w:val="4A1E4A0D"/>
    <w:rsid w:val="4A24275C"/>
    <w:rsid w:val="4A294630"/>
    <w:rsid w:val="4A295E9B"/>
    <w:rsid w:val="4A2F0710"/>
    <w:rsid w:val="4A3100DB"/>
    <w:rsid w:val="4A365275"/>
    <w:rsid w:val="4A3D2335"/>
    <w:rsid w:val="4A474140"/>
    <w:rsid w:val="4A4756D4"/>
    <w:rsid w:val="4A4A7382"/>
    <w:rsid w:val="4A4B0B5C"/>
    <w:rsid w:val="4A4B2D3F"/>
    <w:rsid w:val="4A4E2DF6"/>
    <w:rsid w:val="4A5241A8"/>
    <w:rsid w:val="4A56278A"/>
    <w:rsid w:val="4A6022F2"/>
    <w:rsid w:val="4A62606A"/>
    <w:rsid w:val="4A6C73F2"/>
    <w:rsid w:val="4A6D4ECA"/>
    <w:rsid w:val="4A703D38"/>
    <w:rsid w:val="4A7333BD"/>
    <w:rsid w:val="4A7F59C8"/>
    <w:rsid w:val="4A9106FD"/>
    <w:rsid w:val="4A936207"/>
    <w:rsid w:val="4A9E53D1"/>
    <w:rsid w:val="4AC1388C"/>
    <w:rsid w:val="4ACA5C1B"/>
    <w:rsid w:val="4ACD62D0"/>
    <w:rsid w:val="4ACF370E"/>
    <w:rsid w:val="4AD85642"/>
    <w:rsid w:val="4AD901C7"/>
    <w:rsid w:val="4ADA55C0"/>
    <w:rsid w:val="4ADD1644"/>
    <w:rsid w:val="4AE1496F"/>
    <w:rsid w:val="4AE25D7C"/>
    <w:rsid w:val="4AE271AB"/>
    <w:rsid w:val="4AE334B4"/>
    <w:rsid w:val="4AE96173"/>
    <w:rsid w:val="4AED03DF"/>
    <w:rsid w:val="4AFE1B83"/>
    <w:rsid w:val="4B0410F6"/>
    <w:rsid w:val="4B0623C7"/>
    <w:rsid w:val="4B090BDC"/>
    <w:rsid w:val="4B0E4448"/>
    <w:rsid w:val="4B161D72"/>
    <w:rsid w:val="4B1A0C7D"/>
    <w:rsid w:val="4B1D4687"/>
    <w:rsid w:val="4B217CD3"/>
    <w:rsid w:val="4B222BB0"/>
    <w:rsid w:val="4B225216"/>
    <w:rsid w:val="4B231E48"/>
    <w:rsid w:val="4B234137"/>
    <w:rsid w:val="4B2E0642"/>
    <w:rsid w:val="4B327DE4"/>
    <w:rsid w:val="4B357F3E"/>
    <w:rsid w:val="4B3D70A8"/>
    <w:rsid w:val="4B4425C2"/>
    <w:rsid w:val="4B47639D"/>
    <w:rsid w:val="4B4F2B9F"/>
    <w:rsid w:val="4B524331"/>
    <w:rsid w:val="4B5421D9"/>
    <w:rsid w:val="4B54635A"/>
    <w:rsid w:val="4B554289"/>
    <w:rsid w:val="4B5639C4"/>
    <w:rsid w:val="4B5752B3"/>
    <w:rsid w:val="4B5A0A02"/>
    <w:rsid w:val="4B5B76B4"/>
    <w:rsid w:val="4B5D02E4"/>
    <w:rsid w:val="4B5F563C"/>
    <w:rsid w:val="4B603612"/>
    <w:rsid w:val="4B616322"/>
    <w:rsid w:val="4B62287C"/>
    <w:rsid w:val="4B694566"/>
    <w:rsid w:val="4B6B2355"/>
    <w:rsid w:val="4B7147E3"/>
    <w:rsid w:val="4B7C2F16"/>
    <w:rsid w:val="4B807F11"/>
    <w:rsid w:val="4B8338ED"/>
    <w:rsid w:val="4B8420D6"/>
    <w:rsid w:val="4B887295"/>
    <w:rsid w:val="4B8C01AA"/>
    <w:rsid w:val="4B8D2AE8"/>
    <w:rsid w:val="4B9221F7"/>
    <w:rsid w:val="4BAF7ED3"/>
    <w:rsid w:val="4BB14659"/>
    <w:rsid w:val="4BB2364E"/>
    <w:rsid w:val="4BB26B7D"/>
    <w:rsid w:val="4BB573E1"/>
    <w:rsid w:val="4BB616EC"/>
    <w:rsid w:val="4BBC17AA"/>
    <w:rsid w:val="4BCB40E3"/>
    <w:rsid w:val="4BCD5ABB"/>
    <w:rsid w:val="4BD11D67"/>
    <w:rsid w:val="4BD606AC"/>
    <w:rsid w:val="4BD72A88"/>
    <w:rsid w:val="4BD74836"/>
    <w:rsid w:val="4BDA4522"/>
    <w:rsid w:val="4BE300AB"/>
    <w:rsid w:val="4BEF7DD1"/>
    <w:rsid w:val="4BF42F4C"/>
    <w:rsid w:val="4BF52F0E"/>
    <w:rsid w:val="4C033053"/>
    <w:rsid w:val="4C053A27"/>
    <w:rsid w:val="4C082DB8"/>
    <w:rsid w:val="4C0C30DD"/>
    <w:rsid w:val="4C0E2397"/>
    <w:rsid w:val="4C115F9A"/>
    <w:rsid w:val="4C14438F"/>
    <w:rsid w:val="4C1D24DE"/>
    <w:rsid w:val="4C1E2DAE"/>
    <w:rsid w:val="4C1E3668"/>
    <w:rsid w:val="4C217EF7"/>
    <w:rsid w:val="4C29057C"/>
    <w:rsid w:val="4C2B5124"/>
    <w:rsid w:val="4C2C4B82"/>
    <w:rsid w:val="4C2F34FF"/>
    <w:rsid w:val="4C304255"/>
    <w:rsid w:val="4C3752D5"/>
    <w:rsid w:val="4C3C28EB"/>
    <w:rsid w:val="4C3F1721"/>
    <w:rsid w:val="4C546FF9"/>
    <w:rsid w:val="4C56022C"/>
    <w:rsid w:val="4C56461E"/>
    <w:rsid w:val="4C5C003A"/>
    <w:rsid w:val="4C602A7D"/>
    <w:rsid w:val="4C607568"/>
    <w:rsid w:val="4C6C519E"/>
    <w:rsid w:val="4C6C5D64"/>
    <w:rsid w:val="4C743B38"/>
    <w:rsid w:val="4C74633E"/>
    <w:rsid w:val="4C7E0295"/>
    <w:rsid w:val="4C7F3F6E"/>
    <w:rsid w:val="4C815E38"/>
    <w:rsid w:val="4C833C8D"/>
    <w:rsid w:val="4C851783"/>
    <w:rsid w:val="4C862147"/>
    <w:rsid w:val="4C896654"/>
    <w:rsid w:val="4C8972E4"/>
    <w:rsid w:val="4C8E39D4"/>
    <w:rsid w:val="4C943E01"/>
    <w:rsid w:val="4C983043"/>
    <w:rsid w:val="4C984A7E"/>
    <w:rsid w:val="4CA304C9"/>
    <w:rsid w:val="4CA540A3"/>
    <w:rsid w:val="4CA94424"/>
    <w:rsid w:val="4CAA05F6"/>
    <w:rsid w:val="4CAB7660"/>
    <w:rsid w:val="4CAF1686"/>
    <w:rsid w:val="4CB30D23"/>
    <w:rsid w:val="4CB44F03"/>
    <w:rsid w:val="4CBC04CD"/>
    <w:rsid w:val="4CBC5F47"/>
    <w:rsid w:val="4CBF2826"/>
    <w:rsid w:val="4CCF637F"/>
    <w:rsid w:val="4CD50745"/>
    <w:rsid w:val="4CE23492"/>
    <w:rsid w:val="4CE44AF1"/>
    <w:rsid w:val="4CE94821"/>
    <w:rsid w:val="4CE974C5"/>
    <w:rsid w:val="4CEA2E80"/>
    <w:rsid w:val="4CED511E"/>
    <w:rsid w:val="4CEF102A"/>
    <w:rsid w:val="4CF11471"/>
    <w:rsid w:val="4CF16F4A"/>
    <w:rsid w:val="4CFE4934"/>
    <w:rsid w:val="4D05774F"/>
    <w:rsid w:val="4D0C5630"/>
    <w:rsid w:val="4D0F328E"/>
    <w:rsid w:val="4D1522E4"/>
    <w:rsid w:val="4D1C06B6"/>
    <w:rsid w:val="4D221AE1"/>
    <w:rsid w:val="4D232438"/>
    <w:rsid w:val="4D272912"/>
    <w:rsid w:val="4D2A6BE7"/>
    <w:rsid w:val="4D2B0D1F"/>
    <w:rsid w:val="4D2C6AE6"/>
    <w:rsid w:val="4D2E1E74"/>
    <w:rsid w:val="4D2E47A6"/>
    <w:rsid w:val="4D363B4B"/>
    <w:rsid w:val="4D3834D1"/>
    <w:rsid w:val="4D391799"/>
    <w:rsid w:val="4D3C6814"/>
    <w:rsid w:val="4D4373FC"/>
    <w:rsid w:val="4D4C3D75"/>
    <w:rsid w:val="4D4D72DB"/>
    <w:rsid w:val="4D4E0043"/>
    <w:rsid w:val="4D5D0F1F"/>
    <w:rsid w:val="4D607C93"/>
    <w:rsid w:val="4D6A0363"/>
    <w:rsid w:val="4D6A2508"/>
    <w:rsid w:val="4D6A6F7B"/>
    <w:rsid w:val="4D6C3D0C"/>
    <w:rsid w:val="4D771816"/>
    <w:rsid w:val="4D824021"/>
    <w:rsid w:val="4D825DCF"/>
    <w:rsid w:val="4D834761"/>
    <w:rsid w:val="4D8A31E1"/>
    <w:rsid w:val="4D8B22D3"/>
    <w:rsid w:val="4D8C1650"/>
    <w:rsid w:val="4D977115"/>
    <w:rsid w:val="4D9804B1"/>
    <w:rsid w:val="4D9D2CC9"/>
    <w:rsid w:val="4DA004E5"/>
    <w:rsid w:val="4DA333DD"/>
    <w:rsid w:val="4DAA2B1F"/>
    <w:rsid w:val="4DAA53E1"/>
    <w:rsid w:val="4DB47B62"/>
    <w:rsid w:val="4DBC7AF4"/>
    <w:rsid w:val="4DC476DF"/>
    <w:rsid w:val="4DC54A6E"/>
    <w:rsid w:val="4DC75E01"/>
    <w:rsid w:val="4DCB00CC"/>
    <w:rsid w:val="4DCB2B3C"/>
    <w:rsid w:val="4DCD5062"/>
    <w:rsid w:val="4DCF04DD"/>
    <w:rsid w:val="4DCF7EBB"/>
    <w:rsid w:val="4DD30BDE"/>
    <w:rsid w:val="4DD74F94"/>
    <w:rsid w:val="4DDC4C74"/>
    <w:rsid w:val="4DDD65D2"/>
    <w:rsid w:val="4DE97BEE"/>
    <w:rsid w:val="4DEE5E67"/>
    <w:rsid w:val="4DF71DC0"/>
    <w:rsid w:val="4DFA2A5E"/>
    <w:rsid w:val="4E000140"/>
    <w:rsid w:val="4E0764FC"/>
    <w:rsid w:val="4E0927F7"/>
    <w:rsid w:val="4E093CD4"/>
    <w:rsid w:val="4E117D8D"/>
    <w:rsid w:val="4E1B5D83"/>
    <w:rsid w:val="4E2A2DD0"/>
    <w:rsid w:val="4E2A4813"/>
    <w:rsid w:val="4E2B2C17"/>
    <w:rsid w:val="4E2B70BB"/>
    <w:rsid w:val="4E2E612D"/>
    <w:rsid w:val="4E3031F0"/>
    <w:rsid w:val="4E37702F"/>
    <w:rsid w:val="4E3B7CB6"/>
    <w:rsid w:val="4E4E5429"/>
    <w:rsid w:val="4E513224"/>
    <w:rsid w:val="4E6C6816"/>
    <w:rsid w:val="4E6D7B26"/>
    <w:rsid w:val="4E7A33F1"/>
    <w:rsid w:val="4E876508"/>
    <w:rsid w:val="4E8969B9"/>
    <w:rsid w:val="4E8D3BC1"/>
    <w:rsid w:val="4E8D4FD9"/>
    <w:rsid w:val="4E8F764A"/>
    <w:rsid w:val="4E9428EA"/>
    <w:rsid w:val="4E947559"/>
    <w:rsid w:val="4E974704"/>
    <w:rsid w:val="4E983CD2"/>
    <w:rsid w:val="4EA330F5"/>
    <w:rsid w:val="4EA529C9"/>
    <w:rsid w:val="4EAA1110"/>
    <w:rsid w:val="4EC33C27"/>
    <w:rsid w:val="4EC70379"/>
    <w:rsid w:val="4ECA2B5F"/>
    <w:rsid w:val="4ED33302"/>
    <w:rsid w:val="4ED4431A"/>
    <w:rsid w:val="4ED9766D"/>
    <w:rsid w:val="4EE27124"/>
    <w:rsid w:val="4EEC2678"/>
    <w:rsid w:val="4EEC3A28"/>
    <w:rsid w:val="4EF343E0"/>
    <w:rsid w:val="4F010748"/>
    <w:rsid w:val="4F012217"/>
    <w:rsid w:val="4F03777F"/>
    <w:rsid w:val="4F057754"/>
    <w:rsid w:val="4F073684"/>
    <w:rsid w:val="4F0A5641"/>
    <w:rsid w:val="4F0F1E65"/>
    <w:rsid w:val="4F184E21"/>
    <w:rsid w:val="4F1D5054"/>
    <w:rsid w:val="4F226642"/>
    <w:rsid w:val="4F2348BF"/>
    <w:rsid w:val="4F24453B"/>
    <w:rsid w:val="4F2C0E01"/>
    <w:rsid w:val="4F4B1BBD"/>
    <w:rsid w:val="4F5009DF"/>
    <w:rsid w:val="4F6633B9"/>
    <w:rsid w:val="4F70214B"/>
    <w:rsid w:val="4F731860"/>
    <w:rsid w:val="4F77146C"/>
    <w:rsid w:val="4F832AAD"/>
    <w:rsid w:val="4F834112"/>
    <w:rsid w:val="4F8738B6"/>
    <w:rsid w:val="4F8C6163"/>
    <w:rsid w:val="4F9162F3"/>
    <w:rsid w:val="4F9F653E"/>
    <w:rsid w:val="4FA7668B"/>
    <w:rsid w:val="4FAA3F87"/>
    <w:rsid w:val="4FB47A77"/>
    <w:rsid w:val="4FB933D4"/>
    <w:rsid w:val="4FBF0D84"/>
    <w:rsid w:val="4FC12668"/>
    <w:rsid w:val="4FC32924"/>
    <w:rsid w:val="4FCA38AD"/>
    <w:rsid w:val="4FCA764D"/>
    <w:rsid w:val="4FCF5A16"/>
    <w:rsid w:val="4FD07F1A"/>
    <w:rsid w:val="4FD31CE7"/>
    <w:rsid w:val="4FD45B8A"/>
    <w:rsid w:val="4FD85ACA"/>
    <w:rsid w:val="4FDB49F6"/>
    <w:rsid w:val="4FDF64E0"/>
    <w:rsid w:val="4FE439C5"/>
    <w:rsid w:val="4FE60E6B"/>
    <w:rsid w:val="4FE8785D"/>
    <w:rsid w:val="4FF54F28"/>
    <w:rsid w:val="4FFD3C69"/>
    <w:rsid w:val="50026D46"/>
    <w:rsid w:val="50072B3D"/>
    <w:rsid w:val="5007369F"/>
    <w:rsid w:val="500D17A2"/>
    <w:rsid w:val="50130402"/>
    <w:rsid w:val="50130EE3"/>
    <w:rsid w:val="501346D7"/>
    <w:rsid w:val="501675D8"/>
    <w:rsid w:val="5017010E"/>
    <w:rsid w:val="5023629C"/>
    <w:rsid w:val="50277668"/>
    <w:rsid w:val="502C7F8B"/>
    <w:rsid w:val="502E255F"/>
    <w:rsid w:val="50404BBA"/>
    <w:rsid w:val="50543F61"/>
    <w:rsid w:val="50557736"/>
    <w:rsid w:val="50592349"/>
    <w:rsid w:val="505934ED"/>
    <w:rsid w:val="505A7589"/>
    <w:rsid w:val="50711F73"/>
    <w:rsid w:val="507126D1"/>
    <w:rsid w:val="5075380C"/>
    <w:rsid w:val="507B10BF"/>
    <w:rsid w:val="507B43BC"/>
    <w:rsid w:val="5081657B"/>
    <w:rsid w:val="50825259"/>
    <w:rsid w:val="5093344B"/>
    <w:rsid w:val="5099145C"/>
    <w:rsid w:val="509B0528"/>
    <w:rsid w:val="50A14B4C"/>
    <w:rsid w:val="50A41D40"/>
    <w:rsid w:val="50A763BF"/>
    <w:rsid w:val="50BB2FBC"/>
    <w:rsid w:val="50BB522B"/>
    <w:rsid w:val="50BB7977"/>
    <w:rsid w:val="50BF7847"/>
    <w:rsid w:val="50C02223"/>
    <w:rsid w:val="50C076D0"/>
    <w:rsid w:val="50C23D07"/>
    <w:rsid w:val="50D43A3A"/>
    <w:rsid w:val="50D537A4"/>
    <w:rsid w:val="50E4294A"/>
    <w:rsid w:val="50E64F1C"/>
    <w:rsid w:val="50E816F6"/>
    <w:rsid w:val="50EF456D"/>
    <w:rsid w:val="50F6149D"/>
    <w:rsid w:val="50F67BF2"/>
    <w:rsid w:val="50FE08BF"/>
    <w:rsid w:val="50FE4613"/>
    <w:rsid w:val="50FF4657"/>
    <w:rsid w:val="510011CC"/>
    <w:rsid w:val="51083577"/>
    <w:rsid w:val="511606B1"/>
    <w:rsid w:val="51167BAE"/>
    <w:rsid w:val="512D1CFC"/>
    <w:rsid w:val="512E314A"/>
    <w:rsid w:val="513037D3"/>
    <w:rsid w:val="513113A8"/>
    <w:rsid w:val="51340035"/>
    <w:rsid w:val="513643A1"/>
    <w:rsid w:val="513876EA"/>
    <w:rsid w:val="51440558"/>
    <w:rsid w:val="51447510"/>
    <w:rsid w:val="514960E8"/>
    <w:rsid w:val="51506A1A"/>
    <w:rsid w:val="515D1BF9"/>
    <w:rsid w:val="516A1CA8"/>
    <w:rsid w:val="516A2920"/>
    <w:rsid w:val="51704153"/>
    <w:rsid w:val="5171202B"/>
    <w:rsid w:val="517302A9"/>
    <w:rsid w:val="51735AB7"/>
    <w:rsid w:val="51796A38"/>
    <w:rsid w:val="517A13EC"/>
    <w:rsid w:val="517A6409"/>
    <w:rsid w:val="517C77D7"/>
    <w:rsid w:val="517E428B"/>
    <w:rsid w:val="517F2D8A"/>
    <w:rsid w:val="51826A00"/>
    <w:rsid w:val="519761E5"/>
    <w:rsid w:val="51992E31"/>
    <w:rsid w:val="519B00B4"/>
    <w:rsid w:val="519B5CB0"/>
    <w:rsid w:val="519E6E30"/>
    <w:rsid w:val="51A23C3E"/>
    <w:rsid w:val="51A86035"/>
    <w:rsid w:val="51AB3376"/>
    <w:rsid w:val="51AF6DCD"/>
    <w:rsid w:val="51B5069B"/>
    <w:rsid w:val="51B80AAB"/>
    <w:rsid w:val="51BD1FF3"/>
    <w:rsid w:val="51C1721E"/>
    <w:rsid w:val="51C2071F"/>
    <w:rsid w:val="51C46174"/>
    <w:rsid w:val="51C608D7"/>
    <w:rsid w:val="51CC7DA1"/>
    <w:rsid w:val="51CF341F"/>
    <w:rsid w:val="51D3784E"/>
    <w:rsid w:val="51D441E2"/>
    <w:rsid w:val="51DF0793"/>
    <w:rsid w:val="51DF506D"/>
    <w:rsid w:val="51E26B8A"/>
    <w:rsid w:val="51ED3413"/>
    <w:rsid w:val="51ED6B61"/>
    <w:rsid w:val="51F46B33"/>
    <w:rsid w:val="51F77ECF"/>
    <w:rsid w:val="51FC6DA4"/>
    <w:rsid w:val="520018DB"/>
    <w:rsid w:val="520A14D4"/>
    <w:rsid w:val="520B6560"/>
    <w:rsid w:val="5211787A"/>
    <w:rsid w:val="521C7446"/>
    <w:rsid w:val="521D5884"/>
    <w:rsid w:val="5221049D"/>
    <w:rsid w:val="522336C0"/>
    <w:rsid w:val="52236C52"/>
    <w:rsid w:val="522832D5"/>
    <w:rsid w:val="522E2D5E"/>
    <w:rsid w:val="522F6E08"/>
    <w:rsid w:val="52317773"/>
    <w:rsid w:val="52377FF3"/>
    <w:rsid w:val="523F6E70"/>
    <w:rsid w:val="52420F72"/>
    <w:rsid w:val="52440E41"/>
    <w:rsid w:val="5247379E"/>
    <w:rsid w:val="525118C0"/>
    <w:rsid w:val="5257079E"/>
    <w:rsid w:val="52591FCD"/>
    <w:rsid w:val="526458CE"/>
    <w:rsid w:val="52683276"/>
    <w:rsid w:val="526D4D95"/>
    <w:rsid w:val="52701D2A"/>
    <w:rsid w:val="5272041B"/>
    <w:rsid w:val="5280401A"/>
    <w:rsid w:val="528208B0"/>
    <w:rsid w:val="52847F59"/>
    <w:rsid w:val="528D161E"/>
    <w:rsid w:val="52927709"/>
    <w:rsid w:val="52993584"/>
    <w:rsid w:val="529D3FB0"/>
    <w:rsid w:val="529F7CA1"/>
    <w:rsid w:val="52A32B02"/>
    <w:rsid w:val="52AB6AA9"/>
    <w:rsid w:val="52AD62F0"/>
    <w:rsid w:val="52B50728"/>
    <w:rsid w:val="52BC460F"/>
    <w:rsid w:val="52CB0754"/>
    <w:rsid w:val="52CF5EB9"/>
    <w:rsid w:val="52D970E6"/>
    <w:rsid w:val="52DB7128"/>
    <w:rsid w:val="52E35091"/>
    <w:rsid w:val="52E76E7B"/>
    <w:rsid w:val="52F128B9"/>
    <w:rsid w:val="52FC2DD4"/>
    <w:rsid w:val="530C4920"/>
    <w:rsid w:val="5316253B"/>
    <w:rsid w:val="53203DBE"/>
    <w:rsid w:val="5326146B"/>
    <w:rsid w:val="532A715E"/>
    <w:rsid w:val="53303630"/>
    <w:rsid w:val="533050E8"/>
    <w:rsid w:val="533079E9"/>
    <w:rsid w:val="53352068"/>
    <w:rsid w:val="53442AD5"/>
    <w:rsid w:val="53456A65"/>
    <w:rsid w:val="534E3C49"/>
    <w:rsid w:val="535C3740"/>
    <w:rsid w:val="536E1B84"/>
    <w:rsid w:val="536F7A4A"/>
    <w:rsid w:val="53736C42"/>
    <w:rsid w:val="537A3694"/>
    <w:rsid w:val="537A45B2"/>
    <w:rsid w:val="537B019D"/>
    <w:rsid w:val="53852A69"/>
    <w:rsid w:val="53894FEB"/>
    <w:rsid w:val="538A6632"/>
    <w:rsid w:val="538A75ED"/>
    <w:rsid w:val="538C1642"/>
    <w:rsid w:val="53983E76"/>
    <w:rsid w:val="539914A9"/>
    <w:rsid w:val="539B1631"/>
    <w:rsid w:val="53A73EC8"/>
    <w:rsid w:val="53A97040"/>
    <w:rsid w:val="53B25B59"/>
    <w:rsid w:val="53B56C52"/>
    <w:rsid w:val="53B57137"/>
    <w:rsid w:val="53B62F5A"/>
    <w:rsid w:val="53BB593F"/>
    <w:rsid w:val="53BC0861"/>
    <w:rsid w:val="53BC4FB3"/>
    <w:rsid w:val="53BE06E1"/>
    <w:rsid w:val="53C42DDB"/>
    <w:rsid w:val="53C43780"/>
    <w:rsid w:val="53D17152"/>
    <w:rsid w:val="53E357A7"/>
    <w:rsid w:val="53E519AD"/>
    <w:rsid w:val="53F2513E"/>
    <w:rsid w:val="53F90EE6"/>
    <w:rsid w:val="54005893"/>
    <w:rsid w:val="54041262"/>
    <w:rsid w:val="54086BC9"/>
    <w:rsid w:val="540C50BD"/>
    <w:rsid w:val="541D4411"/>
    <w:rsid w:val="54225A9E"/>
    <w:rsid w:val="54243A90"/>
    <w:rsid w:val="542A4F41"/>
    <w:rsid w:val="54322F51"/>
    <w:rsid w:val="543A576B"/>
    <w:rsid w:val="543C2750"/>
    <w:rsid w:val="543D420B"/>
    <w:rsid w:val="543E7FB9"/>
    <w:rsid w:val="543F2E4F"/>
    <w:rsid w:val="54400000"/>
    <w:rsid w:val="54402A1F"/>
    <w:rsid w:val="54420CBA"/>
    <w:rsid w:val="54493486"/>
    <w:rsid w:val="544E5790"/>
    <w:rsid w:val="5454601A"/>
    <w:rsid w:val="545555FD"/>
    <w:rsid w:val="545E60B8"/>
    <w:rsid w:val="54626B68"/>
    <w:rsid w:val="546D0833"/>
    <w:rsid w:val="54730187"/>
    <w:rsid w:val="54805FD9"/>
    <w:rsid w:val="548151A8"/>
    <w:rsid w:val="5486504B"/>
    <w:rsid w:val="5489265D"/>
    <w:rsid w:val="54967053"/>
    <w:rsid w:val="54967A7E"/>
    <w:rsid w:val="54975986"/>
    <w:rsid w:val="54A76A9C"/>
    <w:rsid w:val="54AA0E09"/>
    <w:rsid w:val="54B46628"/>
    <w:rsid w:val="54B62BD2"/>
    <w:rsid w:val="54B758B5"/>
    <w:rsid w:val="54B758CB"/>
    <w:rsid w:val="54B80735"/>
    <w:rsid w:val="54B96D1C"/>
    <w:rsid w:val="54BF40B9"/>
    <w:rsid w:val="54C33EAE"/>
    <w:rsid w:val="54C76692"/>
    <w:rsid w:val="54C951BD"/>
    <w:rsid w:val="54CC0A96"/>
    <w:rsid w:val="54CF2E72"/>
    <w:rsid w:val="54DB7EE0"/>
    <w:rsid w:val="54EA51DC"/>
    <w:rsid w:val="54F16253"/>
    <w:rsid w:val="550B4AF0"/>
    <w:rsid w:val="550D47AA"/>
    <w:rsid w:val="550E7E34"/>
    <w:rsid w:val="551E1A58"/>
    <w:rsid w:val="55211058"/>
    <w:rsid w:val="55257A57"/>
    <w:rsid w:val="55262A49"/>
    <w:rsid w:val="55276207"/>
    <w:rsid w:val="552A00CC"/>
    <w:rsid w:val="552A4A99"/>
    <w:rsid w:val="55346855"/>
    <w:rsid w:val="553A3136"/>
    <w:rsid w:val="553D5D0B"/>
    <w:rsid w:val="5547558F"/>
    <w:rsid w:val="554B7E43"/>
    <w:rsid w:val="554C5F67"/>
    <w:rsid w:val="5550657E"/>
    <w:rsid w:val="55546EF7"/>
    <w:rsid w:val="55641A0E"/>
    <w:rsid w:val="55673898"/>
    <w:rsid w:val="55702D56"/>
    <w:rsid w:val="557203E8"/>
    <w:rsid w:val="55775A5D"/>
    <w:rsid w:val="557B4484"/>
    <w:rsid w:val="557C163D"/>
    <w:rsid w:val="5589134E"/>
    <w:rsid w:val="55904330"/>
    <w:rsid w:val="55937B81"/>
    <w:rsid w:val="55942D34"/>
    <w:rsid w:val="55967510"/>
    <w:rsid w:val="559E3CB8"/>
    <w:rsid w:val="55A0213D"/>
    <w:rsid w:val="55AB7033"/>
    <w:rsid w:val="55B431BE"/>
    <w:rsid w:val="55B90536"/>
    <w:rsid w:val="55C86F17"/>
    <w:rsid w:val="55CB540B"/>
    <w:rsid w:val="55CF55C7"/>
    <w:rsid w:val="55D43ABC"/>
    <w:rsid w:val="55DD0945"/>
    <w:rsid w:val="55E22A8B"/>
    <w:rsid w:val="55E277E7"/>
    <w:rsid w:val="55EA4378"/>
    <w:rsid w:val="56001FA8"/>
    <w:rsid w:val="56075D18"/>
    <w:rsid w:val="561546F9"/>
    <w:rsid w:val="561A47F1"/>
    <w:rsid w:val="561F42AB"/>
    <w:rsid w:val="562A4416"/>
    <w:rsid w:val="562B5109"/>
    <w:rsid w:val="5634294E"/>
    <w:rsid w:val="56375053"/>
    <w:rsid w:val="563B35B0"/>
    <w:rsid w:val="564B75E0"/>
    <w:rsid w:val="564F7ED7"/>
    <w:rsid w:val="56547860"/>
    <w:rsid w:val="565657B9"/>
    <w:rsid w:val="56617B1E"/>
    <w:rsid w:val="56627F58"/>
    <w:rsid w:val="566A296A"/>
    <w:rsid w:val="566B50EE"/>
    <w:rsid w:val="566C0FF0"/>
    <w:rsid w:val="56754D0B"/>
    <w:rsid w:val="5677483B"/>
    <w:rsid w:val="567B1FB6"/>
    <w:rsid w:val="567B6FF3"/>
    <w:rsid w:val="5680141A"/>
    <w:rsid w:val="568C3A01"/>
    <w:rsid w:val="56925967"/>
    <w:rsid w:val="56972004"/>
    <w:rsid w:val="569761EB"/>
    <w:rsid w:val="56A508E3"/>
    <w:rsid w:val="56AE3ACC"/>
    <w:rsid w:val="56B40571"/>
    <w:rsid w:val="56B41097"/>
    <w:rsid w:val="56B502B4"/>
    <w:rsid w:val="56C63E25"/>
    <w:rsid w:val="56C70BD6"/>
    <w:rsid w:val="56C72959"/>
    <w:rsid w:val="56C87B9D"/>
    <w:rsid w:val="56CA1961"/>
    <w:rsid w:val="56CB4F97"/>
    <w:rsid w:val="56D05CEB"/>
    <w:rsid w:val="56D4209E"/>
    <w:rsid w:val="56DA64C3"/>
    <w:rsid w:val="56DD6F95"/>
    <w:rsid w:val="56E72DAE"/>
    <w:rsid w:val="56EB33F8"/>
    <w:rsid w:val="56EF3780"/>
    <w:rsid w:val="56F221C8"/>
    <w:rsid w:val="56F4254E"/>
    <w:rsid w:val="56FA7F7B"/>
    <w:rsid w:val="5705494D"/>
    <w:rsid w:val="57055F97"/>
    <w:rsid w:val="570C6E42"/>
    <w:rsid w:val="571031C6"/>
    <w:rsid w:val="57134FB0"/>
    <w:rsid w:val="571869D3"/>
    <w:rsid w:val="57275CF7"/>
    <w:rsid w:val="5728042D"/>
    <w:rsid w:val="572D57D0"/>
    <w:rsid w:val="572E7A88"/>
    <w:rsid w:val="5730129E"/>
    <w:rsid w:val="5736256F"/>
    <w:rsid w:val="573661D6"/>
    <w:rsid w:val="57393AEF"/>
    <w:rsid w:val="573A576A"/>
    <w:rsid w:val="573F5B62"/>
    <w:rsid w:val="574238E4"/>
    <w:rsid w:val="574458B3"/>
    <w:rsid w:val="574B73BA"/>
    <w:rsid w:val="575638FF"/>
    <w:rsid w:val="57566CF9"/>
    <w:rsid w:val="575F19EF"/>
    <w:rsid w:val="576378C6"/>
    <w:rsid w:val="576904CB"/>
    <w:rsid w:val="57750CEE"/>
    <w:rsid w:val="57791EA8"/>
    <w:rsid w:val="577E299A"/>
    <w:rsid w:val="57926836"/>
    <w:rsid w:val="57931F59"/>
    <w:rsid w:val="57963DCC"/>
    <w:rsid w:val="579E232D"/>
    <w:rsid w:val="57A71560"/>
    <w:rsid w:val="57AB7C62"/>
    <w:rsid w:val="57AC3AAB"/>
    <w:rsid w:val="57B16CB2"/>
    <w:rsid w:val="57B618E5"/>
    <w:rsid w:val="57C543C0"/>
    <w:rsid w:val="57C75F1F"/>
    <w:rsid w:val="57C837F3"/>
    <w:rsid w:val="57C92690"/>
    <w:rsid w:val="57CB5B25"/>
    <w:rsid w:val="57CD1B81"/>
    <w:rsid w:val="57D26839"/>
    <w:rsid w:val="57D57081"/>
    <w:rsid w:val="57D75C21"/>
    <w:rsid w:val="57DE49A5"/>
    <w:rsid w:val="57DF44F3"/>
    <w:rsid w:val="57E44551"/>
    <w:rsid w:val="57F0501C"/>
    <w:rsid w:val="57F21BDA"/>
    <w:rsid w:val="57FA080C"/>
    <w:rsid w:val="57FA7673"/>
    <w:rsid w:val="58016D72"/>
    <w:rsid w:val="580460F3"/>
    <w:rsid w:val="580C0040"/>
    <w:rsid w:val="580E7968"/>
    <w:rsid w:val="581542B9"/>
    <w:rsid w:val="58155075"/>
    <w:rsid w:val="58186E2E"/>
    <w:rsid w:val="5822166D"/>
    <w:rsid w:val="582263E2"/>
    <w:rsid w:val="582664FB"/>
    <w:rsid w:val="582C6931"/>
    <w:rsid w:val="583243E5"/>
    <w:rsid w:val="58424812"/>
    <w:rsid w:val="58576BD0"/>
    <w:rsid w:val="585D2057"/>
    <w:rsid w:val="586F61F0"/>
    <w:rsid w:val="587B479B"/>
    <w:rsid w:val="587F2A55"/>
    <w:rsid w:val="588C3EFB"/>
    <w:rsid w:val="588D77F0"/>
    <w:rsid w:val="58921C09"/>
    <w:rsid w:val="589F6E08"/>
    <w:rsid w:val="58A61818"/>
    <w:rsid w:val="58AB16F6"/>
    <w:rsid w:val="58AD0DF8"/>
    <w:rsid w:val="58B32DA4"/>
    <w:rsid w:val="58B82178"/>
    <w:rsid w:val="58BC54DF"/>
    <w:rsid w:val="58DE0690"/>
    <w:rsid w:val="58DE7C0C"/>
    <w:rsid w:val="58E10AA2"/>
    <w:rsid w:val="58E16DA5"/>
    <w:rsid w:val="58E4036E"/>
    <w:rsid w:val="58E413D0"/>
    <w:rsid w:val="58E541EF"/>
    <w:rsid w:val="58E82F8D"/>
    <w:rsid w:val="58F97AA8"/>
    <w:rsid w:val="59044790"/>
    <w:rsid w:val="59085D21"/>
    <w:rsid w:val="590935A0"/>
    <w:rsid w:val="590D5D3B"/>
    <w:rsid w:val="591C66AE"/>
    <w:rsid w:val="5922205D"/>
    <w:rsid w:val="59226A08"/>
    <w:rsid w:val="59231443"/>
    <w:rsid w:val="59240093"/>
    <w:rsid w:val="5925685D"/>
    <w:rsid w:val="59353488"/>
    <w:rsid w:val="594071D2"/>
    <w:rsid w:val="594C4E57"/>
    <w:rsid w:val="595E4F84"/>
    <w:rsid w:val="596100D5"/>
    <w:rsid w:val="59633649"/>
    <w:rsid w:val="59684B4F"/>
    <w:rsid w:val="596F7C83"/>
    <w:rsid w:val="59706436"/>
    <w:rsid w:val="597B2CA5"/>
    <w:rsid w:val="597E4543"/>
    <w:rsid w:val="597F3EB2"/>
    <w:rsid w:val="5985305A"/>
    <w:rsid w:val="598B67C8"/>
    <w:rsid w:val="598C366F"/>
    <w:rsid w:val="59946F6C"/>
    <w:rsid w:val="59955B5A"/>
    <w:rsid w:val="59A64212"/>
    <w:rsid w:val="59A83C72"/>
    <w:rsid w:val="59AB1B50"/>
    <w:rsid w:val="59B16B06"/>
    <w:rsid w:val="59B2479E"/>
    <w:rsid w:val="59B75877"/>
    <w:rsid w:val="59C75EEA"/>
    <w:rsid w:val="59E06FAB"/>
    <w:rsid w:val="59F07B73"/>
    <w:rsid w:val="59F32D86"/>
    <w:rsid w:val="59F71FFA"/>
    <w:rsid w:val="59F916C9"/>
    <w:rsid w:val="5A025174"/>
    <w:rsid w:val="5A0A6938"/>
    <w:rsid w:val="5A136AB1"/>
    <w:rsid w:val="5A186745"/>
    <w:rsid w:val="5A190617"/>
    <w:rsid w:val="5A1B7E68"/>
    <w:rsid w:val="5A1E743D"/>
    <w:rsid w:val="5A2346FE"/>
    <w:rsid w:val="5A32228B"/>
    <w:rsid w:val="5A325697"/>
    <w:rsid w:val="5A336FA5"/>
    <w:rsid w:val="5A3A3265"/>
    <w:rsid w:val="5A405C9C"/>
    <w:rsid w:val="5A411203"/>
    <w:rsid w:val="5A416EFA"/>
    <w:rsid w:val="5A5857B3"/>
    <w:rsid w:val="5A5E7768"/>
    <w:rsid w:val="5A64198B"/>
    <w:rsid w:val="5A6C2EE8"/>
    <w:rsid w:val="5A7474F5"/>
    <w:rsid w:val="5A7608BE"/>
    <w:rsid w:val="5A7B2055"/>
    <w:rsid w:val="5A7B2258"/>
    <w:rsid w:val="5A8953FD"/>
    <w:rsid w:val="5A8D1F5E"/>
    <w:rsid w:val="5A8E0EA3"/>
    <w:rsid w:val="5A985AD8"/>
    <w:rsid w:val="5A9958A3"/>
    <w:rsid w:val="5A9C4EA9"/>
    <w:rsid w:val="5AA8341C"/>
    <w:rsid w:val="5AA9047E"/>
    <w:rsid w:val="5AAC6F40"/>
    <w:rsid w:val="5AB0431D"/>
    <w:rsid w:val="5AB17380"/>
    <w:rsid w:val="5AB611C3"/>
    <w:rsid w:val="5AC91D7C"/>
    <w:rsid w:val="5ACB1A0A"/>
    <w:rsid w:val="5ACD33FA"/>
    <w:rsid w:val="5ACE2085"/>
    <w:rsid w:val="5AD36B10"/>
    <w:rsid w:val="5AD5513C"/>
    <w:rsid w:val="5AE04290"/>
    <w:rsid w:val="5AEE7B72"/>
    <w:rsid w:val="5AEF4DB2"/>
    <w:rsid w:val="5AF008CF"/>
    <w:rsid w:val="5AF522E3"/>
    <w:rsid w:val="5AF5303C"/>
    <w:rsid w:val="5AFD3AF9"/>
    <w:rsid w:val="5B015517"/>
    <w:rsid w:val="5B0939BA"/>
    <w:rsid w:val="5B161C1D"/>
    <w:rsid w:val="5B174C4F"/>
    <w:rsid w:val="5B194BB6"/>
    <w:rsid w:val="5B1C5C19"/>
    <w:rsid w:val="5B2C0772"/>
    <w:rsid w:val="5B340D9A"/>
    <w:rsid w:val="5B382A6F"/>
    <w:rsid w:val="5B385DB9"/>
    <w:rsid w:val="5B3B24FF"/>
    <w:rsid w:val="5B3C2907"/>
    <w:rsid w:val="5B42032E"/>
    <w:rsid w:val="5B445615"/>
    <w:rsid w:val="5B56245C"/>
    <w:rsid w:val="5B58620F"/>
    <w:rsid w:val="5B747BDF"/>
    <w:rsid w:val="5B756EAF"/>
    <w:rsid w:val="5B7C71A8"/>
    <w:rsid w:val="5B815974"/>
    <w:rsid w:val="5B8231A2"/>
    <w:rsid w:val="5B977B3E"/>
    <w:rsid w:val="5B982A7E"/>
    <w:rsid w:val="5BA16532"/>
    <w:rsid w:val="5BA43556"/>
    <w:rsid w:val="5BA45412"/>
    <w:rsid w:val="5BA54426"/>
    <w:rsid w:val="5BA64C88"/>
    <w:rsid w:val="5BA77007"/>
    <w:rsid w:val="5BAA5AC3"/>
    <w:rsid w:val="5BB54DDF"/>
    <w:rsid w:val="5BBF6F39"/>
    <w:rsid w:val="5BC06214"/>
    <w:rsid w:val="5BC1475F"/>
    <w:rsid w:val="5BC54262"/>
    <w:rsid w:val="5BD04D1D"/>
    <w:rsid w:val="5BD24E76"/>
    <w:rsid w:val="5BD3376B"/>
    <w:rsid w:val="5BD3501A"/>
    <w:rsid w:val="5BD515C7"/>
    <w:rsid w:val="5BDC26E3"/>
    <w:rsid w:val="5BE81ADA"/>
    <w:rsid w:val="5BE82EF1"/>
    <w:rsid w:val="5BEA4111"/>
    <w:rsid w:val="5C0276AD"/>
    <w:rsid w:val="5C052CF9"/>
    <w:rsid w:val="5C091F29"/>
    <w:rsid w:val="5C096BF2"/>
    <w:rsid w:val="5C1178F0"/>
    <w:rsid w:val="5C123AEB"/>
    <w:rsid w:val="5C1663D0"/>
    <w:rsid w:val="5C194B8C"/>
    <w:rsid w:val="5C1D44E7"/>
    <w:rsid w:val="5C216CC4"/>
    <w:rsid w:val="5C221983"/>
    <w:rsid w:val="5C2770F5"/>
    <w:rsid w:val="5C285D27"/>
    <w:rsid w:val="5C2B6FDB"/>
    <w:rsid w:val="5C2F3027"/>
    <w:rsid w:val="5C313726"/>
    <w:rsid w:val="5C317F92"/>
    <w:rsid w:val="5C381C01"/>
    <w:rsid w:val="5C390B01"/>
    <w:rsid w:val="5C3A55B1"/>
    <w:rsid w:val="5C3C7D33"/>
    <w:rsid w:val="5C3F26AF"/>
    <w:rsid w:val="5C444AEF"/>
    <w:rsid w:val="5C482D1B"/>
    <w:rsid w:val="5C4F0F15"/>
    <w:rsid w:val="5C612EB1"/>
    <w:rsid w:val="5C657EBF"/>
    <w:rsid w:val="5C6812DD"/>
    <w:rsid w:val="5C6B2CED"/>
    <w:rsid w:val="5C6C6C4D"/>
    <w:rsid w:val="5C700D2F"/>
    <w:rsid w:val="5C760391"/>
    <w:rsid w:val="5C7F3276"/>
    <w:rsid w:val="5C840345"/>
    <w:rsid w:val="5C851D76"/>
    <w:rsid w:val="5C9E5F8C"/>
    <w:rsid w:val="5CA714B0"/>
    <w:rsid w:val="5CAE112D"/>
    <w:rsid w:val="5CB5471F"/>
    <w:rsid w:val="5CBF5160"/>
    <w:rsid w:val="5CC54D65"/>
    <w:rsid w:val="5CCE6528"/>
    <w:rsid w:val="5CD13658"/>
    <w:rsid w:val="5CD26643"/>
    <w:rsid w:val="5CDC5C04"/>
    <w:rsid w:val="5CF07DE2"/>
    <w:rsid w:val="5CF977E4"/>
    <w:rsid w:val="5D00734A"/>
    <w:rsid w:val="5D077FE3"/>
    <w:rsid w:val="5D0D20F6"/>
    <w:rsid w:val="5D100692"/>
    <w:rsid w:val="5D130F61"/>
    <w:rsid w:val="5D155667"/>
    <w:rsid w:val="5D22550C"/>
    <w:rsid w:val="5D276A8F"/>
    <w:rsid w:val="5D2D5330"/>
    <w:rsid w:val="5D367A4A"/>
    <w:rsid w:val="5D3C274B"/>
    <w:rsid w:val="5D417E67"/>
    <w:rsid w:val="5D437F7D"/>
    <w:rsid w:val="5D450961"/>
    <w:rsid w:val="5D45600B"/>
    <w:rsid w:val="5D4D7F94"/>
    <w:rsid w:val="5D5932FD"/>
    <w:rsid w:val="5D5E2921"/>
    <w:rsid w:val="5D744F60"/>
    <w:rsid w:val="5D781694"/>
    <w:rsid w:val="5D7D6046"/>
    <w:rsid w:val="5D816997"/>
    <w:rsid w:val="5D8616AC"/>
    <w:rsid w:val="5D8B72B4"/>
    <w:rsid w:val="5D8D0C89"/>
    <w:rsid w:val="5D905FDE"/>
    <w:rsid w:val="5D9641DE"/>
    <w:rsid w:val="5DA35C77"/>
    <w:rsid w:val="5DB80270"/>
    <w:rsid w:val="5DBD44CA"/>
    <w:rsid w:val="5DCF7A59"/>
    <w:rsid w:val="5DD93A26"/>
    <w:rsid w:val="5DE16A22"/>
    <w:rsid w:val="5DEB6269"/>
    <w:rsid w:val="5DF17F52"/>
    <w:rsid w:val="5DF47223"/>
    <w:rsid w:val="5DFA3AE6"/>
    <w:rsid w:val="5E002E2D"/>
    <w:rsid w:val="5E005E6E"/>
    <w:rsid w:val="5E04629C"/>
    <w:rsid w:val="5E0803A7"/>
    <w:rsid w:val="5E0E59BF"/>
    <w:rsid w:val="5E123555"/>
    <w:rsid w:val="5E1835BF"/>
    <w:rsid w:val="5E1D56B9"/>
    <w:rsid w:val="5E206A4B"/>
    <w:rsid w:val="5E243C3B"/>
    <w:rsid w:val="5E2A31A9"/>
    <w:rsid w:val="5E3D6863"/>
    <w:rsid w:val="5E3E58AA"/>
    <w:rsid w:val="5E440D93"/>
    <w:rsid w:val="5E44123B"/>
    <w:rsid w:val="5E457D25"/>
    <w:rsid w:val="5E473A9D"/>
    <w:rsid w:val="5E514A7E"/>
    <w:rsid w:val="5E52754D"/>
    <w:rsid w:val="5E5B27F7"/>
    <w:rsid w:val="5E5C56E8"/>
    <w:rsid w:val="5E5C72AB"/>
    <w:rsid w:val="5E602BDB"/>
    <w:rsid w:val="5E625A07"/>
    <w:rsid w:val="5E797E17"/>
    <w:rsid w:val="5E7B6FC8"/>
    <w:rsid w:val="5E7D6519"/>
    <w:rsid w:val="5E852584"/>
    <w:rsid w:val="5E8572FA"/>
    <w:rsid w:val="5E870C2D"/>
    <w:rsid w:val="5E9023B0"/>
    <w:rsid w:val="5E912F6A"/>
    <w:rsid w:val="5E9F0EAB"/>
    <w:rsid w:val="5EA64235"/>
    <w:rsid w:val="5EAC46E6"/>
    <w:rsid w:val="5ECB20AF"/>
    <w:rsid w:val="5ECE039A"/>
    <w:rsid w:val="5ED13367"/>
    <w:rsid w:val="5ED86AF4"/>
    <w:rsid w:val="5EDA094D"/>
    <w:rsid w:val="5EDB64ED"/>
    <w:rsid w:val="5EDE2487"/>
    <w:rsid w:val="5EE173B5"/>
    <w:rsid w:val="5EEC3933"/>
    <w:rsid w:val="5EED397D"/>
    <w:rsid w:val="5F0011A0"/>
    <w:rsid w:val="5F006597"/>
    <w:rsid w:val="5F0104F4"/>
    <w:rsid w:val="5F0E0117"/>
    <w:rsid w:val="5F0E4AA9"/>
    <w:rsid w:val="5F1159DC"/>
    <w:rsid w:val="5F126946"/>
    <w:rsid w:val="5F146901"/>
    <w:rsid w:val="5F150AD4"/>
    <w:rsid w:val="5F1579FA"/>
    <w:rsid w:val="5F1A7078"/>
    <w:rsid w:val="5F1B0738"/>
    <w:rsid w:val="5F1D7A9D"/>
    <w:rsid w:val="5F1E06FF"/>
    <w:rsid w:val="5F202E26"/>
    <w:rsid w:val="5F2822F3"/>
    <w:rsid w:val="5F2A0B8C"/>
    <w:rsid w:val="5F2C175B"/>
    <w:rsid w:val="5F361B59"/>
    <w:rsid w:val="5F441643"/>
    <w:rsid w:val="5F4A7063"/>
    <w:rsid w:val="5F4B6602"/>
    <w:rsid w:val="5F4D3532"/>
    <w:rsid w:val="5F4E1DE2"/>
    <w:rsid w:val="5F4F1DE0"/>
    <w:rsid w:val="5F514A0C"/>
    <w:rsid w:val="5F547AA7"/>
    <w:rsid w:val="5F572BE8"/>
    <w:rsid w:val="5F5B5AE4"/>
    <w:rsid w:val="5F5C0008"/>
    <w:rsid w:val="5F5D4BFA"/>
    <w:rsid w:val="5F6146EB"/>
    <w:rsid w:val="5F665583"/>
    <w:rsid w:val="5F750A5A"/>
    <w:rsid w:val="5F7673D1"/>
    <w:rsid w:val="5F8245B5"/>
    <w:rsid w:val="5F9D7E01"/>
    <w:rsid w:val="5F9E7DA2"/>
    <w:rsid w:val="5FC13A98"/>
    <w:rsid w:val="5FC24977"/>
    <w:rsid w:val="5FC35719"/>
    <w:rsid w:val="5FCC24AC"/>
    <w:rsid w:val="5FCC379D"/>
    <w:rsid w:val="5FD220E3"/>
    <w:rsid w:val="5FD51418"/>
    <w:rsid w:val="5FDD54FE"/>
    <w:rsid w:val="5FE377F5"/>
    <w:rsid w:val="5FEF669B"/>
    <w:rsid w:val="5FF71F48"/>
    <w:rsid w:val="5FFA2540"/>
    <w:rsid w:val="5FFE2086"/>
    <w:rsid w:val="60004801"/>
    <w:rsid w:val="60021AD9"/>
    <w:rsid w:val="600E79CD"/>
    <w:rsid w:val="6011681A"/>
    <w:rsid w:val="601C7052"/>
    <w:rsid w:val="601D512A"/>
    <w:rsid w:val="601F3E32"/>
    <w:rsid w:val="60213E7A"/>
    <w:rsid w:val="60270DE3"/>
    <w:rsid w:val="602C18A0"/>
    <w:rsid w:val="60335356"/>
    <w:rsid w:val="60365B77"/>
    <w:rsid w:val="603736ED"/>
    <w:rsid w:val="603A3C9F"/>
    <w:rsid w:val="603F5550"/>
    <w:rsid w:val="60472CAE"/>
    <w:rsid w:val="604D05CC"/>
    <w:rsid w:val="604F4E8B"/>
    <w:rsid w:val="60555655"/>
    <w:rsid w:val="6057024D"/>
    <w:rsid w:val="605919E9"/>
    <w:rsid w:val="60593614"/>
    <w:rsid w:val="605B1EAB"/>
    <w:rsid w:val="606208DA"/>
    <w:rsid w:val="606326E4"/>
    <w:rsid w:val="60634492"/>
    <w:rsid w:val="606C1599"/>
    <w:rsid w:val="606E3563"/>
    <w:rsid w:val="60762029"/>
    <w:rsid w:val="60766A4C"/>
    <w:rsid w:val="607D71A3"/>
    <w:rsid w:val="607E307A"/>
    <w:rsid w:val="607F6ECD"/>
    <w:rsid w:val="608A7C71"/>
    <w:rsid w:val="60922E63"/>
    <w:rsid w:val="60954B20"/>
    <w:rsid w:val="609B7A74"/>
    <w:rsid w:val="609D684D"/>
    <w:rsid w:val="609F51A8"/>
    <w:rsid w:val="60A9459B"/>
    <w:rsid w:val="60C2471A"/>
    <w:rsid w:val="60C6260A"/>
    <w:rsid w:val="60CE0C8D"/>
    <w:rsid w:val="60D013EE"/>
    <w:rsid w:val="60D76857"/>
    <w:rsid w:val="60DA47D1"/>
    <w:rsid w:val="60DB7CBD"/>
    <w:rsid w:val="60E723B1"/>
    <w:rsid w:val="60E82476"/>
    <w:rsid w:val="60EA1640"/>
    <w:rsid w:val="60EA64AE"/>
    <w:rsid w:val="60EE42A7"/>
    <w:rsid w:val="60F03F78"/>
    <w:rsid w:val="60F124F3"/>
    <w:rsid w:val="60F5158E"/>
    <w:rsid w:val="60FA4C7F"/>
    <w:rsid w:val="60FA6CF9"/>
    <w:rsid w:val="61016185"/>
    <w:rsid w:val="610614FF"/>
    <w:rsid w:val="6106468E"/>
    <w:rsid w:val="610B36BC"/>
    <w:rsid w:val="610C4B2A"/>
    <w:rsid w:val="61125B18"/>
    <w:rsid w:val="611403C5"/>
    <w:rsid w:val="61176556"/>
    <w:rsid w:val="6119503B"/>
    <w:rsid w:val="611B6B1B"/>
    <w:rsid w:val="611D6795"/>
    <w:rsid w:val="61207A18"/>
    <w:rsid w:val="61237FD6"/>
    <w:rsid w:val="61245C38"/>
    <w:rsid w:val="6125317D"/>
    <w:rsid w:val="612551C8"/>
    <w:rsid w:val="612C79EA"/>
    <w:rsid w:val="61303B73"/>
    <w:rsid w:val="61395E46"/>
    <w:rsid w:val="614403AA"/>
    <w:rsid w:val="61502526"/>
    <w:rsid w:val="615564D1"/>
    <w:rsid w:val="615F2EAC"/>
    <w:rsid w:val="615F7EBC"/>
    <w:rsid w:val="61642F6E"/>
    <w:rsid w:val="6166423A"/>
    <w:rsid w:val="6166574B"/>
    <w:rsid w:val="616B5E3D"/>
    <w:rsid w:val="616D6640"/>
    <w:rsid w:val="616F4464"/>
    <w:rsid w:val="617015EB"/>
    <w:rsid w:val="617446F6"/>
    <w:rsid w:val="61783A9E"/>
    <w:rsid w:val="61814297"/>
    <w:rsid w:val="618636A6"/>
    <w:rsid w:val="618A1D09"/>
    <w:rsid w:val="618A42B3"/>
    <w:rsid w:val="61916C75"/>
    <w:rsid w:val="61993BF0"/>
    <w:rsid w:val="61A10C17"/>
    <w:rsid w:val="61A34E7C"/>
    <w:rsid w:val="61AE0F07"/>
    <w:rsid w:val="61B54D11"/>
    <w:rsid w:val="61BD7BD2"/>
    <w:rsid w:val="61CD6D4E"/>
    <w:rsid w:val="61D27B22"/>
    <w:rsid w:val="61DF5D52"/>
    <w:rsid w:val="61E15E8E"/>
    <w:rsid w:val="61E24208"/>
    <w:rsid w:val="61EC0F74"/>
    <w:rsid w:val="61F25ACE"/>
    <w:rsid w:val="61F636DA"/>
    <w:rsid w:val="62066515"/>
    <w:rsid w:val="620F042E"/>
    <w:rsid w:val="621C6119"/>
    <w:rsid w:val="621E7876"/>
    <w:rsid w:val="621F2D18"/>
    <w:rsid w:val="622814F0"/>
    <w:rsid w:val="62312040"/>
    <w:rsid w:val="623567C2"/>
    <w:rsid w:val="623572AF"/>
    <w:rsid w:val="62393A85"/>
    <w:rsid w:val="62404A8B"/>
    <w:rsid w:val="625E56AB"/>
    <w:rsid w:val="6260072B"/>
    <w:rsid w:val="62614A02"/>
    <w:rsid w:val="62637548"/>
    <w:rsid w:val="626E78EE"/>
    <w:rsid w:val="6274464A"/>
    <w:rsid w:val="62763AF1"/>
    <w:rsid w:val="62797D43"/>
    <w:rsid w:val="627D7A8D"/>
    <w:rsid w:val="62862440"/>
    <w:rsid w:val="62865EBA"/>
    <w:rsid w:val="628847A1"/>
    <w:rsid w:val="628B49CE"/>
    <w:rsid w:val="6293483B"/>
    <w:rsid w:val="62A31488"/>
    <w:rsid w:val="62A41858"/>
    <w:rsid w:val="62B162CC"/>
    <w:rsid w:val="62B51744"/>
    <w:rsid w:val="62B80AC5"/>
    <w:rsid w:val="62C31218"/>
    <w:rsid w:val="62C34B8F"/>
    <w:rsid w:val="62C6265A"/>
    <w:rsid w:val="62C90F25"/>
    <w:rsid w:val="62D0048B"/>
    <w:rsid w:val="62DD6F23"/>
    <w:rsid w:val="62F242E9"/>
    <w:rsid w:val="62F66438"/>
    <w:rsid w:val="62F67AF4"/>
    <w:rsid w:val="62F853AB"/>
    <w:rsid w:val="63095644"/>
    <w:rsid w:val="630B281A"/>
    <w:rsid w:val="630F2238"/>
    <w:rsid w:val="63134F69"/>
    <w:rsid w:val="63194BD6"/>
    <w:rsid w:val="631A52DC"/>
    <w:rsid w:val="63220635"/>
    <w:rsid w:val="632F0B0D"/>
    <w:rsid w:val="63306C35"/>
    <w:rsid w:val="63324739"/>
    <w:rsid w:val="63374405"/>
    <w:rsid w:val="63397C0C"/>
    <w:rsid w:val="633A597E"/>
    <w:rsid w:val="633C129C"/>
    <w:rsid w:val="63415255"/>
    <w:rsid w:val="63417E28"/>
    <w:rsid w:val="634270BD"/>
    <w:rsid w:val="63463737"/>
    <w:rsid w:val="634B4DCA"/>
    <w:rsid w:val="6351473C"/>
    <w:rsid w:val="6352407E"/>
    <w:rsid w:val="63586F67"/>
    <w:rsid w:val="635A3730"/>
    <w:rsid w:val="635C1170"/>
    <w:rsid w:val="63627882"/>
    <w:rsid w:val="636E0BB4"/>
    <w:rsid w:val="6371658C"/>
    <w:rsid w:val="637349EC"/>
    <w:rsid w:val="63750765"/>
    <w:rsid w:val="6376143E"/>
    <w:rsid w:val="6377272F"/>
    <w:rsid w:val="63837BD4"/>
    <w:rsid w:val="6384309D"/>
    <w:rsid w:val="638773F8"/>
    <w:rsid w:val="638C79FA"/>
    <w:rsid w:val="638D079E"/>
    <w:rsid w:val="638E799F"/>
    <w:rsid w:val="639306E1"/>
    <w:rsid w:val="6393312C"/>
    <w:rsid w:val="63A0795A"/>
    <w:rsid w:val="63A55E71"/>
    <w:rsid w:val="63AF34A3"/>
    <w:rsid w:val="63C96D02"/>
    <w:rsid w:val="63D21EB4"/>
    <w:rsid w:val="63D5258C"/>
    <w:rsid w:val="63D53514"/>
    <w:rsid w:val="63D86F45"/>
    <w:rsid w:val="63E31B72"/>
    <w:rsid w:val="63F67486"/>
    <w:rsid w:val="640D32BA"/>
    <w:rsid w:val="640E7EF8"/>
    <w:rsid w:val="64101DEF"/>
    <w:rsid w:val="641A789D"/>
    <w:rsid w:val="641B34A7"/>
    <w:rsid w:val="64265F63"/>
    <w:rsid w:val="64273E8D"/>
    <w:rsid w:val="642F72CB"/>
    <w:rsid w:val="643556BD"/>
    <w:rsid w:val="643755BB"/>
    <w:rsid w:val="64466C9F"/>
    <w:rsid w:val="64487C27"/>
    <w:rsid w:val="6449047E"/>
    <w:rsid w:val="64595FB9"/>
    <w:rsid w:val="64596343"/>
    <w:rsid w:val="64602ECB"/>
    <w:rsid w:val="646A04E6"/>
    <w:rsid w:val="646B1616"/>
    <w:rsid w:val="64704A1E"/>
    <w:rsid w:val="64717A00"/>
    <w:rsid w:val="64733B00"/>
    <w:rsid w:val="6476731B"/>
    <w:rsid w:val="647D5BA9"/>
    <w:rsid w:val="649060EE"/>
    <w:rsid w:val="64947310"/>
    <w:rsid w:val="649602B9"/>
    <w:rsid w:val="649B079E"/>
    <w:rsid w:val="649E3CEB"/>
    <w:rsid w:val="64BC21B5"/>
    <w:rsid w:val="64BE4972"/>
    <w:rsid w:val="64C2717D"/>
    <w:rsid w:val="64D92F75"/>
    <w:rsid w:val="64DC13EB"/>
    <w:rsid w:val="64E035DA"/>
    <w:rsid w:val="64E5019E"/>
    <w:rsid w:val="64EA3B44"/>
    <w:rsid w:val="64EB5407"/>
    <w:rsid w:val="64EB734D"/>
    <w:rsid w:val="64EE1147"/>
    <w:rsid w:val="64F057AD"/>
    <w:rsid w:val="64F21FC4"/>
    <w:rsid w:val="64F32289"/>
    <w:rsid w:val="64F663D6"/>
    <w:rsid w:val="64FB01CE"/>
    <w:rsid w:val="64FD75E9"/>
    <w:rsid w:val="65057D7F"/>
    <w:rsid w:val="65172AB0"/>
    <w:rsid w:val="65181364"/>
    <w:rsid w:val="65190DCB"/>
    <w:rsid w:val="651A2F99"/>
    <w:rsid w:val="651D098A"/>
    <w:rsid w:val="6525249F"/>
    <w:rsid w:val="65253137"/>
    <w:rsid w:val="65265B43"/>
    <w:rsid w:val="65272F05"/>
    <w:rsid w:val="65293778"/>
    <w:rsid w:val="652A1A23"/>
    <w:rsid w:val="652B1487"/>
    <w:rsid w:val="65306A01"/>
    <w:rsid w:val="6531466B"/>
    <w:rsid w:val="65363F24"/>
    <w:rsid w:val="654428A3"/>
    <w:rsid w:val="65443893"/>
    <w:rsid w:val="6545645C"/>
    <w:rsid w:val="654623B5"/>
    <w:rsid w:val="655A3F62"/>
    <w:rsid w:val="655C07EE"/>
    <w:rsid w:val="655F2268"/>
    <w:rsid w:val="656071F2"/>
    <w:rsid w:val="656E7B61"/>
    <w:rsid w:val="657173F6"/>
    <w:rsid w:val="6581570A"/>
    <w:rsid w:val="65846298"/>
    <w:rsid w:val="65961297"/>
    <w:rsid w:val="659743AA"/>
    <w:rsid w:val="65A115F5"/>
    <w:rsid w:val="65A71F94"/>
    <w:rsid w:val="65AA43D7"/>
    <w:rsid w:val="65AA57C4"/>
    <w:rsid w:val="65B11495"/>
    <w:rsid w:val="65B61302"/>
    <w:rsid w:val="65C07DF2"/>
    <w:rsid w:val="65C634F9"/>
    <w:rsid w:val="65C96988"/>
    <w:rsid w:val="65CF0F49"/>
    <w:rsid w:val="65D528E8"/>
    <w:rsid w:val="65D9198F"/>
    <w:rsid w:val="65D976D1"/>
    <w:rsid w:val="65DA472E"/>
    <w:rsid w:val="65DD5807"/>
    <w:rsid w:val="65E16C83"/>
    <w:rsid w:val="65E54A75"/>
    <w:rsid w:val="65E72C06"/>
    <w:rsid w:val="65EA6118"/>
    <w:rsid w:val="65F30DD1"/>
    <w:rsid w:val="65F47BBB"/>
    <w:rsid w:val="65F56E82"/>
    <w:rsid w:val="65FA2720"/>
    <w:rsid w:val="6603586C"/>
    <w:rsid w:val="660773F9"/>
    <w:rsid w:val="66106E6A"/>
    <w:rsid w:val="66192713"/>
    <w:rsid w:val="661B73C4"/>
    <w:rsid w:val="662A5125"/>
    <w:rsid w:val="662B08ED"/>
    <w:rsid w:val="66371862"/>
    <w:rsid w:val="663A1133"/>
    <w:rsid w:val="664803B2"/>
    <w:rsid w:val="664C779D"/>
    <w:rsid w:val="664E5308"/>
    <w:rsid w:val="66521231"/>
    <w:rsid w:val="665C19BC"/>
    <w:rsid w:val="665C7888"/>
    <w:rsid w:val="665E7BD6"/>
    <w:rsid w:val="66602978"/>
    <w:rsid w:val="666845B1"/>
    <w:rsid w:val="66703465"/>
    <w:rsid w:val="66735264"/>
    <w:rsid w:val="66780B68"/>
    <w:rsid w:val="667D490E"/>
    <w:rsid w:val="667F7698"/>
    <w:rsid w:val="668A465F"/>
    <w:rsid w:val="668A62E0"/>
    <w:rsid w:val="668F7D8F"/>
    <w:rsid w:val="66967DE4"/>
    <w:rsid w:val="669E2658"/>
    <w:rsid w:val="66A7157D"/>
    <w:rsid w:val="66B57BC4"/>
    <w:rsid w:val="66BB0CBA"/>
    <w:rsid w:val="66BB4702"/>
    <w:rsid w:val="66C30973"/>
    <w:rsid w:val="66C35EC1"/>
    <w:rsid w:val="66C51382"/>
    <w:rsid w:val="66C665C2"/>
    <w:rsid w:val="66C83C7E"/>
    <w:rsid w:val="66D315F1"/>
    <w:rsid w:val="66DC1EC4"/>
    <w:rsid w:val="66DE7F19"/>
    <w:rsid w:val="66E0603C"/>
    <w:rsid w:val="66E16CED"/>
    <w:rsid w:val="66E7535E"/>
    <w:rsid w:val="66EA047F"/>
    <w:rsid w:val="66F606BF"/>
    <w:rsid w:val="66FA3043"/>
    <w:rsid w:val="66FE08E0"/>
    <w:rsid w:val="66FE72E9"/>
    <w:rsid w:val="66FF2224"/>
    <w:rsid w:val="670C096A"/>
    <w:rsid w:val="671432AA"/>
    <w:rsid w:val="6716438A"/>
    <w:rsid w:val="671818C4"/>
    <w:rsid w:val="672120EF"/>
    <w:rsid w:val="672A788D"/>
    <w:rsid w:val="672D0411"/>
    <w:rsid w:val="67331BC7"/>
    <w:rsid w:val="67340937"/>
    <w:rsid w:val="673741DC"/>
    <w:rsid w:val="673821D5"/>
    <w:rsid w:val="67385560"/>
    <w:rsid w:val="673A72A9"/>
    <w:rsid w:val="673C019D"/>
    <w:rsid w:val="674270EF"/>
    <w:rsid w:val="6743035F"/>
    <w:rsid w:val="674822B5"/>
    <w:rsid w:val="674A3CE2"/>
    <w:rsid w:val="67542BFC"/>
    <w:rsid w:val="67580987"/>
    <w:rsid w:val="676C102F"/>
    <w:rsid w:val="677B43EA"/>
    <w:rsid w:val="677D2654"/>
    <w:rsid w:val="678310D0"/>
    <w:rsid w:val="67832EDD"/>
    <w:rsid w:val="67872927"/>
    <w:rsid w:val="67885B41"/>
    <w:rsid w:val="678A03B6"/>
    <w:rsid w:val="678C2521"/>
    <w:rsid w:val="67990A44"/>
    <w:rsid w:val="679C7155"/>
    <w:rsid w:val="67A05F1E"/>
    <w:rsid w:val="67A56A5B"/>
    <w:rsid w:val="67B04461"/>
    <w:rsid w:val="67B564FA"/>
    <w:rsid w:val="67CE42FF"/>
    <w:rsid w:val="67D15555"/>
    <w:rsid w:val="67D7444F"/>
    <w:rsid w:val="67DA39F7"/>
    <w:rsid w:val="67E43526"/>
    <w:rsid w:val="67F325A0"/>
    <w:rsid w:val="67FA1B80"/>
    <w:rsid w:val="67FB6007"/>
    <w:rsid w:val="67FB6EEA"/>
    <w:rsid w:val="68046289"/>
    <w:rsid w:val="68093618"/>
    <w:rsid w:val="680C1882"/>
    <w:rsid w:val="680C6FF4"/>
    <w:rsid w:val="680E669A"/>
    <w:rsid w:val="68120C78"/>
    <w:rsid w:val="681847A9"/>
    <w:rsid w:val="681D3980"/>
    <w:rsid w:val="68231644"/>
    <w:rsid w:val="682A3342"/>
    <w:rsid w:val="683E6A47"/>
    <w:rsid w:val="684979F8"/>
    <w:rsid w:val="68550E93"/>
    <w:rsid w:val="68615945"/>
    <w:rsid w:val="686246AC"/>
    <w:rsid w:val="686A1362"/>
    <w:rsid w:val="686E48F9"/>
    <w:rsid w:val="686E70DF"/>
    <w:rsid w:val="68774F7F"/>
    <w:rsid w:val="68790C91"/>
    <w:rsid w:val="68803F14"/>
    <w:rsid w:val="6880516B"/>
    <w:rsid w:val="688057C1"/>
    <w:rsid w:val="68844450"/>
    <w:rsid w:val="68862870"/>
    <w:rsid w:val="6887004A"/>
    <w:rsid w:val="688B0A2A"/>
    <w:rsid w:val="688E447B"/>
    <w:rsid w:val="68945558"/>
    <w:rsid w:val="68945B43"/>
    <w:rsid w:val="689C49E5"/>
    <w:rsid w:val="689F48AC"/>
    <w:rsid w:val="68A45255"/>
    <w:rsid w:val="68A66782"/>
    <w:rsid w:val="68A96EBA"/>
    <w:rsid w:val="68AE74AE"/>
    <w:rsid w:val="68B510FF"/>
    <w:rsid w:val="68BB3114"/>
    <w:rsid w:val="68C161FA"/>
    <w:rsid w:val="68CA0F13"/>
    <w:rsid w:val="68D609B0"/>
    <w:rsid w:val="68D60C07"/>
    <w:rsid w:val="68D71474"/>
    <w:rsid w:val="68E234DF"/>
    <w:rsid w:val="68E67D87"/>
    <w:rsid w:val="68EA39A3"/>
    <w:rsid w:val="68ED488B"/>
    <w:rsid w:val="68EE07BD"/>
    <w:rsid w:val="68F51A7E"/>
    <w:rsid w:val="690401C1"/>
    <w:rsid w:val="69075EF2"/>
    <w:rsid w:val="690A5DF3"/>
    <w:rsid w:val="690D1B6F"/>
    <w:rsid w:val="690E3F3D"/>
    <w:rsid w:val="69112681"/>
    <w:rsid w:val="69121A0D"/>
    <w:rsid w:val="69147948"/>
    <w:rsid w:val="692253C4"/>
    <w:rsid w:val="692463AC"/>
    <w:rsid w:val="69294A14"/>
    <w:rsid w:val="692E4FB1"/>
    <w:rsid w:val="692F260D"/>
    <w:rsid w:val="69340F06"/>
    <w:rsid w:val="693637B8"/>
    <w:rsid w:val="69371C47"/>
    <w:rsid w:val="693B3310"/>
    <w:rsid w:val="694675AC"/>
    <w:rsid w:val="69484F05"/>
    <w:rsid w:val="694918D9"/>
    <w:rsid w:val="694B2559"/>
    <w:rsid w:val="694F1A58"/>
    <w:rsid w:val="695850C3"/>
    <w:rsid w:val="6959346C"/>
    <w:rsid w:val="69597D9B"/>
    <w:rsid w:val="695A6FD3"/>
    <w:rsid w:val="695B29D4"/>
    <w:rsid w:val="6964165D"/>
    <w:rsid w:val="6965068D"/>
    <w:rsid w:val="696835E0"/>
    <w:rsid w:val="69687BAF"/>
    <w:rsid w:val="696A1C78"/>
    <w:rsid w:val="696B417E"/>
    <w:rsid w:val="696C1E4C"/>
    <w:rsid w:val="697119CE"/>
    <w:rsid w:val="697414BE"/>
    <w:rsid w:val="697F24AC"/>
    <w:rsid w:val="69813320"/>
    <w:rsid w:val="698C6C23"/>
    <w:rsid w:val="698F08ED"/>
    <w:rsid w:val="69977968"/>
    <w:rsid w:val="699833FF"/>
    <w:rsid w:val="699A6FDC"/>
    <w:rsid w:val="69A73642"/>
    <w:rsid w:val="69A74239"/>
    <w:rsid w:val="69A753F0"/>
    <w:rsid w:val="69A80321"/>
    <w:rsid w:val="69AE2903"/>
    <w:rsid w:val="69AF23E0"/>
    <w:rsid w:val="69B020EE"/>
    <w:rsid w:val="69B830E4"/>
    <w:rsid w:val="69BA388C"/>
    <w:rsid w:val="69C15149"/>
    <w:rsid w:val="69C538FE"/>
    <w:rsid w:val="69C73CA4"/>
    <w:rsid w:val="69D533D8"/>
    <w:rsid w:val="69D94C19"/>
    <w:rsid w:val="69DB0E86"/>
    <w:rsid w:val="69EB2496"/>
    <w:rsid w:val="69EE6854"/>
    <w:rsid w:val="69F551BC"/>
    <w:rsid w:val="69FB396D"/>
    <w:rsid w:val="6A055AFD"/>
    <w:rsid w:val="6A0E3DE2"/>
    <w:rsid w:val="6A1050C8"/>
    <w:rsid w:val="6A1460F7"/>
    <w:rsid w:val="6A153417"/>
    <w:rsid w:val="6A1D4CFD"/>
    <w:rsid w:val="6A213D48"/>
    <w:rsid w:val="6A24120E"/>
    <w:rsid w:val="6A24611A"/>
    <w:rsid w:val="6A25497B"/>
    <w:rsid w:val="6A2922A9"/>
    <w:rsid w:val="6A32602D"/>
    <w:rsid w:val="6A3749CE"/>
    <w:rsid w:val="6A383C84"/>
    <w:rsid w:val="6A42352E"/>
    <w:rsid w:val="6A461A84"/>
    <w:rsid w:val="6A473C87"/>
    <w:rsid w:val="6A485D70"/>
    <w:rsid w:val="6A4B39B9"/>
    <w:rsid w:val="6A4C4D63"/>
    <w:rsid w:val="6A514D87"/>
    <w:rsid w:val="6A592CCA"/>
    <w:rsid w:val="6A5A565C"/>
    <w:rsid w:val="6A61403A"/>
    <w:rsid w:val="6A6629D9"/>
    <w:rsid w:val="6A67308E"/>
    <w:rsid w:val="6A7B657F"/>
    <w:rsid w:val="6A7F71F1"/>
    <w:rsid w:val="6A8804CD"/>
    <w:rsid w:val="6A8D2F29"/>
    <w:rsid w:val="6A8E7066"/>
    <w:rsid w:val="6A970EB5"/>
    <w:rsid w:val="6A9808F8"/>
    <w:rsid w:val="6A9B2928"/>
    <w:rsid w:val="6A9B3D11"/>
    <w:rsid w:val="6AA707F4"/>
    <w:rsid w:val="6AAA1F48"/>
    <w:rsid w:val="6AAE4C61"/>
    <w:rsid w:val="6AB53B3C"/>
    <w:rsid w:val="6AB91BFB"/>
    <w:rsid w:val="6ABB1B93"/>
    <w:rsid w:val="6AC63828"/>
    <w:rsid w:val="6ACD67F6"/>
    <w:rsid w:val="6AD1232D"/>
    <w:rsid w:val="6AD409CB"/>
    <w:rsid w:val="6AE772EF"/>
    <w:rsid w:val="6AEE4EB8"/>
    <w:rsid w:val="6AF22F6B"/>
    <w:rsid w:val="6AF249F9"/>
    <w:rsid w:val="6AF767D8"/>
    <w:rsid w:val="6B001250"/>
    <w:rsid w:val="6B0A20DA"/>
    <w:rsid w:val="6B0F56B0"/>
    <w:rsid w:val="6B144D07"/>
    <w:rsid w:val="6B1B7809"/>
    <w:rsid w:val="6B1D67D6"/>
    <w:rsid w:val="6B200140"/>
    <w:rsid w:val="6B2133F9"/>
    <w:rsid w:val="6B25125E"/>
    <w:rsid w:val="6B2C1DED"/>
    <w:rsid w:val="6B331E11"/>
    <w:rsid w:val="6B375916"/>
    <w:rsid w:val="6B3D1CCF"/>
    <w:rsid w:val="6B3D5DD5"/>
    <w:rsid w:val="6B41731D"/>
    <w:rsid w:val="6B4310F0"/>
    <w:rsid w:val="6B454EC0"/>
    <w:rsid w:val="6B49737F"/>
    <w:rsid w:val="6B4B7395"/>
    <w:rsid w:val="6B5B46E4"/>
    <w:rsid w:val="6B5F690C"/>
    <w:rsid w:val="6B6203C3"/>
    <w:rsid w:val="6B6337D3"/>
    <w:rsid w:val="6B646B63"/>
    <w:rsid w:val="6B682180"/>
    <w:rsid w:val="6B683E62"/>
    <w:rsid w:val="6B721E6A"/>
    <w:rsid w:val="6B7A43C2"/>
    <w:rsid w:val="6B8649A2"/>
    <w:rsid w:val="6B8F7851"/>
    <w:rsid w:val="6B927D96"/>
    <w:rsid w:val="6B9C2392"/>
    <w:rsid w:val="6BA50567"/>
    <w:rsid w:val="6BAA674E"/>
    <w:rsid w:val="6BB7260B"/>
    <w:rsid w:val="6BBD09A3"/>
    <w:rsid w:val="6BC70AFF"/>
    <w:rsid w:val="6BC95FBE"/>
    <w:rsid w:val="6BD01051"/>
    <w:rsid w:val="6BD06D58"/>
    <w:rsid w:val="6BD324B4"/>
    <w:rsid w:val="6BD376C3"/>
    <w:rsid w:val="6BE06B4D"/>
    <w:rsid w:val="6BE37148"/>
    <w:rsid w:val="6BF012D0"/>
    <w:rsid w:val="6BF568E6"/>
    <w:rsid w:val="6BF60036"/>
    <w:rsid w:val="6BFA5D1C"/>
    <w:rsid w:val="6C0D744E"/>
    <w:rsid w:val="6C0F351E"/>
    <w:rsid w:val="6C1B1B4B"/>
    <w:rsid w:val="6C1B1C34"/>
    <w:rsid w:val="6C1D408F"/>
    <w:rsid w:val="6C2129A8"/>
    <w:rsid w:val="6C233FFE"/>
    <w:rsid w:val="6C2473E2"/>
    <w:rsid w:val="6C2C7E2E"/>
    <w:rsid w:val="6C2E3502"/>
    <w:rsid w:val="6C2E507B"/>
    <w:rsid w:val="6C36182B"/>
    <w:rsid w:val="6C3C5B76"/>
    <w:rsid w:val="6C3F585D"/>
    <w:rsid w:val="6C4433CA"/>
    <w:rsid w:val="6C4E249B"/>
    <w:rsid w:val="6C5D70F0"/>
    <w:rsid w:val="6C5E361C"/>
    <w:rsid w:val="6C6121CE"/>
    <w:rsid w:val="6C721F25"/>
    <w:rsid w:val="6C735C95"/>
    <w:rsid w:val="6C7C0099"/>
    <w:rsid w:val="6C7C0AA2"/>
    <w:rsid w:val="6C7C1A24"/>
    <w:rsid w:val="6C7E6A3E"/>
    <w:rsid w:val="6C806473"/>
    <w:rsid w:val="6C8704B9"/>
    <w:rsid w:val="6C877372"/>
    <w:rsid w:val="6C8C499D"/>
    <w:rsid w:val="6C8D4FBC"/>
    <w:rsid w:val="6C8E0AE9"/>
    <w:rsid w:val="6C9018AA"/>
    <w:rsid w:val="6C924CB9"/>
    <w:rsid w:val="6C9B395E"/>
    <w:rsid w:val="6C9D32F9"/>
    <w:rsid w:val="6C9F2E2D"/>
    <w:rsid w:val="6CA31164"/>
    <w:rsid w:val="6CA56D32"/>
    <w:rsid w:val="6CA621E6"/>
    <w:rsid w:val="6CA82C6D"/>
    <w:rsid w:val="6CAA286D"/>
    <w:rsid w:val="6CB06CB1"/>
    <w:rsid w:val="6CB14960"/>
    <w:rsid w:val="6CB25A9E"/>
    <w:rsid w:val="6CB9586D"/>
    <w:rsid w:val="6CBF6EF4"/>
    <w:rsid w:val="6CC2216D"/>
    <w:rsid w:val="6CC40A68"/>
    <w:rsid w:val="6CC4275D"/>
    <w:rsid w:val="6CC74ADD"/>
    <w:rsid w:val="6CC812CF"/>
    <w:rsid w:val="6CCE2502"/>
    <w:rsid w:val="6CD036FB"/>
    <w:rsid w:val="6CD07AE8"/>
    <w:rsid w:val="6CD1561B"/>
    <w:rsid w:val="6CD72FCB"/>
    <w:rsid w:val="6CD862C0"/>
    <w:rsid w:val="6CDB75EB"/>
    <w:rsid w:val="6CE14BC2"/>
    <w:rsid w:val="6CE57A0C"/>
    <w:rsid w:val="6CF44F96"/>
    <w:rsid w:val="6D042B59"/>
    <w:rsid w:val="6D054BDE"/>
    <w:rsid w:val="6D194492"/>
    <w:rsid w:val="6D2D3E5E"/>
    <w:rsid w:val="6D2F2A49"/>
    <w:rsid w:val="6D301BA0"/>
    <w:rsid w:val="6D311556"/>
    <w:rsid w:val="6D380067"/>
    <w:rsid w:val="6D3949B0"/>
    <w:rsid w:val="6D3D3707"/>
    <w:rsid w:val="6D4139AB"/>
    <w:rsid w:val="6D417E6A"/>
    <w:rsid w:val="6D4B7F3F"/>
    <w:rsid w:val="6D4E1A12"/>
    <w:rsid w:val="6D4E6203"/>
    <w:rsid w:val="6D564640"/>
    <w:rsid w:val="6D6D2BE8"/>
    <w:rsid w:val="6D7E0B5E"/>
    <w:rsid w:val="6D85239E"/>
    <w:rsid w:val="6D97577B"/>
    <w:rsid w:val="6D9F2342"/>
    <w:rsid w:val="6DA8371A"/>
    <w:rsid w:val="6DAF4438"/>
    <w:rsid w:val="6DB11460"/>
    <w:rsid w:val="6DB4632D"/>
    <w:rsid w:val="6DB84FFE"/>
    <w:rsid w:val="6DB90313"/>
    <w:rsid w:val="6DC1079E"/>
    <w:rsid w:val="6DC43B2F"/>
    <w:rsid w:val="6DC76061"/>
    <w:rsid w:val="6DC90B13"/>
    <w:rsid w:val="6DCC4190"/>
    <w:rsid w:val="6DD24A05"/>
    <w:rsid w:val="6DD53D40"/>
    <w:rsid w:val="6DD54F00"/>
    <w:rsid w:val="6DDE15FC"/>
    <w:rsid w:val="6DDE6DF8"/>
    <w:rsid w:val="6DDF1469"/>
    <w:rsid w:val="6DE011C9"/>
    <w:rsid w:val="6DE8774D"/>
    <w:rsid w:val="6DEA6CA1"/>
    <w:rsid w:val="6DF34FC7"/>
    <w:rsid w:val="6E093B5C"/>
    <w:rsid w:val="6E10778A"/>
    <w:rsid w:val="6E153270"/>
    <w:rsid w:val="6E2078ED"/>
    <w:rsid w:val="6E214123"/>
    <w:rsid w:val="6E240889"/>
    <w:rsid w:val="6E2B4F2C"/>
    <w:rsid w:val="6E367FAB"/>
    <w:rsid w:val="6E3E0EC5"/>
    <w:rsid w:val="6E44601A"/>
    <w:rsid w:val="6E490B0C"/>
    <w:rsid w:val="6E4E2964"/>
    <w:rsid w:val="6E4F6056"/>
    <w:rsid w:val="6E5E2223"/>
    <w:rsid w:val="6E6222E0"/>
    <w:rsid w:val="6E62393D"/>
    <w:rsid w:val="6E64096A"/>
    <w:rsid w:val="6E6A60FE"/>
    <w:rsid w:val="6E6C1738"/>
    <w:rsid w:val="6E6F69DE"/>
    <w:rsid w:val="6E755FBA"/>
    <w:rsid w:val="6E762B49"/>
    <w:rsid w:val="6E77085E"/>
    <w:rsid w:val="6E840B1D"/>
    <w:rsid w:val="6E890E16"/>
    <w:rsid w:val="6E8C1058"/>
    <w:rsid w:val="6E9109F8"/>
    <w:rsid w:val="6E9C2C91"/>
    <w:rsid w:val="6EA357E4"/>
    <w:rsid w:val="6EA97E5C"/>
    <w:rsid w:val="6EB15CB6"/>
    <w:rsid w:val="6EBF3966"/>
    <w:rsid w:val="6ECA5608"/>
    <w:rsid w:val="6ED021EF"/>
    <w:rsid w:val="6ED36C87"/>
    <w:rsid w:val="6ED77206"/>
    <w:rsid w:val="6EE51C07"/>
    <w:rsid w:val="6EEA5523"/>
    <w:rsid w:val="6EF07839"/>
    <w:rsid w:val="6EF4643C"/>
    <w:rsid w:val="6EFE1506"/>
    <w:rsid w:val="6F03131A"/>
    <w:rsid w:val="6F046E40"/>
    <w:rsid w:val="6F052E60"/>
    <w:rsid w:val="6F096908"/>
    <w:rsid w:val="6F0C07FA"/>
    <w:rsid w:val="6F0E1165"/>
    <w:rsid w:val="6F0E44E0"/>
    <w:rsid w:val="6F1F3C7A"/>
    <w:rsid w:val="6F221EA7"/>
    <w:rsid w:val="6F2C4BE6"/>
    <w:rsid w:val="6F2F0361"/>
    <w:rsid w:val="6F306A3D"/>
    <w:rsid w:val="6F325ABD"/>
    <w:rsid w:val="6F331EBE"/>
    <w:rsid w:val="6F337774"/>
    <w:rsid w:val="6F3516F0"/>
    <w:rsid w:val="6F3E67F6"/>
    <w:rsid w:val="6F4161BC"/>
    <w:rsid w:val="6F442E4C"/>
    <w:rsid w:val="6F4516EF"/>
    <w:rsid w:val="6F480A49"/>
    <w:rsid w:val="6F4B4A6F"/>
    <w:rsid w:val="6F5926CE"/>
    <w:rsid w:val="6F5D0EF8"/>
    <w:rsid w:val="6F601593"/>
    <w:rsid w:val="6F603DF0"/>
    <w:rsid w:val="6F67449E"/>
    <w:rsid w:val="6F69268E"/>
    <w:rsid w:val="6F6969C4"/>
    <w:rsid w:val="6F6D6EFC"/>
    <w:rsid w:val="6F71476E"/>
    <w:rsid w:val="6F786EC0"/>
    <w:rsid w:val="6F7D095A"/>
    <w:rsid w:val="6F8F0E00"/>
    <w:rsid w:val="6F927F20"/>
    <w:rsid w:val="6F98690F"/>
    <w:rsid w:val="6F9962A0"/>
    <w:rsid w:val="6F9B61FE"/>
    <w:rsid w:val="6FA814CE"/>
    <w:rsid w:val="6FAB550E"/>
    <w:rsid w:val="6FC56DC0"/>
    <w:rsid w:val="6FCB207F"/>
    <w:rsid w:val="6FD1766A"/>
    <w:rsid w:val="6FD2684F"/>
    <w:rsid w:val="6FD607DD"/>
    <w:rsid w:val="6FDA7297"/>
    <w:rsid w:val="6FE503EB"/>
    <w:rsid w:val="6FE87674"/>
    <w:rsid w:val="6FE9394F"/>
    <w:rsid w:val="6FF27D90"/>
    <w:rsid w:val="6FF705A5"/>
    <w:rsid w:val="6FF80D6B"/>
    <w:rsid w:val="6FFC5B72"/>
    <w:rsid w:val="6FFD0B7C"/>
    <w:rsid w:val="6FFD10AE"/>
    <w:rsid w:val="6FFF3D84"/>
    <w:rsid w:val="6FFF7B62"/>
    <w:rsid w:val="7002345F"/>
    <w:rsid w:val="7006539C"/>
    <w:rsid w:val="70152F98"/>
    <w:rsid w:val="70166C61"/>
    <w:rsid w:val="701C1A25"/>
    <w:rsid w:val="701D7F1F"/>
    <w:rsid w:val="702754DC"/>
    <w:rsid w:val="702D6624"/>
    <w:rsid w:val="703C2D95"/>
    <w:rsid w:val="70400FEB"/>
    <w:rsid w:val="704100AD"/>
    <w:rsid w:val="70456F45"/>
    <w:rsid w:val="704D054A"/>
    <w:rsid w:val="70512827"/>
    <w:rsid w:val="70532129"/>
    <w:rsid w:val="706320EB"/>
    <w:rsid w:val="706E4D11"/>
    <w:rsid w:val="70796810"/>
    <w:rsid w:val="707C7493"/>
    <w:rsid w:val="70811470"/>
    <w:rsid w:val="70812315"/>
    <w:rsid w:val="708279E6"/>
    <w:rsid w:val="7084648B"/>
    <w:rsid w:val="70867C60"/>
    <w:rsid w:val="708734D7"/>
    <w:rsid w:val="708A0934"/>
    <w:rsid w:val="708D0303"/>
    <w:rsid w:val="70904E30"/>
    <w:rsid w:val="70907FD6"/>
    <w:rsid w:val="709C192B"/>
    <w:rsid w:val="70A01F58"/>
    <w:rsid w:val="70A02275"/>
    <w:rsid w:val="70A97C9F"/>
    <w:rsid w:val="70B31492"/>
    <w:rsid w:val="70B4539A"/>
    <w:rsid w:val="70B5419B"/>
    <w:rsid w:val="70B953F5"/>
    <w:rsid w:val="70BD6007"/>
    <w:rsid w:val="70C0504A"/>
    <w:rsid w:val="70C05B2E"/>
    <w:rsid w:val="70CD2F51"/>
    <w:rsid w:val="70CD5A29"/>
    <w:rsid w:val="70D1512C"/>
    <w:rsid w:val="70D640B4"/>
    <w:rsid w:val="70DC1913"/>
    <w:rsid w:val="70E21A21"/>
    <w:rsid w:val="70E24BEF"/>
    <w:rsid w:val="70E76F7C"/>
    <w:rsid w:val="70EA0566"/>
    <w:rsid w:val="70EB3FF5"/>
    <w:rsid w:val="70F553FE"/>
    <w:rsid w:val="70F74EAF"/>
    <w:rsid w:val="70FC3CB3"/>
    <w:rsid w:val="70FD3EC5"/>
    <w:rsid w:val="70FE7C5F"/>
    <w:rsid w:val="71010203"/>
    <w:rsid w:val="71085C15"/>
    <w:rsid w:val="710C6CB1"/>
    <w:rsid w:val="7112412F"/>
    <w:rsid w:val="7113565F"/>
    <w:rsid w:val="7113780F"/>
    <w:rsid w:val="7114594E"/>
    <w:rsid w:val="71166BA7"/>
    <w:rsid w:val="711B729D"/>
    <w:rsid w:val="711E2C1A"/>
    <w:rsid w:val="711F2D68"/>
    <w:rsid w:val="711F5C1E"/>
    <w:rsid w:val="712830BA"/>
    <w:rsid w:val="713003C1"/>
    <w:rsid w:val="71391DF9"/>
    <w:rsid w:val="714125CE"/>
    <w:rsid w:val="71622982"/>
    <w:rsid w:val="71732E7D"/>
    <w:rsid w:val="71754116"/>
    <w:rsid w:val="717958C4"/>
    <w:rsid w:val="717E4D76"/>
    <w:rsid w:val="71830612"/>
    <w:rsid w:val="71870241"/>
    <w:rsid w:val="719767C3"/>
    <w:rsid w:val="71996DCA"/>
    <w:rsid w:val="719F4172"/>
    <w:rsid w:val="71A11C27"/>
    <w:rsid w:val="71A843FB"/>
    <w:rsid w:val="71AE5BBE"/>
    <w:rsid w:val="71B267B2"/>
    <w:rsid w:val="71B91C6A"/>
    <w:rsid w:val="71BD2B1D"/>
    <w:rsid w:val="71C00F2C"/>
    <w:rsid w:val="71C56D5B"/>
    <w:rsid w:val="71CD3E62"/>
    <w:rsid w:val="71D3720A"/>
    <w:rsid w:val="71D42DD7"/>
    <w:rsid w:val="71D905DE"/>
    <w:rsid w:val="71E10787"/>
    <w:rsid w:val="71E42E63"/>
    <w:rsid w:val="71E60B97"/>
    <w:rsid w:val="71E82A49"/>
    <w:rsid w:val="71E97AF7"/>
    <w:rsid w:val="71F15DA2"/>
    <w:rsid w:val="71F433D6"/>
    <w:rsid w:val="71F65122"/>
    <w:rsid w:val="71FC5842"/>
    <w:rsid w:val="72066346"/>
    <w:rsid w:val="72114FBC"/>
    <w:rsid w:val="72135723"/>
    <w:rsid w:val="72177E58"/>
    <w:rsid w:val="72183F06"/>
    <w:rsid w:val="721C23F7"/>
    <w:rsid w:val="72234806"/>
    <w:rsid w:val="7223529A"/>
    <w:rsid w:val="7225028B"/>
    <w:rsid w:val="72281BBF"/>
    <w:rsid w:val="722B2FE5"/>
    <w:rsid w:val="724242FA"/>
    <w:rsid w:val="724A19B1"/>
    <w:rsid w:val="72507332"/>
    <w:rsid w:val="72534367"/>
    <w:rsid w:val="725727D1"/>
    <w:rsid w:val="7258666F"/>
    <w:rsid w:val="726056E6"/>
    <w:rsid w:val="726544DB"/>
    <w:rsid w:val="72672147"/>
    <w:rsid w:val="726F3F24"/>
    <w:rsid w:val="727228E9"/>
    <w:rsid w:val="727B597C"/>
    <w:rsid w:val="727D2198"/>
    <w:rsid w:val="728210E7"/>
    <w:rsid w:val="72827E74"/>
    <w:rsid w:val="72835423"/>
    <w:rsid w:val="7285473C"/>
    <w:rsid w:val="728C7879"/>
    <w:rsid w:val="728D21D6"/>
    <w:rsid w:val="728D40C9"/>
    <w:rsid w:val="72936E59"/>
    <w:rsid w:val="72943CCD"/>
    <w:rsid w:val="7296109C"/>
    <w:rsid w:val="729877BA"/>
    <w:rsid w:val="729A01E8"/>
    <w:rsid w:val="72A83CCB"/>
    <w:rsid w:val="72A929CE"/>
    <w:rsid w:val="72B76AB6"/>
    <w:rsid w:val="72B80F82"/>
    <w:rsid w:val="72C13B3C"/>
    <w:rsid w:val="72DA0439"/>
    <w:rsid w:val="72DB39D6"/>
    <w:rsid w:val="72E77940"/>
    <w:rsid w:val="72F378F8"/>
    <w:rsid w:val="72FD55E1"/>
    <w:rsid w:val="731318BA"/>
    <w:rsid w:val="731943A1"/>
    <w:rsid w:val="731F0D75"/>
    <w:rsid w:val="732478B7"/>
    <w:rsid w:val="73262EFD"/>
    <w:rsid w:val="732950C8"/>
    <w:rsid w:val="733075B8"/>
    <w:rsid w:val="73367EE0"/>
    <w:rsid w:val="73384E5B"/>
    <w:rsid w:val="733946D7"/>
    <w:rsid w:val="733C6D88"/>
    <w:rsid w:val="7342275B"/>
    <w:rsid w:val="734455A9"/>
    <w:rsid w:val="734B2D21"/>
    <w:rsid w:val="73527541"/>
    <w:rsid w:val="73556D76"/>
    <w:rsid w:val="73560E2D"/>
    <w:rsid w:val="73564C7B"/>
    <w:rsid w:val="73683E42"/>
    <w:rsid w:val="73720088"/>
    <w:rsid w:val="73750462"/>
    <w:rsid w:val="73764EF3"/>
    <w:rsid w:val="73774510"/>
    <w:rsid w:val="73814F04"/>
    <w:rsid w:val="738467A2"/>
    <w:rsid w:val="73920EBF"/>
    <w:rsid w:val="73B95AAB"/>
    <w:rsid w:val="73BA2380"/>
    <w:rsid w:val="73BF6AB5"/>
    <w:rsid w:val="73C13FE4"/>
    <w:rsid w:val="73C8159D"/>
    <w:rsid w:val="73D17C39"/>
    <w:rsid w:val="73D31DB8"/>
    <w:rsid w:val="73D908E0"/>
    <w:rsid w:val="73DB0AB8"/>
    <w:rsid w:val="73E53C68"/>
    <w:rsid w:val="73E81F07"/>
    <w:rsid w:val="73EF4760"/>
    <w:rsid w:val="73F0400E"/>
    <w:rsid w:val="73F21A92"/>
    <w:rsid w:val="73F651BB"/>
    <w:rsid w:val="73FC27DC"/>
    <w:rsid w:val="73FC458A"/>
    <w:rsid w:val="73FD1BCE"/>
    <w:rsid w:val="73FF1AF8"/>
    <w:rsid w:val="74050ACC"/>
    <w:rsid w:val="740578E3"/>
    <w:rsid w:val="740C48BD"/>
    <w:rsid w:val="7417005A"/>
    <w:rsid w:val="74195A40"/>
    <w:rsid w:val="741A3E73"/>
    <w:rsid w:val="741A4126"/>
    <w:rsid w:val="741B7106"/>
    <w:rsid w:val="741D6F29"/>
    <w:rsid w:val="7422055D"/>
    <w:rsid w:val="74241BC2"/>
    <w:rsid w:val="742A1968"/>
    <w:rsid w:val="74333431"/>
    <w:rsid w:val="74374032"/>
    <w:rsid w:val="744B7E00"/>
    <w:rsid w:val="74551836"/>
    <w:rsid w:val="74580C3F"/>
    <w:rsid w:val="7460720F"/>
    <w:rsid w:val="74634609"/>
    <w:rsid w:val="746356D7"/>
    <w:rsid w:val="74670DDC"/>
    <w:rsid w:val="74672E12"/>
    <w:rsid w:val="746A2805"/>
    <w:rsid w:val="746C4DC6"/>
    <w:rsid w:val="746E36DA"/>
    <w:rsid w:val="746E5488"/>
    <w:rsid w:val="746F33CF"/>
    <w:rsid w:val="7479332C"/>
    <w:rsid w:val="747957E7"/>
    <w:rsid w:val="74846456"/>
    <w:rsid w:val="7486644D"/>
    <w:rsid w:val="748A0E2F"/>
    <w:rsid w:val="748C5B37"/>
    <w:rsid w:val="74921746"/>
    <w:rsid w:val="749661FE"/>
    <w:rsid w:val="74977CD1"/>
    <w:rsid w:val="749B1623"/>
    <w:rsid w:val="74A818C0"/>
    <w:rsid w:val="74AA048A"/>
    <w:rsid w:val="74B233DA"/>
    <w:rsid w:val="74B310ED"/>
    <w:rsid w:val="74B3767B"/>
    <w:rsid w:val="74B47C1A"/>
    <w:rsid w:val="74BC563B"/>
    <w:rsid w:val="74BF136C"/>
    <w:rsid w:val="74C200B7"/>
    <w:rsid w:val="74C47C0A"/>
    <w:rsid w:val="74C74B98"/>
    <w:rsid w:val="74CF0811"/>
    <w:rsid w:val="74D00851"/>
    <w:rsid w:val="74D24758"/>
    <w:rsid w:val="74D544AD"/>
    <w:rsid w:val="74D66DDE"/>
    <w:rsid w:val="74DA48CB"/>
    <w:rsid w:val="74DA4E33"/>
    <w:rsid w:val="74DB1272"/>
    <w:rsid w:val="74E120FE"/>
    <w:rsid w:val="74E96DD5"/>
    <w:rsid w:val="74EE58CC"/>
    <w:rsid w:val="74F15FFD"/>
    <w:rsid w:val="74F4582D"/>
    <w:rsid w:val="74F66086"/>
    <w:rsid w:val="75070B12"/>
    <w:rsid w:val="75126C05"/>
    <w:rsid w:val="751D1E40"/>
    <w:rsid w:val="753052F5"/>
    <w:rsid w:val="75355643"/>
    <w:rsid w:val="75371EAC"/>
    <w:rsid w:val="753B3F97"/>
    <w:rsid w:val="753D44CF"/>
    <w:rsid w:val="753E7141"/>
    <w:rsid w:val="7546499C"/>
    <w:rsid w:val="754E0333"/>
    <w:rsid w:val="754E362A"/>
    <w:rsid w:val="75516444"/>
    <w:rsid w:val="755724D2"/>
    <w:rsid w:val="75610111"/>
    <w:rsid w:val="75611574"/>
    <w:rsid w:val="7564688B"/>
    <w:rsid w:val="75745001"/>
    <w:rsid w:val="757A7E5C"/>
    <w:rsid w:val="757C6529"/>
    <w:rsid w:val="757D0B89"/>
    <w:rsid w:val="757D6D40"/>
    <w:rsid w:val="75807799"/>
    <w:rsid w:val="75815503"/>
    <w:rsid w:val="7583321F"/>
    <w:rsid w:val="75846F2D"/>
    <w:rsid w:val="75847234"/>
    <w:rsid w:val="758652A7"/>
    <w:rsid w:val="758910EC"/>
    <w:rsid w:val="75BD35EA"/>
    <w:rsid w:val="75C55E31"/>
    <w:rsid w:val="75CE1DA3"/>
    <w:rsid w:val="75D43B1A"/>
    <w:rsid w:val="75DA6B4D"/>
    <w:rsid w:val="75DE783B"/>
    <w:rsid w:val="75F1537D"/>
    <w:rsid w:val="75F9494F"/>
    <w:rsid w:val="75FA5C7B"/>
    <w:rsid w:val="76055621"/>
    <w:rsid w:val="760E38A2"/>
    <w:rsid w:val="760E71C5"/>
    <w:rsid w:val="761553F4"/>
    <w:rsid w:val="761B3282"/>
    <w:rsid w:val="761E38A0"/>
    <w:rsid w:val="762741BB"/>
    <w:rsid w:val="762E06CB"/>
    <w:rsid w:val="762E6ADF"/>
    <w:rsid w:val="76310FAE"/>
    <w:rsid w:val="7631148F"/>
    <w:rsid w:val="763A05EC"/>
    <w:rsid w:val="763B4E80"/>
    <w:rsid w:val="763D4FF1"/>
    <w:rsid w:val="76404A23"/>
    <w:rsid w:val="7648697C"/>
    <w:rsid w:val="765165A0"/>
    <w:rsid w:val="76563E2D"/>
    <w:rsid w:val="76571EDE"/>
    <w:rsid w:val="765C7F58"/>
    <w:rsid w:val="76616F56"/>
    <w:rsid w:val="76641664"/>
    <w:rsid w:val="766C79CA"/>
    <w:rsid w:val="7673381B"/>
    <w:rsid w:val="76782CEE"/>
    <w:rsid w:val="767926E5"/>
    <w:rsid w:val="767A147A"/>
    <w:rsid w:val="76821AD4"/>
    <w:rsid w:val="76830747"/>
    <w:rsid w:val="76832CC7"/>
    <w:rsid w:val="768A0E63"/>
    <w:rsid w:val="768E5BD6"/>
    <w:rsid w:val="76925496"/>
    <w:rsid w:val="7699708E"/>
    <w:rsid w:val="76A6424B"/>
    <w:rsid w:val="76A92EDB"/>
    <w:rsid w:val="76AB197B"/>
    <w:rsid w:val="76AE3493"/>
    <w:rsid w:val="76B95CB6"/>
    <w:rsid w:val="76C24C05"/>
    <w:rsid w:val="76CA64E6"/>
    <w:rsid w:val="76CD24DB"/>
    <w:rsid w:val="76D70CCC"/>
    <w:rsid w:val="76D853AD"/>
    <w:rsid w:val="76E5543A"/>
    <w:rsid w:val="76EA563D"/>
    <w:rsid w:val="76EC6B38"/>
    <w:rsid w:val="76F5018F"/>
    <w:rsid w:val="76FA305B"/>
    <w:rsid w:val="77026128"/>
    <w:rsid w:val="77050821"/>
    <w:rsid w:val="7705257C"/>
    <w:rsid w:val="770833E6"/>
    <w:rsid w:val="7715608F"/>
    <w:rsid w:val="771A3A94"/>
    <w:rsid w:val="771B11CB"/>
    <w:rsid w:val="77242691"/>
    <w:rsid w:val="77245137"/>
    <w:rsid w:val="773003C7"/>
    <w:rsid w:val="7731796B"/>
    <w:rsid w:val="77325D05"/>
    <w:rsid w:val="77327299"/>
    <w:rsid w:val="77387FCF"/>
    <w:rsid w:val="77390C06"/>
    <w:rsid w:val="773A2764"/>
    <w:rsid w:val="773D2EB2"/>
    <w:rsid w:val="774150D6"/>
    <w:rsid w:val="77425209"/>
    <w:rsid w:val="77454A08"/>
    <w:rsid w:val="77485900"/>
    <w:rsid w:val="77493565"/>
    <w:rsid w:val="774A69A6"/>
    <w:rsid w:val="774C0931"/>
    <w:rsid w:val="774D3A7A"/>
    <w:rsid w:val="775362A8"/>
    <w:rsid w:val="775374BF"/>
    <w:rsid w:val="77572D18"/>
    <w:rsid w:val="775D533C"/>
    <w:rsid w:val="776A18E4"/>
    <w:rsid w:val="77701517"/>
    <w:rsid w:val="777D5582"/>
    <w:rsid w:val="77804564"/>
    <w:rsid w:val="77804B10"/>
    <w:rsid w:val="77815892"/>
    <w:rsid w:val="778E4CF4"/>
    <w:rsid w:val="7798281C"/>
    <w:rsid w:val="77A15B74"/>
    <w:rsid w:val="77A86F03"/>
    <w:rsid w:val="77AD53BA"/>
    <w:rsid w:val="77C576C5"/>
    <w:rsid w:val="77C713B8"/>
    <w:rsid w:val="77D2308F"/>
    <w:rsid w:val="77D87048"/>
    <w:rsid w:val="77D950FF"/>
    <w:rsid w:val="77DB6D31"/>
    <w:rsid w:val="77E003E9"/>
    <w:rsid w:val="77E9489D"/>
    <w:rsid w:val="77F75B81"/>
    <w:rsid w:val="77FC0FFD"/>
    <w:rsid w:val="78047EB1"/>
    <w:rsid w:val="78054A83"/>
    <w:rsid w:val="780B1A1C"/>
    <w:rsid w:val="780B272A"/>
    <w:rsid w:val="780F6A87"/>
    <w:rsid w:val="781520BE"/>
    <w:rsid w:val="781623AD"/>
    <w:rsid w:val="781834EF"/>
    <w:rsid w:val="78197CD6"/>
    <w:rsid w:val="781A4B60"/>
    <w:rsid w:val="78214F90"/>
    <w:rsid w:val="78236589"/>
    <w:rsid w:val="782462DA"/>
    <w:rsid w:val="782505DB"/>
    <w:rsid w:val="782C44C6"/>
    <w:rsid w:val="782E7500"/>
    <w:rsid w:val="78324A1E"/>
    <w:rsid w:val="78465B78"/>
    <w:rsid w:val="78476152"/>
    <w:rsid w:val="784A2B59"/>
    <w:rsid w:val="78521F47"/>
    <w:rsid w:val="78526BD1"/>
    <w:rsid w:val="785350DC"/>
    <w:rsid w:val="78542D9B"/>
    <w:rsid w:val="78566E8E"/>
    <w:rsid w:val="785F6803"/>
    <w:rsid w:val="786224E2"/>
    <w:rsid w:val="78686C9C"/>
    <w:rsid w:val="786B58A2"/>
    <w:rsid w:val="786F7A21"/>
    <w:rsid w:val="787E07EA"/>
    <w:rsid w:val="7880578A"/>
    <w:rsid w:val="78822047"/>
    <w:rsid w:val="78831E7F"/>
    <w:rsid w:val="788A3FC0"/>
    <w:rsid w:val="78946340"/>
    <w:rsid w:val="7899684C"/>
    <w:rsid w:val="789F3C48"/>
    <w:rsid w:val="78A31478"/>
    <w:rsid w:val="78B02139"/>
    <w:rsid w:val="78B14FE4"/>
    <w:rsid w:val="78BD72D9"/>
    <w:rsid w:val="78BE2756"/>
    <w:rsid w:val="78BE5AE9"/>
    <w:rsid w:val="78C25DA2"/>
    <w:rsid w:val="78C46E7A"/>
    <w:rsid w:val="78C93BCB"/>
    <w:rsid w:val="78C94685"/>
    <w:rsid w:val="78CE2726"/>
    <w:rsid w:val="78D1522B"/>
    <w:rsid w:val="78D27783"/>
    <w:rsid w:val="78D368B1"/>
    <w:rsid w:val="78DE2C21"/>
    <w:rsid w:val="78E77DE0"/>
    <w:rsid w:val="78E84CFE"/>
    <w:rsid w:val="78F23B4E"/>
    <w:rsid w:val="78F33AD5"/>
    <w:rsid w:val="78FD0611"/>
    <w:rsid w:val="78FD72E3"/>
    <w:rsid w:val="79004A6A"/>
    <w:rsid w:val="790371CD"/>
    <w:rsid w:val="79052281"/>
    <w:rsid w:val="79064FD2"/>
    <w:rsid w:val="790C526F"/>
    <w:rsid w:val="790C5C60"/>
    <w:rsid w:val="790C7233"/>
    <w:rsid w:val="791707F1"/>
    <w:rsid w:val="791800B8"/>
    <w:rsid w:val="791F5B8A"/>
    <w:rsid w:val="79223F27"/>
    <w:rsid w:val="79254A62"/>
    <w:rsid w:val="792F59B0"/>
    <w:rsid w:val="79301967"/>
    <w:rsid w:val="79347157"/>
    <w:rsid w:val="79400629"/>
    <w:rsid w:val="79412E2C"/>
    <w:rsid w:val="794B1A4D"/>
    <w:rsid w:val="794F1D9E"/>
    <w:rsid w:val="79524843"/>
    <w:rsid w:val="79573168"/>
    <w:rsid w:val="795F5188"/>
    <w:rsid w:val="79613A09"/>
    <w:rsid w:val="79667075"/>
    <w:rsid w:val="796A1D88"/>
    <w:rsid w:val="796D3031"/>
    <w:rsid w:val="796E57F9"/>
    <w:rsid w:val="7970626C"/>
    <w:rsid w:val="79757D28"/>
    <w:rsid w:val="797A2905"/>
    <w:rsid w:val="797F1EE5"/>
    <w:rsid w:val="7987347F"/>
    <w:rsid w:val="798B066E"/>
    <w:rsid w:val="799027E7"/>
    <w:rsid w:val="799118B9"/>
    <w:rsid w:val="79995A8A"/>
    <w:rsid w:val="799B435A"/>
    <w:rsid w:val="799F16DB"/>
    <w:rsid w:val="79A01A7E"/>
    <w:rsid w:val="79AD24F9"/>
    <w:rsid w:val="79B7167F"/>
    <w:rsid w:val="79BB0D3E"/>
    <w:rsid w:val="79D23D37"/>
    <w:rsid w:val="79D247C8"/>
    <w:rsid w:val="79D80DE1"/>
    <w:rsid w:val="79DB1359"/>
    <w:rsid w:val="79DF07CA"/>
    <w:rsid w:val="79E32D74"/>
    <w:rsid w:val="79E85CDC"/>
    <w:rsid w:val="79EB7165"/>
    <w:rsid w:val="79F273C5"/>
    <w:rsid w:val="79FE3A64"/>
    <w:rsid w:val="7A027042"/>
    <w:rsid w:val="7A050383"/>
    <w:rsid w:val="7A0D199C"/>
    <w:rsid w:val="7A101829"/>
    <w:rsid w:val="7A13684A"/>
    <w:rsid w:val="7A3B1965"/>
    <w:rsid w:val="7A3B3E4D"/>
    <w:rsid w:val="7A402936"/>
    <w:rsid w:val="7A416871"/>
    <w:rsid w:val="7A49604F"/>
    <w:rsid w:val="7A4D710B"/>
    <w:rsid w:val="7A4E498A"/>
    <w:rsid w:val="7A4F707A"/>
    <w:rsid w:val="7A571170"/>
    <w:rsid w:val="7A5D724B"/>
    <w:rsid w:val="7A5D77B5"/>
    <w:rsid w:val="7A5D7C02"/>
    <w:rsid w:val="7A670835"/>
    <w:rsid w:val="7A676AD2"/>
    <w:rsid w:val="7A6E7286"/>
    <w:rsid w:val="7A6F2104"/>
    <w:rsid w:val="7A7032EC"/>
    <w:rsid w:val="7A74131E"/>
    <w:rsid w:val="7A7606C9"/>
    <w:rsid w:val="7A7A2B49"/>
    <w:rsid w:val="7A7F5642"/>
    <w:rsid w:val="7A830788"/>
    <w:rsid w:val="7A850C66"/>
    <w:rsid w:val="7A8913FE"/>
    <w:rsid w:val="7A952E0C"/>
    <w:rsid w:val="7A9579C2"/>
    <w:rsid w:val="7A9B0737"/>
    <w:rsid w:val="7AA1532A"/>
    <w:rsid w:val="7AA15E8B"/>
    <w:rsid w:val="7AA95E50"/>
    <w:rsid w:val="7AAB23E4"/>
    <w:rsid w:val="7AAC738F"/>
    <w:rsid w:val="7AB60349"/>
    <w:rsid w:val="7ABB0AF3"/>
    <w:rsid w:val="7ABB4519"/>
    <w:rsid w:val="7AC2254E"/>
    <w:rsid w:val="7AC9085A"/>
    <w:rsid w:val="7AD10E26"/>
    <w:rsid w:val="7AD80103"/>
    <w:rsid w:val="7AD97CC6"/>
    <w:rsid w:val="7ADE49EA"/>
    <w:rsid w:val="7AE158DE"/>
    <w:rsid w:val="7AE2769C"/>
    <w:rsid w:val="7AE50B9C"/>
    <w:rsid w:val="7AEE5721"/>
    <w:rsid w:val="7AF661D7"/>
    <w:rsid w:val="7AF728FC"/>
    <w:rsid w:val="7AFE4A85"/>
    <w:rsid w:val="7AFF3122"/>
    <w:rsid w:val="7B000E04"/>
    <w:rsid w:val="7B005D53"/>
    <w:rsid w:val="7B021AC5"/>
    <w:rsid w:val="7B035AEB"/>
    <w:rsid w:val="7B075010"/>
    <w:rsid w:val="7B1E40BD"/>
    <w:rsid w:val="7B1E68F1"/>
    <w:rsid w:val="7B295FF2"/>
    <w:rsid w:val="7B2B14F4"/>
    <w:rsid w:val="7B300F5E"/>
    <w:rsid w:val="7B332F87"/>
    <w:rsid w:val="7B381E17"/>
    <w:rsid w:val="7B405972"/>
    <w:rsid w:val="7B4259FA"/>
    <w:rsid w:val="7B433243"/>
    <w:rsid w:val="7B436CFB"/>
    <w:rsid w:val="7B456FD9"/>
    <w:rsid w:val="7B465BB9"/>
    <w:rsid w:val="7B477284"/>
    <w:rsid w:val="7B4772F4"/>
    <w:rsid w:val="7B5257A6"/>
    <w:rsid w:val="7B5612AC"/>
    <w:rsid w:val="7B6205F8"/>
    <w:rsid w:val="7B642F35"/>
    <w:rsid w:val="7B69222A"/>
    <w:rsid w:val="7B6A569E"/>
    <w:rsid w:val="7B6B54D2"/>
    <w:rsid w:val="7B6F7FCC"/>
    <w:rsid w:val="7B7B66DC"/>
    <w:rsid w:val="7B7C7733"/>
    <w:rsid w:val="7B8732D3"/>
    <w:rsid w:val="7B8776F0"/>
    <w:rsid w:val="7B8C0FD9"/>
    <w:rsid w:val="7B8E3AE2"/>
    <w:rsid w:val="7B8E47B5"/>
    <w:rsid w:val="7B8F6F3F"/>
    <w:rsid w:val="7B914152"/>
    <w:rsid w:val="7B925767"/>
    <w:rsid w:val="7B946B3A"/>
    <w:rsid w:val="7BA37CD7"/>
    <w:rsid w:val="7BA76564"/>
    <w:rsid w:val="7BA775E1"/>
    <w:rsid w:val="7BAE0860"/>
    <w:rsid w:val="7BB55F9A"/>
    <w:rsid w:val="7BBB53F1"/>
    <w:rsid w:val="7BC3103A"/>
    <w:rsid w:val="7BD115E9"/>
    <w:rsid w:val="7BDA3864"/>
    <w:rsid w:val="7BDC780C"/>
    <w:rsid w:val="7BE40725"/>
    <w:rsid w:val="7BF0370A"/>
    <w:rsid w:val="7BF41193"/>
    <w:rsid w:val="7BF44B00"/>
    <w:rsid w:val="7BF5549E"/>
    <w:rsid w:val="7BFF7665"/>
    <w:rsid w:val="7C03617D"/>
    <w:rsid w:val="7C0641F8"/>
    <w:rsid w:val="7C0910C0"/>
    <w:rsid w:val="7C09379A"/>
    <w:rsid w:val="7C0E4DEA"/>
    <w:rsid w:val="7C271606"/>
    <w:rsid w:val="7C291ADF"/>
    <w:rsid w:val="7C2F67A8"/>
    <w:rsid w:val="7C3C2F1B"/>
    <w:rsid w:val="7C3D2E9E"/>
    <w:rsid w:val="7C4B2553"/>
    <w:rsid w:val="7C4C06B1"/>
    <w:rsid w:val="7C56585B"/>
    <w:rsid w:val="7C5A1E80"/>
    <w:rsid w:val="7C5A2D6D"/>
    <w:rsid w:val="7C5B09E8"/>
    <w:rsid w:val="7C611D72"/>
    <w:rsid w:val="7C6244E9"/>
    <w:rsid w:val="7C6506DE"/>
    <w:rsid w:val="7C765E57"/>
    <w:rsid w:val="7C767471"/>
    <w:rsid w:val="7C7B5BE6"/>
    <w:rsid w:val="7C7E21C7"/>
    <w:rsid w:val="7C7F1785"/>
    <w:rsid w:val="7C8523E8"/>
    <w:rsid w:val="7C8F610B"/>
    <w:rsid w:val="7C917628"/>
    <w:rsid w:val="7C9D03E1"/>
    <w:rsid w:val="7CBE4C6D"/>
    <w:rsid w:val="7CCB05A7"/>
    <w:rsid w:val="7CCB7501"/>
    <w:rsid w:val="7CCC47EE"/>
    <w:rsid w:val="7CD07A5D"/>
    <w:rsid w:val="7CD71E45"/>
    <w:rsid w:val="7CE07837"/>
    <w:rsid w:val="7CE107C1"/>
    <w:rsid w:val="7CE32AF6"/>
    <w:rsid w:val="7CE32E74"/>
    <w:rsid w:val="7CE5729A"/>
    <w:rsid w:val="7CEA057A"/>
    <w:rsid w:val="7CEA1D6C"/>
    <w:rsid w:val="7CF96085"/>
    <w:rsid w:val="7CFC4F7F"/>
    <w:rsid w:val="7D0237C0"/>
    <w:rsid w:val="7D025F9F"/>
    <w:rsid w:val="7D05037D"/>
    <w:rsid w:val="7D073CC1"/>
    <w:rsid w:val="7D1426D3"/>
    <w:rsid w:val="7D153343"/>
    <w:rsid w:val="7D174053"/>
    <w:rsid w:val="7D194830"/>
    <w:rsid w:val="7D1C1377"/>
    <w:rsid w:val="7D20075D"/>
    <w:rsid w:val="7D3D1757"/>
    <w:rsid w:val="7D402886"/>
    <w:rsid w:val="7D423179"/>
    <w:rsid w:val="7D43607B"/>
    <w:rsid w:val="7D4732BC"/>
    <w:rsid w:val="7D48291D"/>
    <w:rsid w:val="7D4B7561"/>
    <w:rsid w:val="7D4C6E08"/>
    <w:rsid w:val="7D55776E"/>
    <w:rsid w:val="7D5C509C"/>
    <w:rsid w:val="7D601FE7"/>
    <w:rsid w:val="7D673A7E"/>
    <w:rsid w:val="7D6829F7"/>
    <w:rsid w:val="7D695EF3"/>
    <w:rsid w:val="7D6C2789"/>
    <w:rsid w:val="7D6E361E"/>
    <w:rsid w:val="7D6F0FFF"/>
    <w:rsid w:val="7D6F2271"/>
    <w:rsid w:val="7D6F401F"/>
    <w:rsid w:val="7D6F6D88"/>
    <w:rsid w:val="7D706ACF"/>
    <w:rsid w:val="7D782E08"/>
    <w:rsid w:val="7D8775BA"/>
    <w:rsid w:val="7D890155"/>
    <w:rsid w:val="7D8A6AEF"/>
    <w:rsid w:val="7D8A6EE8"/>
    <w:rsid w:val="7D8C1D91"/>
    <w:rsid w:val="7D9130D3"/>
    <w:rsid w:val="7D947E0D"/>
    <w:rsid w:val="7DA343D2"/>
    <w:rsid w:val="7DA62C15"/>
    <w:rsid w:val="7DAE22FB"/>
    <w:rsid w:val="7DB104D7"/>
    <w:rsid w:val="7DB51DDB"/>
    <w:rsid w:val="7DBA542D"/>
    <w:rsid w:val="7DC70315"/>
    <w:rsid w:val="7DC85B97"/>
    <w:rsid w:val="7DCD40C6"/>
    <w:rsid w:val="7DD7690A"/>
    <w:rsid w:val="7DE464B0"/>
    <w:rsid w:val="7DE828C7"/>
    <w:rsid w:val="7DEE72BB"/>
    <w:rsid w:val="7DF34C50"/>
    <w:rsid w:val="7DF75802"/>
    <w:rsid w:val="7DFB3177"/>
    <w:rsid w:val="7DFD5ACF"/>
    <w:rsid w:val="7DFF2AF9"/>
    <w:rsid w:val="7E064437"/>
    <w:rsid w:val="7E1073FF"/>
    <w:rsid w:val="7E112F83"/>
    <w:rsid w:val="7E13238A"/>
    <w:rsid w:val="7E1C2ED5"/>
    <w:rsid w:val="7E1F7718"/>
    <w:rsid w:val="7E26003B"/>
    <w:rsid w:val="7E26239D"/>
    <w:rsid w:val="7E271586"/>
    <w:rsid w:val="7E275541"/>
    <w:rsid w:val="7E2D5BBB"/>
    <w:rsid w:val="7E2E2947"/>
    <w:rsid w:val="7E370FE0"/>
    <w:rsid w:val="7E3D3DD8"/>
    <w:rsid w:val="7E4C03C0"/>
    <w:rsid w:val="7E4E6D88"/>
    <w:rsid w:val="7E4F2AA8"/>
    <w:rsid w:val="7E500514"/>
    <w:rsid w:val="7E5703C8"/>
    <w:rsid w:val="7E600690"/>
    <w:rsid w:val="7E617E0B"/>
    <w:rsid w:val="7E6752B5"/>
    <w:rsid w:val="7E685AA3"/>
    <w:rsid w:val="7E6A3C0F"/>
    <w:rsid w:val="7E7038F5"/>
    <w:rsid w:val="7E7A711F"/>
    <w:rsid w:val="7E802BC2"/>
    <w:rsid w:val="7E8F0E3F"/>
    <w:rsid w:val="7E975B86"/>
    <w:rsid w:val="7E995B6B"/>
    <w:rsid w:val="7E9B12ED"/>
    <w:rsid w:val="7EAB3264"/>
    <w:rsid w:val="7EB63698"/>
    <w:rsid w:val="7EB807AF"/>
    <w:rsid w:val="7EB875CC"/>
    <w:rsid w:val="7EB97C47"/>
    <w:rsid w:val="7EBE750B"/>
    <w:rsid w:val="7EC17154"/>
    <w:rsid w:val="7ECB2049"/>
    <w:rsid w:val="7ED20FC0"/>
    <w:rsid w:val="7ED81315"/>
    <w:rsid w:val="7EDC23E1"/>
    <w:rsid w:val="7EE049A9"/>
    <w:rsid w:val="7EE17FD8"/>
    <w:rsid w:val="7EE909BD"/>
    <w:rsid w:val="7EEB5927"/>
    <w:rsid w:val="7EEC5114"/>
    <w:rsid w:val="7EF173E1"/>
    <w:rsid w:val="7EF40727"/>
    <w:rsid w:val="7EF424EA"/>
    <w:rsid w:val="7EF944E8"/>
    <w:rsid w:val="7F0F5B58"/>
    <w:rsid w:val="7F1629A4"/>
    <w:rsid w:val="7F1654DD"/>
    <w:rsid w:val="7F177C8B"/>
    <w:rsid w:val="7F196066"/>
    <w:rsid w:val="7F1B44D1"/>
    <w:rsid w:val="7F1E7D25"/>
    <w:rsid w:val="7F230B1F"/>
    <w:rsid w:val="7F2826D7"/>
    <w:rsid w:val="7F315C4E"/>
    <w:rsid w:val="7F3379FA"/>
    <w:rsid w:val="7F405831"/>
    <w:rsid w:val="7F406673"/>
    <w:rsid w:val="7F410824"/>
    <w:rsid w:val="7F41103C"/>
    <w:rsid w:val="7F461D53"/>
    <w:rsid w:val="7F5F14F8"/>
    <w:rsid w:val="7F657AB0"/>
    <w:rsid w:val="7F6668DF"/>
    <w:rsid w:val="7F69039C"/>
    <w:rsid w:val="7F7359FE"/>
    <w:rsid w:val="7F741AA4"/>
    <w:rsid w:val="7F756601"/>
    <w:rsid w:val="7F76502A"/>
    <w:rsid w:val="7F782A26"/>
    <w:rsid w:val="7F786E24"/>
    <w:rsid w:val="7F7E679B"/>
    <w:rsid w:val="7F857B2A"/>
    <w:rsid w:val="7F8D0FC0"/>
    <w:rsid w:val="7F980D98"/>
    <w:rsid w:val="7F986534"/>
    <w:rsid w:val="7FA6039E"/>
    <w:rsid w:val="7FA61E62"/>
    <w:rsid w:val="7FA72D71"/>
    <w:rsid w:val="7FAE42A8"/>
    <w:rsid w:val="7FB10704"/>
    <w:rsid w:val="7FB57B3D"/>
    <w:rsid w:val="7FB57BAF"/>
    <w:rsid w:val="7FBD5E46"/>
    <w:rsid w:val="7FC94EA5"/>
    <w:rsid w:val="7FCB5DAB"/>
    <w:rsid w:val="7FD37116"/>
    <w:rsid w:val="7FD57715"/>
    <w:rsid w:val="7FD57782"/>
    <w:rsid w:val="7FD8234F"/>
    <w:rsid w:val="7FD94F20"/>
    <w:rsid w:val="7FDE6C66"/>
    <w:rsid w:val="7FE034A8"/>
    <w:rsid w:val="7FE2648A"/>
    <w:rsid w:val="7FEB2190"/>
    <w:rsid w:val="7FEB64C4"/>
    <w:rsid w:val="7FEB6869"/>
    <w:rsid w:val="7FF73EC0"/>
    <w:rsid w:val="7FF828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仿宋" w:hAnsi="仿宋" w:eastAsia="仿宋" w:cs="仿宋"/>
      <w:kern w:val="2"/>
      <w:sz w:val="28"/>
      <w:szCs w:val="28"/>
      <w:lang w:val="en-US" w:eastAsia="zh-CN" w:bidi="ar-SA"/>
    </w:rPr>
  </w:style>
  <w:style w:type="paragraph" w:styleId="3">
    <w:name w:val="heading 1"/>
    <w:basedOn w:val="1"/>
    <w:next w:val="1"/>
    <w:link w:val="56"/>
    <w:qFormat/>
    <w:uiPriority w:val="0"/>
    <w:pPr>
      <w:keepNext/>
      <w:keepLines/>
      <w:spacing w:before="340" w:after="330" w:line="576" w:lineRule="auto"/>
      <w:outlineLvl w:val="0"/>
    </w:pPr>
    <w:rPr>
      <w:b/>
      <w:kern w:val="44"/>
      <w:sz w:val="44"/>
    </w:rPr>
  </w:style>
  <w:style w:type="paragraph" w:styleId="4">
    <w:name w:val="heading 2"/>
    <w:basedOn w:val="1"/>
    <w:next w:val="1"/>
    <w:link w:val="57"/>
    <w:qFormat/>
    <w:uiPriority w:val="0"/>
    <w:pPr>
      <w:keepNext/>
      <w:keepLines/>
      <w:spacing w:before="260" w:after="260" w:line="413" w:lineRule="auto"/>
      <w:outlineLvl w:val="1"/>
    </w:pPr>
    <w:rPr>
      <w:rFonts w:ascii="Arial" w:hAnsi="Arial" w:eastAsia="黑体"/>
      <w:b/>
      <w:sz w:val="32"/>
    </w:rPr>
  </w:style>
  <w:style w:type="paragraph" w:styleId="2">
    <w:name w:val="heading 6"/>
    <w:basedOn w:val="1"/>
    <w:next w:val="1"/>
    <w:qFormat/>
    <w:uiPriority w:val="0"/>
    <w:pPr>
      <w:keepNext/>
      <w:keepLines/>
      <w:tabs>
        <w:tab w:val="left" w:pos="1151"/>
      </w:tabs>
      <w:spacing w:line="320" w:lineRule="auto"/>
      <w:ind w:left="1151" w:hanging="1151"/>
      <w:outlineLvl w:val="5"/>
    </w:pPr>
    <w:rPr>
      <w:rFonts w:ascii="Cambria" w:hAnsi="Cambria"/>
      <w:b/>
      <w:bCs/>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3"/>
    <w:unhideWhenUsed/>
    <w:qFormat/>
    <w:uiPriority w:val="99"/>
    <w:rPr>
      <w:rFonts w:ascii="宋体"/>
      <w:sz w:val="18"/>
      <w:szCs w:val="18"/>
    </w:rPr>
  </w:style>
  <w:style w:type="paragraph" w:styleId="6">
    <w:name w:val="annotation text"/>
    <w:basedOn w:val="1"/>
    <w:link w:val="52"/>
    <w:unhideWhenUsed/>
    <w:qFormat/>
    <w:uiPriority w:val="0"/>
    <w:pPr>
      <w:jc w:val="left"/>
    </w:pPr>
  </w:style>
  <w:style w:type="paragraph" w:styleId="7">
    <w:name w:val="Body Text"/>
    <w:basedOn w:val="1"/>
    <w:next w:val="1"/>
    <w:link w:val="34"/>
    <w:qFormat/>
    <w:uiPriority w:val="0"/>
    <w:rPr>
      <w:rFonts w:ascii="仿宋_GB2312" w:eastAsia="仿宋_GB2312"/>
      <w:sz w:val="30"/>
    </w:rPr>
  </w:style>
  <w:style w:type="paragraph" w:styleId="8">
    <w:name w:val="toc 3"/>
    <w:basedOn w:val="1"/>
    <w:next w:val="1"/>
    <w:semiHidden/>
    <w:unhideWhenUsed/>
    <w:qFormat/>
    <w:uiPriority w:val="39"/>
    <w:pPr>
      <w:ind w:left="840" w:leftChars="400"/>
    </w:pPr>
  </w:style>
  <w:style w:type="paragraph" w:styleId="9">
    <w:name w:val="Date"/>
    <w:basedOn w:val="1"/>
    <w:next w:val="1"/>
    <w:link w:val="58"/>
    <w:qFormat/>
    <w:uiPriority w:val="0"/>
    <w:pPr>
      <w:ind w:left="100" w:leftChars="2500"/>
    </w:pPr>
  </w:style>
  <w:style w:type="paragraph" w:styleId="10">
    <w:name w:val="Balloon Text"/>
    <w:basedOn w:val="1"/>
    <w:link w:val="31"/>
    <w:unhideWhenUsed/>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szCs w:val="18"/>
    </w:rPr>
  </w:style>
  <w:style w:type="paragraph" w:styleId="12">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pPr>
      <w:spacing w:after="100" w:line="276" w:lineRule="auto"/>
      <w:jc w:val="left"/>
    </w:pPr>
    <w:rPr>
      <w:kern w:val="0"/>
      <w:sz w:val="22"/>
    </w:rPr>
  </w:style>
  <w:style w:type="paragraph" w:styleId="14">
    <w:name w:val="footnote text"/>
    <w:basedOn w:val="1"/>
    <w:semiHidden/>
    <w:unhideWhenUsed/>
    <w:qFormat/>
    <w:uiPriority w:val="99"/>
    <w:pPr>
      <w:snapToGrid w:val="0"/>
      <w:jc w:val="left"/>
    </w:pPr>
    <w:rPr>
      <w:sz w:val="18"/>
    </w:rPr>
  </w:style>
  <w:style w:type="paragraph" w:styleId="15">
    <w:name w:val="Body Text Indent 3"/>
    <w:basedOn w:val="1"/>
    <w:unhideWhenUsed/>
    <w:qFormat/>
    <w:uiPriority w:val="99"/>
    <w:pPr>
      <w:spacing w:after="120"/>
      <w:ind w:left="420" w:leftChars="200"/>
    </w:pPr>
    <w:rPr>
      <w:sz w:val="16"/>
    </w:rPr>
  </w:style>
  <w:style w:type="paragraph" w:styleId="16">
    <w:name w:val="toc 2"/>
    <w:basedOn w:val="1"/>
    <w:next w:val="1"/>
    <w:qFormat/>
    <w:uiPriority w:val="99"/>
    <w:pPr>
      <w:spacing w:after="100" w:line="276" w:lineRule="auto"/>
      <w:ind w:left="220"/>
      <w:jc w:val="left"/>
    </w:pPr>
    <w:rPr>
      <w:kern w:val="0"/>
      <w:sz w:val="22"/>
    </w:rPr>
  </w:style>
  <w:style w:type="paragraph" w:styleId="17">
    <w:name w:val="Normal (Web)"/>
    <w:basedOn w:val="1"/>
    <w:qFormat/>
    <w:uiPriority w:val="99"/>
    <w:pPr>
      <w:widowControl w:val="0"/>
    </w:pPr>
    <w:rPr>
      <w:rFonts w:ascii="Calibri" w:hAnsi="Calibri" w:eastAsia="宋体" w:cs="Times New Roman"/>
      <w:sz w:val="24"/>
      <w:szCs w:val="24"/>
    </w:rPr>
  </w:style>
  <w:style w:type="paragraph" w:styleId="18">
    <w:name w:val="annotation subject"/>
    <w:basedOn w:val="6"/>
    <w:next w:val="6"/>
    <w:link w:val="53"/>
    <w:semiHidden/>
    <w:unhideWhenUsed/>
    <w:qFormat/>
    <w:uiPriority w:val="99"/>
    <w:rPr>
      <w:b/>
      <w:bCs/>
    </w:rPr>
  </w:style>
  <w:style w:type="table" w:styleId="20">
    <w:name w:val="Table Grid"/>
    <w:basedOn w:val="19"/>
    <w:qFormat/>
    <w:uiPriority w:val="0"/>
    <w:rPr>
      <w:rFonts w:ascii="Calibri" w:hAnsi="Calibri"/>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page number"/>
    <w:basedOn w:val="21"/>
    <w:qFormat/>
    <w:uiPriority w:val="0"/>
  </w:style>
  <w:style w:type="character" w:styleId="23">
    <w:name w:val="Emphasis"/>
    <w:basedOn w:val="21"/>
    <w:qFormat/>
    <w:uiPriority w:val="20"/>
    <w:rPr>
      <w:rFonts w:ascii="微软雅黑" w:hAnsi="微软雅黑" w:eastAsia="微软雅黑" w:cs="微软雅黑"/>
      <w:sz w:val="24"/>
      <w:szCs w:val="24"/>
      <w:vertAlign w:val="baseline"/>
    </w:rPr>
  </w:style>
  <w:style w:type="character" w:styleId="24">
    <w:name w:val="Hyperlink"/>
    <w:basedOn w:val="21"/>
    <w:unhideWhenUsed/>
    <w:qFormat/>
    <w:uiPriority w:val="99"/>
    <w:rPr>
      <w:color w:val="000000"/>
      <w:u w:val="none"/>
    </w:rPr>
  </w:style>
  <w:style w:type="character" w:styleId="25">
    <w:name w:val="annotation reference"/>
    <w:basedOn w:val="21"/>
    <w:semiHidden/>
    <w:unhideWhenUsed/>
    <w:qFormat/>
    <w:uiPriority w:val="99"/>
    <w:rPr>
      <w:sz w:val="21"/>
      <w:szCs w:val="21"/>
    </w:rPr>
  </w:style>
  <w:style w:type="character" w:styleId="26">
    <w:name w:val="footnote reference"/>
    <w:basedOn w:val="21"/>
    <w:semiHidden/>
    <w:unhideWhenUsed/>
    <w:qFormat/>
    <w:uiPriority w:val="99"/>
    <w:rPr>
      <w:vertAlign w:val="superscript"/>
    </w:rPr>
  </w:style>
  <w:style w:type="paragraph" w:customStyle="1" w:styleId="27">
    <w:name w:val="正文首行缩进1"/>
    <w:basedOn w:val="1"/>
    <w:qFormat/>
    <w:uiPriority w:val="0"/>
    <w:pPr>
      <w:spacing w:after="120"/>
      <w:ind w:firstLine="100" w:firstLineChars="100"/>
    </w:pPr>
  </w:style>
  <w:style w:type="paragraph" w:customStyle="1" w:styleId="28">
    <w:name w:val="Char"/>
    <w:basedOn w:val="1"/>
    <w:qFormat/>
    <w:uiPriority w:val="0"/>
  </w:style>
  <w:style w:type="character" w:customStyle="1" w:styleId="29">
    <w:name w:val="页脚 字符"/>
    <w:basedOn w:val="21"/>
    <w:link w:val="11"/>
    <w:qFormat/>
    <w:uiPriority w:val="99"/>
    <w:rPr>
      <w:kern w:val="2"/>
      <w:sz w:val="18"/>
      <w:szCs w:val="18"/>
    </w:rPr>
  </w:style>
  <w:style w:type="paragraph" w:customStyle="1" w:styleId="30">
    <w:name w:val="列表段落1"/>
    <w:basedOn w:val="1"/>
    <w:qFormat/>
    <w:uiPriority w:val="34"/>
    <w:pPr>
      <w:ind w:firstLine="420" w:firstLineChars="200"/>
    </w:pPr>
  </w:style>
  <w:style w:type="character" w:customStyle="1" w:styleId="31">
    <w:name w:val="批注框文本 字符"/>
    <w:basedOn w:val="21"/>
    <w:link w:val="10"/>
    <w:qFormat/>
    <w:uiPriority w:val="99"/>
    <w:rPr>
      <w:kern w:val="2"/>
      <w:sz w:val="18"/>
      <w:szCs w:val="18"/>
    </w:rPr>
  </w:style>
  <w:style w:type="character" w:customStyle="1" w:styleId="32">
    <w:name w:val="占位符文本1"/>
    <w:basedOn w:val="21"/>
    <w:semiHidden/>
    <w:qFormat/>
    <w:uiPriority w:val="99"/>
    <w:rPr>
      <w:color w:val="808080"/>
    </w:rPr>
  </w:style>
  <w:style w:type="character" w:customStyle="1" w:styleId="33">
    <w:name w:val="文档结构图 字符"/>
    <w:basedOn w:val="21"/>
    <w:link w:val="5"/>
    <w:qFormat/>
    <w:uiPriority w:val="99"/>
    <w:rPr>
      <w:rFonts w:ascii="宋体"/>
      <w:kern w:val="2"/>
      <w:sz w:val="18"/>
      <w:szCs w:val="18"/>
    </w:rPr>
  </w:style>
  <w:style w:type="character" w:customStyle="1" w:styleId="34">
    <w:name w:val="正文文本 字符"/>
    <w:basedOn w:val="21"/>
    <w:link w:val="7"/>
    <w:qFormat/>
    <w:uiPriority w:val="0"/>
    <w:rPr>
      <w:rFonts w:ascii="仿宋_GB2312" w:eastAsia="仿宋_GB2312"/>
      <w:kern w:val="2"/>
      <w:sz w:val="30"/>
      <w:szCs w:val="24"/>
    </w:rPr>
  </w:style>
  <w:style w:type="character" w:customStyle="1" w:styleId="35">
    <w:name w:val="页眉 字符"/>
    <w:basedOn w:val="21"/>
    <w:link w:val="12"/>
    <w:qFormat/>
    <w:uiPriority w:val="0"/>
    <w:rPr>
      <w:kern w:val="2"/>
      <w:sz w:val="18"/>
      <w:szCs w:val="18"/>
    </w:rPr>
  </w:style>
  <w:style w:type="paragraph" w:customStyle="1" w:styleId="36">
    <w:name w:val="p0"/>
    <w:basedOn w:val="1"/>
    <w:qFormat/>
    <w:uiPriority w:val="0"/>
    <w:pPr>
      <w:snapToGrid w:val="0"/>
      <w:spacing w:before="120" w:line="360" w:lineRule="auto"/>
      <w:ind w:firstLine="425"/>
      <w:jc w:val="left"/>
    </w:pPr>
    <w:rPr>
      <w:rFonts w:ascii="宋体" w:hAnsi="宋体" w:cs="宋体"/>
      <w:kern w:val="0"/>
      <w:sz w:val="24"/>
    </w:rPr>
  </w:style>
  <w:style w:type="paragraph" w:customStyle="1" w:styleId="37">
    <w:name w:val="WPSOffice手动目录 1"/>
    <w:qFormat/>
    <w:uiPriority w:val="0"/>
    <w:pPr>
      <w:jc w:val="both"/>
    </w:pPr>
    <w:rPr>
      <w:rFonts w:ascii="Times New Roman" w:hAnsi="Times New Roman" w:eastAsia="宋体" w:cs="Times New Roman"/>
      <w:kern w:val="2"/>
      <w:lang w:val="en-US" w:eastAsia="zh-CN" w:bidi="ar-SA"/>
    </w:rPr>
  </w:style>
  <w:style w:type="paragraph" w:customStyle="1" w:styleId="38">
    <w:name w:val="WPSOffice手动目录 2"/>
    <w:qFormat/>
    <w:uiPriority w:val="0"/>
    <w:pPr>
      <w:ind w:left="200" w:leftChars="200"/>
      <w:jc w:val="both"/>
    </w:pPr>
    <w:rPr>
      <w:rFonts w:ascii="Times New Roman" w:hAnsi="Times New Roman" w:eastAsia="宋体" w:cs="Times New Roman"/>
      <w:kern w:val="2"/>
      <w:lang w:val="en-US" w:eastAsia="zh-CN" w:bidi="ar-SA"/>
    </w:rPr>
  </w:style>
  <w:style w:type="character" w:customStyle="1" w:styleId="39">
    <w:name w:val="font41"/>
    <w:basedOn w:val="21"/>
    <w:qFormat/>
    <w:uiPriority w:val="0"/>
    <w:rPr>
      <w:rFonts w:hint="eastAsia" w:ascii="仿宋" w:hAnsi="仿宋" w:eastAsia="仿宋" w:cs="仿宋"/>
      <w:color w:val="000000"/>
      <w:sz w:val="18"/>
      <w:szCs w:val="18"/>
      <w:u w:val="none"/>
    </w:rPr>
  </w:style>
  <w:style w:type="character" w:customStyle="1" w:styleId="40">
    <w:name w:val="font81"/>
    <w:basedOn w:val="21"/>
    <w:qFormat/>
    <w:uiPriority w:val="0"/>
    <w:rPr>
      <w:rFonts w:hint="eastAsia" w:ascii="仿宋" w:hAnsi="仿宋" w:eastAsia="仿宋" w:cs="仿宋"/>
      <w:color w:val="000000"/>
      <w:sz w:val="20"/>
      <w:szCs w:val="20"/>
      <w:u w:val="none"/>
    </w:rPr>
  </w:style>
  <w:style w:type="character" w:customStyle="1" w:styleId="41">
    <w:name w:val="font71"/>
    <w:basedOn w:val="21"/>
    <w:qFormat/>
    <w:uiPriority w:val="0"/>
    <w:rPr>
      <w:rFonts w:hint="eastAsia" w:ascii="仿宋" w:hAnsi="仿宋" w:eastAsia="仿宋" w:cs="仿宋"/>
      <w:color w:val="000000"/>
      <w:sz w:val="20"/>
      <w:szCs w:val="20"/>
      <w:u w:val="none"/>
    </w:rPr>
  </w:style>
  <w:style w:type="character" w:customStyle="1" w:styleId="42">
    <w:name w:val="font91"/>
    <w:basedOn w:val="21"/>
    <w:qFormat/>
    <w:uiPriority w:val="0"/>
    <w:rPr>
      <w:rFonts w:hint="eastAsia" w:ascii="仿宋" w:hAnsi="仿宋" w:eastAsia="仿宋" w:cs="仿宋"/>
      <w:color w:val="000000"/>
      <w:sz w:val="18"/>
      <w:szCs w:val="18"/>
      <w:u w:val="none"/>
    </w:rPr>
  </w:style>
  <w:style w:type="character" w:customStyle="1" w:styleId="43">
    <w:name w:val="font01"/>
    <w:basedOn w:val="21"/>
    <w:qFormat/>
    <w:uiPriority w:val="0"/>
    <w:rPr>
      <w:rFonts w:hint="eastAsia" w:ascii="仿宋" w:hAnsi="仿宋" w:eastAsia="仿宋" w:cs="仿宋"/>
      <w:color w:val="000000"/>
      <w:sz w:val="18"/>
      <w:szCs w:val="18"/>
      <w:u w:val="none"/>
    </w:rPr>
  </w:style>
  <w:style w:type="character" w:customStyle="1" w:styleId="44">
    <w:name w:val="font61"/>
    <w:basedOn w:val="21"/>
    <w:qFormat/>
    <w:uiPriority w:val="0"/>
    <w:rPr>
      <w:rFonts w:hint="eastAsia" w:ascii="仿宋" w:hAnsi="仿宋" w:eastAsia="仿宋" w:cs="仿宋"/>
      <w:color w:val="000000"/>
      <w:sz w:val="20"/>
      <w:szCs w:val="20"/>
      <w:u w:val="none"/>
    </w:rPr>
  </w:style>
  <w:style w:type="character" w:customStyle="1" w:styleId="45">
    <w:name w:val="font112"/>
    <w:basedOn w:val="21"/>
    <w:qFormat/>
    <w:uiPriority w:val="0"/>
    <w:rPr>
      <w:rFonts w:hint="eastAsia" w:ascii="仿宋" w:hAnsi="仿宋" w:eastAsia="仿宋" w:cs="仿宋"/>
      <w:color w:val="000000"/>
      <w:sz w:val="18"/>
      <w:szCs w:val="18"/>
      <w:u w:val="none"/>
    </w:rPr>
  </w:style>
  <w:style w:type="character" w:customStyle="1" w:styleId="46">
    <w:name w:val="font12"/>
    <w:basedOn w:val="21"/>
    <w:qFormat/>
    <w:uiPriority w:val="0"/>
    <w:rPr>
      <w:rFonts w:hint="eastAsia" w:ascii="仿宋" w:hAnsi="仿宋" w:eastAsia="仿宋" w:cs="仿宋"/>
      <w:color w:val="000000"/>
      <w:sz w:val="20"/>
      <w:szCs w:val="20"/>
      <w:u w:val="none"/>
    </w:rPr>
  </w:style>
  <w:style w:type="character" w:customStyle="1" w:styleId="47">
    <w:name w:val="font31"/>
    <w:basedOn w:val="21"/>
    <w:qFormat/>
    <w:uiPriority w:val="0"/>
    <w:rPr>
      <w:rFonts w:hint="eastAsia" w:ascii="仿宋" w:hAnsi="仿宋" w:eastAsia="仿宋" w:cs="仿宋"/>
      <w:color w:val="000000"/>
      <w:sz w:val="20"/>
      <w:szCs w:val="20"/>
      <w:u w:val="none"/>
    </w:rPr>
  </w:style>
  <w:style w:type="character" w:customStyle="1" w:styleId="48">
    <w:name w:val="font122"/>
    <w:basedOn w:val="21"/>
    <w:qFormat/>
    <w:uiPriority w:val="0"/>
    <w:rPr>
      <w:rFonts w:hint="eastAsia" w:ascii="仿宋" w:hAnsi="仿宋" w:eastAsia="仿宋" w:cs="仿宋"/>
      <w:color w:val="000000"/>
      <w:sz w:val="18"/>
      <w:szCs w:val="18"/>
      <w:u w:val="none"/>
    </w:rPr>
  </w:style>
  <w:style w:type="character" w:customStyle="1" w:styleId="49">
    <w:name w:val="font13"/>
    <w:basedOn w:val="21"/>
    <w:qFormat/>
    <w:uiPriority w:val="0"/>
    <w:rPr>
      <w:rFonts w:hint="eastAsia" w:ascii="仿宋" w:hAnsi="仿宋" w:eastAsia="仿宋" w:cs="仿宋"/>
      <w:color w:val="000000"/>
      <w:sz w:val="20"/>
      <w:szCs w:val="20"/>
      <w:u w:val="none"/>
    </w:rPr>
  </w:style>
  <w:style w:type="character" w:customStyle="1" w:styleId="50">
    <w:name w:val="font121"/>
    <w:basedOn w:val="21"/>
    <w:qFormat/>
    <w:uiPriority w:val="0"/>
    <w:rPr>
      <w:rFonts w:hint="eastAsia" w:ascii="仿宋" w:hAnsi="仿宋" w:eastAsia="仿宋" w:cs="仿宋"/>
      <w:color w:val="000000"/>
      <w:sz w:val="18"/>
      <w:szCs w:val="18"/>
      <w:u w:val="none"/>
    </w:rPr>
  </w:style>
  <w:style w:type="character" w:customStyle="1" w:styleId="51">
    <w:name w:val="font21"/>
    <w:basedOn w:val="21"/>
    <w:qFormat/>
    <w:uiPriority w:val="0"/>
    <w:rPr>
      <w:rFonts w:hint="eastAsia" w:ascii="仿宋" w:hAnsi="仿宋" w:eastAsia="仿宋" w:cs="仿宋"/>
      <w:color w:val="000000"/>
      <w:sz w:val="20"/>
      <w:szCs w:val="20"/>
      <w:u w:val="none"/>
    </w:rPr>
  </w:style>
  <w:style w:type="character" w:customStyle="1" w:styleId="52">
    <w:name w:val="批注文字 字符"/>
    <w:basedOn w:val="21"/>
    <w:link w:val="6"/>
    <w:qFormat/>
    <w:uiPriority w:val="0"/>
    <w:rPr>
      <w:rFonts w:ascii="Times New Roman" w:hAnsi="Times New Roman" w:eastAsia="宋体" w:cs="Times New Roman"/>
      <w:kern w:val="2"/>
      <w:sz w:val="21"/>
      <w:szCs w:val="24"/>
    </w:rPr>
  </w:style>
  <w:style w:type="character" w:customStyle="1" w:styleId="53">
    <w:name w:val="批注主题 字符"/>
    <w:basedOn w:val="52"/>
    <w:link w:val="18"/>
    <w:semiHidden/>
    <w:qFormat/>
    <w:uiPriority w:val="99"/>
    <w:rPr>
      <w:rFonts w:ascii="Times New Roman" w:hAnsi="Times New Roman" w:eastAsia="宋体" w:cs="Times New Roman"/>
      <w:b/>
      <w:bCs/>
      <w:kern w:val="2"/>
      <w:sz w:val="21"/>
      <w:szCs w:val="24"/>
    </w:rPr>
  </w:style>
  <w:style w:type="table" w:customStyle="1" w:styleId="54">
    <w:name w:val="网格型1"/>
    <w:basedOn w:val="19"/>
    <w:qFormat/>
    <w:uiPriority w:val="0"/>
    <w:rPr>
      <w:rFonts w:ascii="Calibri" w:hAnsi="Calibri"/>
      <w:bCs/>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5">
    <w:name w:val="WPSOffice手动目录 3"/>
    <w:qFormat/>
    <w:uiPriority w:val="0"/>
    <w:pPr>
      <w:ind w:left="400" w:leftChars="400"/>
    </w:pPr>
    <w:rPr>
      <w:rFonts w:ascii="仿宋" w:hAnsi="仿宋" w:eastAsia="仿宋" w:cs="仿宋"/>
      <w:lang w:val="en-US" w:eastAsia="zh-CN" w:bidi="ar-SA"/>
    </w:rPr>
  </w:style>
  <w:style w:type="character" w:customStyle="1" w:styleId="56">
    <w:name w:val="标题 1 字符"/>
    <w:basedOn w:val="21"/>
    <w:link w:val="3"/>
    <w:qFormat/>
    <w:uiPriority w:val="0"/>
    <w:rPr>
      <w:b/>
      <w:kern w:val="44"/>
      <w:sz w:val="44"/>
      <w:szCs w:val="28"/>
    </w:rPr>
  </w:style>
  <w:style w:type="character" w:customStyle="1" w:styleId="57">
    <w:name w:val="标题 2 字符"/>
    <w:basedOn w:val="21"/>
    <w:link w:val="4"/>
    <w:qFormat/>
    <w:uiPriority w:val="0"/>
    <w:rPr>
      <w:rFonts w:ascii="Arial" w:hAnsi="Arial" w:eastAsia="黑体"/>
      <w:b/>
      <w:kern w:val="2"/>
      <w:sz w:val="32"/>
      <w:szCs w:val="28"/>
    </w:rPr>
  </w:style>
  <w:style w:type="character" w:customStyle="1" w:styleId="58">
    <w:name w:val="日期 字符"/>
    <w:basedOn w:val="21"/>
    <w:link w:val="9"/>
    <w:qFormat/>
    <w:uiPriority w:val="0"/>
    <w:rPr>
      <w:kern w:val="2"/>
      <w:sz w:val="28"/>
      <w:szCs w:val="28"/>
    </w:rPr>
  </w:style>
  <w:style w:type="character" w:customStyle="1" w:styleId="59">
    <w:name w:val="批注主题 字符1"/>
    <w:basedOn w:val="52"/>
    <w:semiHidden/>
    <w:qFormat/>
    <w:uiPriority w:val="99"/>
    <w:rPr>
      <w:rFonts w:ascii="Times New Roman" w:hAnsi="Times New Roman" w:eastAsia="宋体" w:cs="Times New Roman"/>
      <w:b/>
      <w:kern w:val="2"/>
      <w:sz w:val="21"/>
      <w:szCs w:val="24"/>
    </w:rPr>
  </w:style>
  <w:style w:type="paragraph" w:customStyle="1" w:styleId="60">
    <w:name w:val="列出段落1"/>
    <w:basedOn w:val="1"/>
    <w:qFormat/>
    <w:uiPriority w:val="34"/>
    <w:pPr>
      <w:widowControl w:val="0"/>
      <w:ind w:firstLine="420" w:firstLineChars="200"/>
    </w:pPr>
    <w:rPr>
      <w:rFonts w:ascii="Times New Roman" w:hAnsi="Times New Roman" w:eastAsia="宋体" w:cs="Times New Roman"/>
      <w:sz w:val="21"/>
      <w:szCs w:val="24"/>
    </w:rPr>
  </w:style>
  <w:style w:type="character" w:customStyle="1" w:styleId="61">
    <w:name w:val="hover19"/>
    <w:basedOn w:val="21"/>
    <w:qFormat/>
    <w:uiPriority w:val="0"/>
    <w:rPr>
      <w:color w:val="FF6600"/>
    </w:rPr>
  </w:style>
  <w:style w:type="paragraph" w:customStyle="1" w:styleId="62">
    <w:name w:val="闻政-正文段落文字"/>
    <w:basedOn w:val="1"/>
    <w:qFormat/>
    <w:uiPriority w:val="0"/>
    <w:pPr>
      <w:widowControl w:val="0"/>
      <w:spacing w:line="500" w:lineRule="exact"/>
      <w:ind w:firstLine="200" w:firstLineChars="200"/>
    </w:pPr>
    <w:rPr>
      <w:rFonts w:ascii="Times New Roman" w:hAnsi="Times New Roman" w:eastAsia="仿宋_GB2312" w:cs="Times New Roman"/>
      <w:kern w:val="0"/>
    </w:rPr>
  </w:style>
  <w:style w:type="paragraph" w:customStyle="1" w:styleId="63">
    <w:name w:val="闻政正文"/>
    <w:qFormat/>
    <w:uiPriority w:val="99"/>
    <w:pPr>
      <w:framePr w:wrap="around" w:vAnchor="margin" w:hAnchor="text" w:yAlign="top"/>
      <w:widowControl w:val="0"/>
      <w:spacing w:line="500" w:lineRule="exact"/>
      <w:ind w:firstLine="560"/>
      <w:jc w:val="both"/>
    </w:pPr>
    <w:rPr>
      <w:rFonts w:ascii="Arial Unicode MS" w:hAnsi="Arial Unicode MS" w:eastAsia="宋体" w:cs="Arial Unicode MS"/>
      <w:color w:val="000000"/>
      <w:sz w:val="28"/>
      <w:szCs w:val="28"/>
      <w:lang w:val="en-US" w:eastAsia="zh-CN" w:bidi="ar-SA"/>
    </w:rPr>
  </w:style>
  <w:style w:type="character" w:customStyle="1" w:styleId="64">
    <w:name w:val="未处理的提及1"/>
    <w:basedOn w:val="21"/>
    <w:semiHidden/>
    <w:unhideWhenUsed/>
    <w:qFormat/>
    <w:uiPriority w:val="99"/>
    <w:rPr>
      <w:color w:val="605E5C"/>
      <w:shd w:val="clear" w:color="auto" w:fill="E1DFDD"/>
    </w:rPr>
  </w:style>
  <w:style w:type="character" w:customStyle="1" w:styleId="65">
    <w:name w:val="未处理的提及2"/>
    <w:basedOn w:val="21"/>
    <w:semiHidden/>
    <w:unhideWhenUsed/>
    <w:qFormat/>
    <w:uiPriority w:val="99"/>
    <w:rPr>
      <w:color w:val="605E5C"/>
      <w:shd w:val="clear" w:color="auto" w:fill="E1DFDD"/>
    </w:rPr>
  </w:style>
  <w:style w:type="character" w:customStyle="1" w:styleId="66">
    <w:name w:val="未处理的提及3"/>
    <w:basedOn w:val="21"/>
    <w:semiHidden/>
    <w:unhideWhenUsed/>
    <w:qFormat/>
    <w:uiPriority w:val="99"/>
    <w:rPr>
      <w:color w:val="605E5C"/>
      <w:shd w:val="clear" w:color="auto" w:fill="E1DFDD"/>
    </w:rPr>
  </w:style>
  <w:style w:type="character" w:customStyle="1" w:styleId="67">
    <w:name w:val="font11"/>
    <w:basedOn w:val="21"/>
    <w:qFormat/>
    <w:uiPriority w:val="0"/>
    <w:rPr>
      <w:rFonts w:hint="eastAsia" w:ascii="仿宋" w:hAnsi="仿宋" w:eastAsia="仿宋"/>
      <w:b/>
      <w:bCs/>
      <w:color w:val="000000"/>
      <w:sz w:val="21"/>
      <w:szCs w:val="21"/>
      <w:u w:val="none"/>
    </w:rPr>
  </w:style>
  <w:style w:type="paragraph" w:customStyle="1" w:styleId="68">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69">
    <w:name w:val="List Paragraph"/>
    <w:basedOn w:val="1"/>
    <w:qFormat/>
    <w:uiPriority w:val="99"/>
    <w:pPr>
      <w:ind w:firstLine="420" w:firstLineChars="200"/>
    </w:pPr>
  </w:style>
  <w:style w:type="paragraph" w:customStyle="1" w:styleId="70">
    <w:name w:val="闻政标题5"/>
    <w:basedOn w:val="1"/>
    <w:qFormat/>
    <w:uiPriority w:val="0"/>
    <w:pPr>
      <w:spacing w:before="120" w:after="60" w:line="500" w:lineRule="exact"/>
      <w:ind w:firstLine="200" w:firstLineChars="200"/>
    </w:pPr>
    <w:rPr>
      <w:rFonts w:ascii="Times New Roman" w:hAnsi="Times New Roman" w:eastAsia="仿宋_GB2312"/>
      <w:b/>
      <w:kern w:val="0"/>
    </w:rPr>
  </w:style>
  <w:style w:type="paragraph" w:customStyle="1" w:styleId="71">
    <w:name w:val="闻政表"/>
    <w:basedOn w:val="1"/>
    <w:qFormat/>
    <w:uiPriority w:val="0"/>
    <w:pPr>
      <w:spacing w:before="60" w:after="60"/>
      <w:jc w:val="center"/>
    </w:pPr>
    <w:rPr>
      <w:rFonts w:ascii="Times New Roman" w:hAnsi="Times New Roman" w:eastAsia="仿宋_GB2312"/>
      <w:b/>
      <w:kern w:val="0"/>
      <w:sz w:val="24"/>
    </w:rPr>
  </w:style>
  <w:style w:type="paragraph" w:customStyle="1" w:styleId="72">
    <w:name w:val="附件 正文"/>
    <w:basedOn w:val="1"/>
    <w:qFormat/>
    <w:uiPriority w:val="0"/>
    <w:pPr>
      <w:adjustRightInd w:val="0"/>
      <w:snapToGrid w:val="0"/>
      <w:spacing w:afterLines="50" w:line="360" w:lineRule="auto"/>
      <w:ind w:firstLine="200" w:firstLineChars="200"/>
      <w:jc w:val="left"/>
    </w:pPr>
    <w:rPr>
      <w:rFonts w:ascii="Tahoma" w:hAnsi="Tahoma"/>
      <w:kern w:val="0"/>
      <w:sz w:val="32"/>
    </w:rPr>
  </w:style>
  <w:style w:type="character" w:customStyle="1" w:styleId="73">
    <w:name w:val="font51"/>
    <w:basedOn w:val="21"/>
    <w:qFormat/>
    <w:uiPriority w:val="0"/>
    <w:rPr>
      <w:rFonts w:hint="default" w:ascii="Arial Narrow" w:hAnsi="Arial Narrow" w:eastAsia="Arial Narrow" w:cs="Arial Narrow"/>
      <w:color w:val="000000"/>
      <w:sz w:val="20"/>
      <w:szCs w:val="20"/>
      <w:u w:val="none"/>
    </w:rPr>
  </w:style>
  <w:style w:type="paragraph" w:customStyle="1" w:styleId="74">
    <w:name w:val="正文文本首行缩进 21"/>
    <w:basedOn w:val="75"/>
    <w:qFormat/>
    <w:uiPriority w:val="0"/>
    <w:pPr>
      <w:spacing w:after="0"/>
      <w:ind w:firstLine="420" w:firstLineChars="200"/>
    </w:pPr>
    <w:rPr>
      <w:rFonts w:cs="宋体"/>
    </w:rPr>
  </w:style>
  <w:style w:type="paragraph" w:customStyle="1" w:styleId="75">
    <w:name w:val="正文文本缩进1"/>
    <w:basedOn w:val="1"/>
    <w:qFormat/>
    <w:uiPriority w:val="0"/>
    <w:pPr>
      <w:spacing w:after="120"/>
      <w:ind w:left="420" w:leftChars="200"/>
    </w:pPr>
  </w:style>
  <w:style w:type="paragraph" w:customStyle="1" w:styleId="76">
    <w:name w:val="列出段落3"/>
    <w:basedOn w:val="1"/>
    <w:qFormat/>
    <w:uiPriority w:val="34"/>
    <w:pPr>
      <w:ind w:firstLine="420" w:firstLineChars="200"/>
    </w:pPr>
  </w:style>
  <w:style w:type="paragraph" w:customStyle="1" w:styleId="77">
    <w:name w:val="_Style 1"/>
    <w:basedOn w:val="1"/>
    <w:qFormat/>
    <w:uiPriority w:val="99"/>
    <w:pPr>
      <w:ind w:firstLine="420" w:firstLineChars="200"/>
    </w:pPr>
    <w:rPr>
      <w:rFonts w:ascii="Calibri" w:hAnsi="Calibri"/>
      <w:szCs w:val="22"/>
    </w:rPr>
  </w:style>
  <w:style w:type="character" w:customStyle="1" w:styleId="78">
    <w:name w:val="font131"/>
    <w:basedOn w:val="21"/>
    <w:qFormat/>
    <w:uiPriority w:val="0"/>
    <w:rPr>
      <w:rFonts w:hint="default" w:ascii="Times New Roman" w:hAnsi="Times New Roman" w:cs="Times New Roman"/>
      <w:color w:val="000000"/>
      <w:sz w:val="20"/>
      <w:szCs w:val="20"/>
      <w:u w:val="none"/>
    </w:rPr>
  </w:style>
  <w:style w:type="character" w:customStyle="1" w:styleId="79">
    <w:name w:val="font101"/>
    <w:basedOn w:val="21"/>
    <w:qFormat/>
    <w:uiPriority w:val="0"/>
    <w:rPr>
      <w:rFonts w:hint="default" w:ascii="Times New Roman" w:hAnsi="Times New Roman" w:cs="Times New Roman"/>
      <w:color w:val="000000"/>
      <w:sz w:val="20"/>
      <w:szCs w:val="20"/>
      <w:u w:val="none"/>
    </w:rPr>
  </w:style>
  <w:style w:type="paragraph" w:customStyle="1" w:styleId="80">
    <w:name w:val="Heading3"/>
    <w:basedOn w:val="1"/>
    <w:next w:val="1"/>
    <w:qFormat/>
    <w:uiPriority w:val="0"/>
    <w:pPr>
      <w:keepNext/>
      <w:keepLines/>
      <w:spacing w:before="260" w:after="260" w:line="416" w:lineRule="auto"/>
      <w:textAlignment w:val="baseline"/>
    </w:pPr>
    <w:rPr>
      <w:rFonts w:ascii="Calibri" w:hAnsi="Calibr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0.jpeg"/><Relationship Id="rId34" Type="http://schemas.openxmlformats.org/officeDocument/2006/relationships/image" Target="media/image19.jpeg"/><Relationship Id="rId33" Type="http://schemas.openxmlformats.org/officeDocument/2006/relationships/image" Target="media/image18.jpeg"/><Relationship Id="rId32" Type="http://schemas.openxmlformats.org/officeDocument/2006/relationships/image" Target="media/image17.jpeg"/><Relationship Id="rId31" Type="http://schemas.openxmlformats.org/officeDocument/2006/relationships/image" Target="media/image16.jpeg"/><Relationship Id="rId30" Type="http://schemas.openxmlformats.org/officeDocument/2006/relationships/image" Target="media/image15.jpeg"/><Relationship Id="rId3" Type="http://schemas.openxmlformats.org/officeDocument/2006/relationships/footer" Target="footer1.xml"/><Relationship Id="rId29" Type="http://schemas.openxmlformats.org/officeDocument/2006/relationships/image" Target="media/image14.jpeg"/><Relationship Id="rId28" Type="http://schemas.openxmlformats.org/officeDocument/2006/relationships/image" Target="media/image13.jpeg"/><Relationship Id="rId27" Type="http://schemas.openxmlformats.org/officeDocument/2006/relationships/image" Target="media/image12.jpeg"/><Relationship Id="rId26" Type="http://schemas.openxmlformats.org/officeDocument/2006/relationships/image" Target="media/image11.jpeg"/><Relationship Id="rId25" Type="http://schemas.openxmlformats.org/officeDocument/2006/relationships/image" Target="media/image10.jpeg"/><Relationship Id="rId24" Type="http://schemas.openxmlformats.org/officeDocument/2006/relationships/image" Target="media/image9.jpe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068D8D-021A-4E80-A53F-B11F7BF4D9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42265</Words>
  <Characters>48271</Characters>
  <Lines>377</Lines>
  <Paragraphs>106</Paragraphs>
  <TotalTime>0</TotalTime>
  <ScaleCrop>false</ScaleCrop>
  <LinksUpToDate>false</LinksUpToDate>
  <CharactersWithSpaces>48906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2014-11-24T00:28:00Z</dcterms:created>
  <dc:creator>xue</dc:creator>
  <cp:lastModifiedBy>蓉</cp:lastModifiedBy>
  <cp:lastPrinted>2022-11-17T00:09:00Z</cp:lastPrinted>
  <dcterms:modified xsi:type="dcterms:W3CDTF">2022-11-18T02:06:16Z</dcterms:modified>
  <dc:title>山西省2010-2012年电力需求侧管理项目</dc:title>
  <cp:revision>9137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DC204795CCE143F19A81783C7FB59DE0</vt:lpwstr>
  </property>
</Properties>
</file>