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line="600" w:lineRule="exact"/>
        <w:jc w:val="center"/>
        <w:rPr>
          <w:kern w:val="0"/>
          <w:sz w:val="30"/>
          <w:szCs w:val="30"/>
        </w:rPr>
      </w:pPr>
      <w:bookmarkStart w:id="0" w:name="_Toc13460"/>
      <w:bookmarkStart w:id="1" w:name="_Toc15643"/>
      <w:bookmarkStart w:id="2" w:name="_Toc9876"/>
      <w:bookmarkStart w:id="3" w:name="_Toc15874"/>
      <w:bookmarkStart w:id="4" w:name="_Toc100"/>
      <w:bookmarkStart w:id="5" w:name="_Toc9381_WPSOffice_Level2"/>
    </w:p>
    <w:p>
      <w:pPr>
        <w:pStyle w:val="7"/>
        <w:rPr>
          <w:szCs w:val="30"/>
        </w:rPr>
      </w:pPr>
    </w:p>
    <w:p>
      <w:pPr>
        <w:autoSpaceDE w:val="0"/>
        <w:autoSpaceDN w:val="0"/>
        <w:adjustRightInd w:val="0"/>
        <w:spacing w:line="600" w:lineRule="exact"/>
        <w:jc w:val="center"/>
        <w:rPr>
          <w:kern w:val="0"/>
          <w:sz w:val="30"/>
          <w:szCs w:val="30"/>
        </w:rPr>
      </w:pPr>
    </w:p>
    <w:p>
      <w:pPr>
        <w:autoSpaceDE w:val="0"/>
        <w:autoSpaceDN w:val="0"/>
        <w:adjustRightInd w:val="0"/>
        <w:spacing w:line="600" w:lineRule="exact"/>
        <w:jc w:val="center"/>
        <w:rPr>
          <w:kern w:val="0"/>
          <w:sz w:val="30"/>
          <w:szCs w:val="30"/>
        </w:rPr>
      </w:pPr>
      <w:r>
        <w:rPr>
          <w:rFonts w:hint="eastAsia"/>
          <w:kern w:val="0"/>
          <w:sz w:val="30"/>
          <w:szCs w:val="30"/>
        </w:rPr>
        <w:t>运城市住房公积金管理中心</w:t>
      </w:r>
    </w:p>
    <w:p>
      <w:pPr>
        <w:autoSpaceDE w:val="0"/>
        <w:autoSpaceDN w:val="0"/>
        <w:adjustRightInd w:val="0"/>
        <w:spacing w:line="600" w:lineRule="exact"/>
        <w:jc w:val="center"/>
        <w:rPr>
          <w:kern w:val="0"/>
          <w:sz w:val="30"/>
          <w:szCs w:val="30"/>
        </w:rPr>
      </w:pPr>
      <w:r>
        <w:rPr>
          <w:rFonts w:hint="eastAsia"/>
          <w:kern w:val="0"/>
          <w:sz w:val="30"/>
          <w:szCs w:val="30"/>
        </w:rPr>
        <w:t>2021年部门整体支出绩效评价报告</w:t>
      </w: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spacing w:before="120" w:after="120" w:line="600" w:lineRule="exact"/>
        <w:ind w:firstLine="900" w:firstLineChars="300"/>
        <w:rPr>
          <w:kern w:val="0"/>
          <w:sz w:val="30"/>
          <w:szCs w:val="30"/>
        </w:rPr>
      </w:pPr>
      <w:r>
        <w:rPr>
          <w:rFonts w:hint="eastAsia"/>
          <w:kern w:val="0"/>
          <w:sz w:val="30"/>
          <w:szCs w:val="30"/>
        </w:rPr>
        <w:t>被评价单位</w:t>
      </w:r>
      <w:r>
        <w:rPr>
          <w:kern w:val="0"/>
          <w:sz w:val="30"/>
          <w:szCs w:val="30"/>
        </w:rPr>
        <w:t>：</w:t>
      </w:r>
      <w:r>
        <w:rPr>
          <w:rFonts w:hint="eastAsia"/>
          <w:kern w:val="0"/>
          <w:sz w:val="30"/>
          <w:szCs w:val="30"/>
        </w:rPr>
        <w:t>运城市住房公积金管理中心</w:t>
      </w:r>
    </w:p>
    <w:p>
      <w:pPr>
        <w:spacing w:before="120" w:after="120" w:line="600" w:lineRule="exact"/>
        <w:ind w:firstLine="900" w:firstLineChars="300"/>
        <w:rPr>
          <w:kern w:val="0"/>
          <w:sz w:val="30"/>
          <w:szCs w:val="30"/>
        </w:rPr>
      </w:pPr>
      <w:r>
        <w:rPr>
          <w:kern w:val="0"/>
          <w:sz w:val="30"/>
          <w:szCs w:val="30"/>
        </w:rPr>
        <w:t>委托单位：</w:t>
      </w:r>
      <w:r>
        <w:rPr>
          <w:rFonts w:hint="eastAsia"/>
          <w:kern w:val="0"/>
          <w:sz w:val="30"/>
          <w:szCs w:val="30"/>
        </w:rPr>
        <w:t>运城市财政局</w:t>
      </w:r>
    </w:p>
    <w:p>
      <w:pPr>
        <w:spacing w:before="120" w:after="120" w:line="600" w:lineRule="exact"/>
        <w:ind w:firstLine="900" w:firstLineChars="300"/>
        <w:rPr>
          <w:kern w:val="0"/>
          <w:sz w:val="30"/>
          <w:szCs w:val="30"/>
        </w:rPr>
      </w:pPr>
      <w:r>
        <w:rPr>
          <w:kern w:val="0"/>
          <w:sz w:val="30"/>
          <w:szCs w:val="30"/>
        </w:rPr>
        <w:t>评价机构：</w:t>
      </w:r>
      <w:r>
        <w:rPr>
          <w:rFonts w:hint="eastAsia"/>
          <w:kern w:val="0"/>
          <w:sz w:val="30"/>
          <w:szCs w:val="30"/>
        </w:rPr>
        <w:t>山西高盛新会计师事务所有限公司</w:t>
      </w:r>
    </w:p>
    <w:p>
      <w:pPr>
        <w:autoSpaceDE w:val="0"/>
        <w:autoSpaceDN w:val="0"/>
        <w:adjustRightInd w:val="0"/>
        <w:spacing w:line="360" w:lineRule="auto"/>
        <w:ind w:firstLine="900" w:firstLineChars="300"/>
        <w:rPr>
          <w:kern w:val="0"/>
          <w:sz w:val="30"/>
          <w:szCs w:val="30"/>
        </w:rPr>
      </w:pPr>
      <w:r>
        <w:rPr>
          <w:rFonts w:hint="eastAsia"/>
          <w:bCs/>
          <w:kern w:val="0"/>
          <w:sz w:val="30"/>
          <w:szCs w:val="30"/>
        </w:rPr>
        <w:t>主评人：李建岭</w:t>
      </w: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p>
    <w:p>
      <w:pPr>
        <w:autoSpaceDE w:val="0"/>
        <w:autoSpaceDN w:val="0"/>
        <w:adjustRightInd w:val="0"/>
        <w:spacing w:line="360" w:lineRule="auto"/>
        <w:jc w:val="center"/>
        <w:rPr>
          <w:kern w:val="0"/>
          <w:sz w:val="30"/>
          <w:szCs w:val="30"/>
        </w:rPr>
      </w:pPr>
      <w:r>
        <w:rPr>
          <w:rFonts w:hint="eastAsia"/>
          <w:kern w:val="0"/>
          <w:sz w:val="30"/>
          <w:szCs w:val="30"/>
        </w:rPr>
        <w:t>2022年9月30日</w:t>
      </w:r>
    </w:p>
    <w:p>
      <w:pPr>
        <w:pStyle w:val="13"/>
        <w:tabs>
          <w:tab w:val="right" w:leader="dot" w:pos="8306"/>
        </w:tabs>
        <w:jc w:val="center"/>
        <w:rPr>
          <w:b/>
          <w:bCs/>
          <w:sz w:val="44"/>
          <w:szCs w:val="44"/>
        </w:rPr>
        <w:sectPr>
          <w:footerReference r:id="rId3" w:type="default"/>
          <w:pgSz w:w="11906" w:h="16838"/>
          <w:pgMar w:top="1440" w:right="1800" w:bottom="1440" w:left="1800" w:header="851" w:footer="992" w:gutter="0"/>
          <w:pgNumType w:start="1"/>
          <w:cols w:space="425" w:num="1"/>
          <w:docGrid w:type="lines" w:linePitch="312" w:charSpace="0"/>
        </w:sectPr>
      </w:pPr>
    </w:p>
    <w:sdt>
      <w:sdtPr>
        <w:rPr>
          <w:rFonts w:hint="eastAsia" w:ascii="仿宋_GB2312" w:eastAsia="仿宋_GB2312"/>
          <w:b/>
          <w:bCs/>
          <w:sz w:val="44"/>
          <w:szCs w:val="44"/>
        </w:rPr>
        <w:id w:val="147463823"/>
        <w15:color w:val="DBDBDB"/>
        <w:docPartObj>
          <w:docPartGallery w:val="Table of Contents"/>
          <w:docPartUnique/>
        </w:docPartObj>
      </w:sdtPr>
      <w:sdtEndPr>
        <w:rPr>
          <w:rFonts w:hint="eastAsia" w:ascii="仿宋_GB2312" w:eastAsia="仿宋_GB2312"/>
          <w:b/>
          <w:bCs/>
          <w:sz w:val="30"/>
          <w:szCs w:val="28"/>
        </w:rPr>
      </w:sdtEndPr>
      <w:sdtContent>
        <w:p>
          <w:pPr>
            <w:spacing w:line="480" w:lineRule="exact"/>
            <w:jc w:val="center"/>
            <w:rPr>
              <w:b/>
              <w:bCs/>
              <w:sz w:val="44"/>
              <w:szCs w:val="44"/>
            </w:rPr>
          </w:pPr>
          <w:r>
            <w:rPr>
              <w:rFonts w:hint="eastAsia"/>
              <w:b/>
              <w:bCs/>
              <w:sz w:val="44"/>
              <w:szCs w:val="44"/>
            </w:rPr>
            <w:t>目  录</w:t>
          </w:r>
        </w:p>
        <w:p>
          <w:pPr>
            <w:pStyle w:val="13"/>
            <w:tabs>
              <w:tab w:val="right" w:leader="dot" w:pos="8504"/>
            </w:tabs>
            <w:spacing w:after="0" w:line="560" w:lineRule="exact"/>
            <w:rPr>
              <w:sz w:val="28"/>
            </w:rPr>
          </w:pPr>
          <w:r>
            <w:rPr>
              <w:rFonts w:hint="eastAsia"/>
              <w:sz w:val="24"/>
              <w:szCs w:val="24"/>
            </w:rPr>
            <w:fldChar w:fldCharType="begin"/>
          </w:r>
          <w:r>
            <w:rPr>
              <w:rFonts w:hint="eastAsia"/>
              <w:sz w:val="24"/>
              <w:szCs w:val="24"/>
            </w:rPr>
            <w:instrText xml:space="preserve">TOC \o "1-2" \h \u </w:instrText>
          </w:r>
          <w:r>
            <w:rPr>
              <w:rFonts w:hint="eastAsia"/>
              <w:sz w:val="24"/>
              <w:szCs w:val="24"/>
            </w:rPr>
            <w:fldChar w:fldCharType="separate"/>
          </w:r>
          <w:r>
            <w:fldChar w:fldCharType="begin"/>
          </w:r>
          <w:r>
            <w:instrText xml:space="preserve"> HYPERLINK \l "_Toc16104" </w:instrText>
          </w:r>
          <w:r>
            <w:fldChar w:fldCharType="separate"/>
          </w:r>
          <w:r>
            <w:rPr>
              <w:rFonts w:hint="eastAsia"/>
              <w:sz w:val="28"/>
            </w:rPr>
            <w:t>摘 要</w:t>
          </w:r>
          <w:r>
            <w:rPr>
              <w:sz w:val="28"/>
            </w:rPr>
            <w:tab/>
          </w:r>
          <w:r>
            <w:rPr>
              <w:sz w:val="28"/>
            </w:rPr>
            <w:fldChar w:fldCharType="begin"/>
          </w:r>
          <w:r>
            <w:rPr>
              <w:sz w:val="28"/>
            </w:rPr>
            <w:instrText xml:space="preserve"> PAGEREF _Toc16104 \h </w:instrText>
          </w:r>
          <w:r>
            <w:rPr>
              <w:sz w:val="28"/>
            </w:rPr>
            <w:fldChar w:fldCharType="separate"/>
          </w:r>
          <w:r>
            <w:rPr>
              <w:sz w:val="28"/>
            </w:rPr>
            <w:t>1</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"_Toc20000" </w:instrText>
          </w:r>
          <w:r>
            <w:fldChar w:fldCharType="separate"/>
          </w:r>
          <w:r>
            <w:rPr>
              <w:rFonts w:hint="eastAsia"/>
              <w:sz w:val="28"/>
            </w:rPr>
            <w:t>绩效评价报告</w:t>
          </w:r>
          <w:r>
            <w:rPr>
              <w:sz w:val="28"/>
            </w:rPr>
            <w:tab/>
          </w:r>
          <w:r>
            <w:rPr>
              <w:sz w:val="28"/>
            </w:rPr>
            <w:fldChar w:fldCharType="begin"/>
          </w:r>
          <w:r>
            <w:rPr>
              <w:sz w:val="28"/>
            </w:rPr>
            <w:instrText xml:space="preserve"> PAGEREF _Toc20000 \h </w:instrText>
          </w:r>
          <w:r>
            <w:rPr>
              <w:sz w:val="28"/>
            </w:rPr>
            <w:fldChar w:fldCharType="separate"/>
          </w:r>
          <w:r>
            <w:rPr>
              <w:sz w:val="28"/>
            </w:rPr>
            <w:t>6</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"_Toc20270" </w:instrText>
          </w:r>
          <w:r>
            <w:fldChar w:fldCharType="separate"/>
          </w:r>
          <w:r>
            <w:rPr>
              <w:rFonts w:hint="eastAsia"/>
              <w:sz w:val="28"/>
            </w:rPr>
            <w:t>一、部门概况</w:t>
          </w:r>
          <w:r>
            <w:rPr>
              <w:sz w:val="28"/>
            </w:rPr>
            <w:tab/>
          </w:r>
          <w:r>
            <w:rPr>
              <w:sz w:val="28"/>
            </w:rPr>
            <w:fldChar w:fldCharType="begin"/>
          </w:r>
          <w:r>
            <w:rPr>
              <w:sz w:val="28"/>
            </w:rPr>
            <w:instrText xml:space="preserve"> PAGEREF _Toc20270 \h </w:instrText>
          </w:r>
          <w:r>
            <w:rPr>
              <w:sz w:val="28"/>
            </w:rPr>
            <w:fldChar w:fldCharType="separate"/>
          </w:r>
          <w:r>
            <w:rPr>
              <w:sz w:val="28"/>
            </w:rPr>
            <w:t>6</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"_Toc32209" </w:instrText>
          </w:r>
          <w:r>
            <w:fldChar w:fldCharType="separate"/>
          </w:r>
          <w:r>
            <w:rPr>
              <w:rFonts w:hint="eastAsia"/>
              <w:sz w:val="28"/>
            </w:rPr>
            <w:t>（一）部门基本情况</w:t>
          </w:r>
          <w:r>
            <w:rPr>
              <w:sz w:val="28"/>
            </w:rPr>
            <w:tab/>
          </w:r>
          <w:r>
            <w:rPr>
              <w:sz w:val="28"/>
            </w:rPr>
            <w:fldChar w:fldCharType="begin"/>
          </w:r>
          <w:r>
            <w:rPr>
              <w:sz w:val="28"/>
            </w:rPr>
            <w:instrText xml:space="preserve"> PAGEREF _Toc32209 \h </w:instrText>
          </w:r>
          <w:r>
            <w:rPr>
              <w:sz w:val="28"/>
            </w:rPr>
            <w:fldChar w:fldCharType="separate"/>
          </w:r>
          <w:r>
            <w:rPr>
              <w:sz w:val="28"/>
            </w:rPr>
            <w:t>6</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"_Toc25268" </w:instrText>
          </w:r>
          <w:r>
            <w:fldChar w:fldCharType="separate"/>
          </w:r>
          <w:r>
            <w:rPr>
              <w:rFonts w:hint="eastAsia"/>
              <w:sz w:val="28"/>
            </w:rPr>
            <w:t>（二）部门预算收支及结转结余情况</w:t>
          </w:r>
          <w:r>
            <w:rPr>
              <w:sz w:val="28"/>
            </w:rPr>
            <w:tab/>
          </w:r>
          <w:r>
            <w:rPr>
              <w:sz w:val="28"/>
            </w:rPr>
            <w:fldChar w:fldCharType="begin"/>
          </w:r>
          <w:r>
            <w:rPr>
              <w:sz w:val="28"/>
            </w:rPr>
            <w:instrText xml:space="preserve"> PAGEREF _Toc25268 \h </w:instrText>
          </w:r>
          <w:r>
            <w:rPr>
              <w:sz w:val="28"/>
            </w:rPr>
            <w:fldChar w:fldCharType="separate"/>
          </w:r>
          <w:r>
            <w:rPr>
              <w:sz w:val="28"/>
            </w:rPr>
            <w:t>7</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"_Toc3861" </w:instrText>
          </w:r>
          <w:r>
            <w:fldChar w:fldCharType="separate"/>
          </w:r>
          <w:r>
            <w:rPr>
              <w:rFonts w:hint="eastAsia"/>
              <w:sz w:val="28"/>
            </w:rPr>
            <w:t>（三）部门固定资产情况</w:t>
          </w:r>
          <w:r>
            <w:rPr>
              <w:sz w:val="28"/>
            </w:rPr>
            <w:tab/>
          </w:r>
          <w:r>
            <w:rPr>
              <w:sz w:val="28"/>
            </w:rPr>
            <w:fldChar w:fldCharType="begin"/>
          </w:r>
          <w:r>
            <w:rPr>
              <w:sz w:val="28"/>
            </w:rPr>
            <w:instrText xml:space="preserve"> PAGEREF _Toc3861 \h </w:instrText>
          </w:r>
          <w:r>
            <w:rPr>
              <w:sz w:val="28"/>
            </w:rPr>
            <w:fldChar w:fldCharType="separate"/>
          </w:r>
          <w:r>
            <w:rPr>
              <w:sz w:val="28"/>
            </w:rPr>
            <w:t>8</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"_Toc12419" </w:instrText>
          </w:r>
          <w:r>
            <w:fldChar w:fldCharType="separate"/>
          </w:r>
          <w:r>
            <w:rPr>
              <w:rFonts w:hint="eastAsia"/>
              <w:sz w:val="28"/>
            </w:rPr>
            <w:t>（四）2021年部门工作开展情况</w:t>
          </w:r>
          <w:r>
            <w:rPr>
              <w:sz w:val="28"/>
            </w:rPr>
            <w:tab/>
          </w:r>
          <w:r>
            <w:rPr>
              <w:sz w:val="28"/>
            </w:rPr>
            <w:fldChar w:fldCharType="begin"/>
          </w:r>
          <w:r>
            <w:rPr>
              <w:sz w:val="28"/>
            </w:rPr>
            <w:instrText xml:space="preserve"> PAGEREF _Toc12419 \h </w:instrText>
          </w:r>
          <w:r>
            <w:rPr>
              <w:sz w:val="28"/>
            </w:rPr>
            <w:fldChar w:fldCharType="separate"/>
          </w:r>
          <w:r>
            <w:rPr>
              <w:sz w:val="28"/>
            </w:rPr>
            <w:t>11</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"_Toc29044" </w:instrText>
          </w:r>
          <w:r>
            <w:fldChar w:fldCharType="separate"/>
          </w:r>
          <w:r>
            <w:rPr>
              <w:rFonts w:hint="eastAsia"/>
              <w:sz w:val="28"/>
            </w:rPr>
            <w:t>（五）部门整体支出绩效目标</w:t>
          </w:r>
          <w:r>
            <w:rPr>
              <w:sz w:val="28"/>
            </w:rPr>
            <w:tab/>
          </w:r>
          <w:r>
            <w:rPr>
              <w:sz w:val="28"/>
            </w:rPr>
            <w:fldChar w:fldCharType="begin"/>
          </w:r>
          <w:r>
            <w:rPr>
              <w:sz w:val="28"/>
            </w:rPr>
            <w:instrText xml:space="preserve"> PAGEREF _Toc29044 \h </w:instrText>
          </w:r>
          <w:r>
            <w:rPr>
              <w:sz w:val="28"/>
            </w:rPr>
            <w:fldChar w:fldCharType="separate"/>
          </w:r>
          <w:r>
            <w:rPr>
              <w:sz w:val="28"/>
            </w:rPr>
            <w:t>12</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"_Toc13342" </w:instrText>
          </w:r>
          <w:r>
            <w:fldChar w:fldCharType="separate"/>
          </w:r>
          <w:r>
            <w:rPr>
              <w:rFonts w:hint="eastAsia"/>
              <w:sz w:val="28"/>
            </w:rPr>
            <w:t>二、绩效评价工作开展情况</w:t>
          </w:r>
          <w:r>
            <w:rPr>
              <w:sz w:val="28"/>
            </w:rPr>
            <w:tab/>
          </w:r>
          <w:r>
            <w:rPr>
              <w:sz w:val="28"/>
            </w:rPr>
            <w:fldChar w:fldCharType="begin"/>
          </w:r>
          <w:r>
            <w:rPr>
              <w:sz w:val="28"/>
            </w:rPr>
            <w:instrText xml:space="preserve"> PAGEREF _Toc13342 \h </w:instrText>
          </w:r>
          <w:r>
            <w:rPr>
              <w:sz w:val="28"/>
            </w:rPr>
            <w:fldChar w:fldCharType="separate"/>
          </w:r>
          <w:r>
            <w:rPr>
              <w:sz w:val="28"/>
            </w:rPr>
            <w:t>12</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"_Toc15385" </w:instrText>
          </w:r>
          <w:r>
            <w:fldChar w:fldCharType="separate"/>
          </w:r>
          <w:r>
            <w:rPr>
              <w:rFonts w:hint="eastAsia"/>
              <w:sz w:val="28"/>
            </w:rPr>
            <w:t>（一）绩效评价的目的和依据</w:t>
          </w:r>
          <w:r>
            <w:rPr>
              <w:sz w:val="28"/>
            </w:rPr>
            <w:tab/>
          </w:r>
          <w:r>
            <w:rPr>
              <w:sz w:val="28"/>
            </w:rPr>
            <w:fldChar w:fldCharType="begin"/>
          </w:r>
          <w:r>
            <w:rPr>
              <w:sz w:val="28"/>
            </w:rPr>
            <w:instrText xml:space="preserve"> PAGEREF _Toc15385 \h </w:instrText>
          </w:r>
          <w:r>
            <w:rPr>
              <w:sz w:val="28"/>
            </w:rPr>
            <w:fldChar w:fldCharType="separate"/>
          </w:r>
          <w:r>
            <w:rPr>
              <w:sz w:val="28"/>
            </w:rPr>
            <w:t>12</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"_Toc21234" </w:instrText>
          </w:r>
          <w:r>
            <w:fldChar w:fldCharType="separate"/>
          </w:r>
          <w:r>
            <w:rPr>
              <w:rFonts w:hint="eastAsia"/>
              <w:sz w:val="28"/>
            </w:rPr>
            <w:t>（二）绩效评价的对象和范围</w:t>
          </w:r>
          <w:r>
            <w:rPr>
              <w:sz w:val="28"/>
            </w:rPr>
            <w:tab/>
          </w:r>
          <w:r>
            <w:rPr>
              <w:sz w:val="28"/>
            </w:rPr>
            <w:fldChar w:fldCharType="begin"/>
          </w:r>
          <w:r>
            <w:rPr>
              <w:sz w:val="28"/>
            </w:rPr>
            <w:instrText xml:space="preserve"> PAGEREF _Toc21234 \h </w:instrText>
          </w:r>
          <w:r>
            <w:rPr>
              <w:sz w:val="28"/>
            </w:rPr>
            <w:fldChar w:fldCharType="separate"/>
          </w:r>
          <w:r>
            <w:rPr>
              <w:sz w:val="28"/>
            </w:rPr>
            <w:t>13</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"_Toc26109" </w:instrText>
          </w:r>
          <w:r>
            <w:fldChar w:fldCharType="separate"/>
          </w:r>
          <w:r>
            <w:rPr>
              <w:rFonts w:hint="eastAsia"/>
              <w:sz w:val="28"/>
            </w:rPr>
            <w:t>（三）绩效评价原则</w:t>
          </w:r>
          <w:r>
            <w:rPr>
              <w:sz w:val="28"/>
            </w:rPr>
            <w:tab/>
          </w:r>
          <w:r>
            <w:rPr>
              <w:sz w:val="28"/>
            </w:rPr>
            <w:fldChar w:fldCharType="begin"/>
          </w:r>
          <w:r>
            <w:rPr>
              <w:sz w:val="28"/>
            </w:rPr>
            <w:instrText xml:space="preserve"> PAGEREF _Toc26109 \h </w:instrText>
          </w:r>
          <w:r>
            <w:rPr>
              <w:sz w:val="28"/>
            </w:rPr>
            <w:fldChar w:fldCharType="separate"/>
          </w:r>
          <w:r>
            <w:rPr>
              <w:sz w:val="28"/>
            </w:rPr>
            <w:t>14</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"_Toc14919" </w:instrText>
          </w:r>
          <w:r>
            <w:fldChar w:fldCharType="separate"/>
          </w:r>
          <w:r>
            <w:rPr>
              <w:rFonts w:hint="eastAsia"/>
              <w:sz w:val="28"/>
            </w:rPr>
            <w:t>（四）绩效评价方法</w:t>
          </w:r>
          <w:r>
            <w:rPr>
              <w:sz w:val="28"/>
            </w:rPr>
            <w:tab/>
          </w:r>
          <w:r>
            <w:rPr>
              <w:sz w:val="28"/>
            </w:rPr>
            <w:fldChar w:fldCharType="begin"/>
          </w:r>
          <w:r>
            <w:rPr>
              <w:sz w:val="28"/>
            </w:rPr>
            <w:instrText xml:space="preserve"> PAGEREF _Toc14919 \h </w:instrText>
          </w:r>
          <w:r>
            <w:rPr>
              <w:sz w:val="28"/>
            </w:rPr>
            <w:fldChar w:fldCharType="separate"/>
          </w:r>
          <w:r>
            <w:rPr>
              <w:sz w:val="28"/>
            </w:rPr>
            <w:t>14</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"_Toc6299" </w:instrText>
          </w:r>
          <w:r>
            <w:fldChar w:fldCharType="separate"/>
          </w:r>
          <w:r>
            <w:rPr>
              <w:rFonts w:hint="eastAsia"/>
              <w:sz w:val="28"/>
            </w:rPr>
            <w:t>（五）绩效评价的指标体系</w:t>
          </w:r>
          <w:r>
            <w:rPr>
              <w:sz w:val="28"/>
            </w:rPr>
            <w:tab/>
          </w:r>
          <w:r>
            <w:rPr>
              <w:sz w:val="28"/>
            </w:rPr>
            <w:fldChar w:fldCharType="begin"/>
          </w:r>
          <w:r>
            <w:rPr>
              <w:sz w:val="28"/>
            </w:rPr>
            <w:instrText xml:space="preserve"> PAGEREF _Toc6299 \h </w:instrText>
          </w:r>
          <w:r>
            <w:rPr>
              <w:sz w:val="28"/>
            </w:rPr>
            <w:fldChar w:fldCharType="separate"/>
          </w:r>
          <w:r>
            <w:rPr>
              <w:sz w:val="28"/>
            </w:rPr>
            <w:t>15</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"_Toc8634" </w:instrText>
          </w:r>
          <w:r>
            <w:fldChar w:fldCharType="separate"/>
          </w:r>
          <w:r>
            <w:rPr>
              <w:rFonts w:hint="eastAsia"/>
              <w:sz w:val="28"/>
            </w:rPr>
            <w:t>（六）绩效评价工作组及人员分工</w:t>
          </w:r>
          <w:r>
            <w:rPr>
              <w:sz w:val="28"/>
            </w:rPr>
            <w:tab/>
          </w:r>
          <w:r>
            <w:rPr>
              <w:sz w:val="28"/>
            </w:rPr>
            <w:fldChar w:fldCharType="begin"/>
          </w:r>
          <w:r>
            <w:rPr>
              <w:sz w:val="28"/>
            </w:rPr>
            <w:instrText xml:space="preserve"> PAGEREF _Toc8634 \h </w:instrText>
          </w:r>
          <w:r>
            <w:rPr>
              <w:sz w:val="28"/>
            </w:rPr>
            <w:fldChar w:fldCharType="separate"/>
          </w:r>
          <w:r>
            <w:rPr>
              <w:sz w:val="28"/>
            </w:rPr>
            <w:t>16</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"_Toc14587" </w:instrText>
          </w:r>
          <w:r>
            <w:fldChar w:fldCharType="separate"/>
          </w:r>
          <w:r>
            <w:rPr>
              <w:rFonts w:hint="eastAsia"/>
              <w:sz w:val="28"/>
            </w:rPr>
            <w:t>（七）绩效评价工作过程</w:t>
          </w:r>
          <w:r>
            <w:rPr>
              <w:sz w:val="28"/>
            </w:rPr>
            <w:tab/>
          </w:r>
          <w:r>
            <w:rPr>
              <w:sz w:val="28"/>
            </w:rPr>
            <w:fldChar w:fldCharType="begin"/>
          </w:r>
          <w:r>
            <w:rPr>
              <w:sz w:val="28"/>
            </w:rPr>
            <w:instrText xml:space="preserve"> PAGEREF _Toc14587 \h </w:instrText>
          </w:r>
          <w:r>
            <w:rPr>
              <w:sz w:val="28"/>
            </w:rPr>
            <w:fldChar w:fldCharType="separate"/>
          </w:r>
          <w:r>
            <w:rPr>
              <w:sz w:val="28"/>
            </w:rPr>
            <w:t>17</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"_Toc16009" </w:instrText>
          </w:r>
          <w:r>
            <w:fldChar w:fldCharType="separate"/>
          </w:r>
          <w:r>
            <w:rPr>
              <w:rFonts w:hint="eastAsia"/>
              <w:sz w:val="28"/>
            </w:rPr>
            <w:t>三、绩效评价结论</w:t>
          </w:r>
          <w:r>
            <w:rPr>
              <w:sz w:val="28"/>
            </w:rPr>
            <w:tab/>
          </w:r>
          <w:r>
            <w:rPr>
              <w:sz w:val="28"/>
            </w:rPr>
            <w:fldChar w:fldCharType="begin"/>
          </w:r>
          <w:r>
            <w:rPr>
              <w:sz w:val="28"/>
            </w:rPr>
            <w:instrText xml:space="preserve"> PAGEREF _Toc16009 \h </w:instrText>
          </w:r>
          <w:r>
            <w:rPr>
              <w:sz w:val="28"/>
            </w:rPr>
            <w:fldChar w:fldCharType="separate"/>
          </w:r>
          <w:r>
            <w:rPr>
              <w:sz w:val="28"/>
            </w:rPr>
            <w:t>19</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"_Toc25175" </w:instrText>
          </w:r>
          <w:r>
            <w:fldChar w:fldCharType="separate"/>
          </w:r>
          <w:r>
            <w:rPr>
              <w:rFonts w:hint="eastAsia"/>
              <w:sz w:val="28"/>
            </w:rPr>
            <w:t>(一)评价结论</w:t>
          </w:r>
          <w:r>
            <w:rPr>
              <w:sz w:val="28"/>
            </w:rPr>
            <w:tab/>
          </w:r>
          <w:r>
            <w:rPr>
              <w:sz w:val="28"/>
            </w:rPr>
            <w:fldChar w:fldCharType="begin"/>
          </w:r>
          <w:r>
            <w:rPr>
              <w:sz w:val="28"/>
            </w:rPr>
            <w:instrText xml:space="preserve"> PAGEREF _Toc25175 \h </w:instrText>
          </w:r>
          <w:r>
            <w:rPr>
              <w:sz w:val="28"/>
            </w:rPr>
            <w:fldChar w:fldCharType="separate"/>
          </w:r>
          <w:r>
            <w:rPr>
              <w:sz w:val="28"/>
            </w:rPr>
            <w:t>19</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"_Toc22072" </w:instrText>
          </w:r>
          <w:r>
            <w:fldChar w:fldCharType="separate"/>
          </w:r>
          <w:r>
            <w:rPr>
              <w:rFonts w:hint="eastAsia"/>
              <w:sz w:val="28"/>
            </w:rPr>
            <w:t>（二）绩效评价指标分析</w:t>
          </w:r>
          <w:r>
            <w:rPr>
              <w:sz w:val="28"/>
            </w:rPr>
            <w:tab/>
          </w:r>
          <w:r>
            <w:rPr>
              <w:sz w:val="28"/>
            </w:rPr>
            <w:fldChar w:fldCharType="begin"/>
          </w:r>
          <w:r>
            <w:rPr>
              <w:sz w:val="28"/>
            </w:rPr>
            <w:instrText xml:space="preserve"> PAGEREF _Toc22072 \h </w:instrText>
          </w:r>
          <w:r>
            <w:rPr>
              <w:sz w:val="28"/>
            </w:rPr>
            <w:fldChar w:fldCharType="separate"/>
          </w:r>
          <w:r>
            <w:rPr>
              <w:sz w:val="28"/>
            </w:rPr>
            <w:t>19</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"_Toc9895" </w:instrText>
          </w:r>
          <w:r>
            <w:fldChar w:fldCharType="separate"/>
          </w:r>
          <w:r>
            <w:rPr>
              <w:rFonts w:hint="eastAsia"/>
              <w:sz w:val="28"/>
            </w:rPr>
            <w:t>四、绩效评价结果应用建议</w:t>
          </w:r>
          <w:r>
            <w:rPr>
              <w:sz w:val="28"/>
            </w:rPr>
            <w:tab/>
          </w:r>
          <w:r>
            <w:rPr>
              <w:sz w:val="28"/>
            </w:rPr>
            <w:fldChar w:fldCharType="begin"/>
          </w:r>
          <w:r>
            <w:rPr>
              <w:sz w:val="28"/>
            </w:rPr>
            <w:instrText xml:space="preserve"> PAGEREF _Toc9895 \h </w:instrText>
          </w:r>
          <w:r>
            <w:rPr>
              <w:sz w:val="28"/>
            </w:rPr>
            <w:fldChar w:fldCharType="separate"/>
          </w:r>
          <w:r>
            <w:rPr>
              <w:sz w:val="28"/>
            </w:rPr>
            <w:t>36</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"_Toc4947" </w:instrText>
          </w:r>
          <w:r>
            <w:fldChar w:fldCharType="separate"/>
          </w:r>
          <w:r>
            <w:rPr>
              <w:rFonts w:hint="eastAsia"/>
              <w:sz w:val="28"/>
            </w:rPr>
            <w:t>五、主要做法、存在的问题和建议</w:t>
          </w:r>
          <w:r>
            <w:rPr>
              <w:sz w:val="28"/>
            </w:rPr>
            <w:tab/>
          </w:r>
          <w:r>
            <w:rPr>
              <w:sz w:val="28"/>
            </w:rPr>
            <w:fldChar w:fldCharType="begin"/>
          </w:r>
          <w:r>
            <w:rPr>
              <w:sz w:val="28"/>
            </w:rPr>
            <w:instrText xml:space="preserve"> PAGEREF _Toc4947 \h </w:instrText>
          </w:r>
          <w:r>
            <w:rPr>
              <w:sz w:val="28"/>
            </w:rPr>
            <w:fldChar w:fldCharType="separate"/>
          </w:r>
          <w:r>
            <w:rPr>
              <w:sz w:val="28"/>
            </w:rPr>
            <w:t>37</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"_Toc19672" </w:instrText>
          </w:r>
          <w:r>
            <w:fldChar w:fldCharType="separate"/>
          </w:r>
          <w:r>
            <w:rPr>
              <w:rFonts w:hint="eastAsia"/>
              <w:sz w:val="28"/>
            </w:rPr>
            <w:t>（一）主要经验和做法</w:t>
          </w:r>
          <w:r>
            <w:rPr>
              <w:sz w:val="28"/>
            </w:rPr>
            <w:tab/>
          </w:r>
          <w:r>
            <w:rPr>
              <w:sz w:val="28"/>
            </w:rPr>
            <w:fldChar w:fldCharType="begin"/>
          </w:r>
          <w:r>
            <w:rPr>
              <w:sz w:val="28"/>
            </w:rPr>
            <w:instrText xml:space="preserve"> PAGEREF _Toc19672 \h </w:instrText>
          </w:r>
          <w:r>
            <w:rPr>
              <w:sz w:val="28"/>
            </w:rPr>
            <w:fldChar w:fldCharType="separate"/>
          </w:r>
          <w:r>
            <w:rPr>
              <w:sz w:val="28"/>
            </w:rPr>
            <w:t>37</w:t>
          </w:r>
          <w:r>
            <w:rPr>
              <w:sz w:val="28"/>
            </w:rPr>
            <w:fldChar w:fldCharType="end"/>
          </w:r>
          <w:r>
            <w:rPr>
              <w:sz w:val="28"/>
            </w:rPr>
            <w:fldChar w:fldCharType="end"/>
          </w:r>
        </w:p>
        <w:p>
          <w:pPr>
            <w:pStyle w:val="16"/>
            <w:tabs>
              <w:tab w:val="right" w:leader="dot" w:pos="8504"/>
            </w:tabs>
            <w:spacing w:after="0" w:line="560" w:lineRule="exact"/>
            <w:rPr>
              <w:sz w:val="28"/>
            </w:rPr>
          </w:pPr>
          <w:r>
            <w:fldChar w:fldCharType="begin"/>
          </w:r>
          <w:r>
            <w:instrText xml:space="preserve"> HYPERLINK \l "_Toc5470" </w:instrText>
          </w:r>
          <w:r>
            <w:fldChar w:fldCharType="separate"/>
          </w:r>
          <w:r>
            <w:rPr>
              <w:rFonts w:hint="eastAsia"/>
              <w:sz w:val="28"/>
            </w:rPr>
            <w:t>（二）存在的问题及建议</w:t>
          </w:r>
          <w:r>
            <w:rPr>
              <w:sz w:val="28"/>
            </w:rPr>
            <w:tab/>
          </w:r>
          <w:r>
            <w:rPr>
              <w:sz w:val="28"/>
            </w:rPr>
            <w:fldChar w:fldCharType="begin"/>
          </w:r>
          <w:r>
            <w:rPr>
              <w:sz w:val="28"/>
            </w:rPr>
            <w:instrText xml:space="preserve"> PAGEREF _Toc5470 \h </w:instrText>
          </w:r>
          <w:r>
            <w:rPr>
              <w:sz w:val="28"/>
            </w:rPr>
            <w:fldChar w:fldCharType="separate"/>
          </w:r>
          <w:r>
            <w:rPr>
              <w:sz w:val="28"/>
            </w:rPr>
            <w:t>37</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"_Toc16767" </w:instrText>
          </w:r>
          <w:r>
            <w:fldChar w:fldCharType="separate"/>
          </w:r>
          <w:r>
            <w:rPr>
              <w:rFonts w:hint="eastAsia"/>
              <w:sz w:val="28"/>
            </w:rPr>
            <w:t>附件1：项目支出资金一览表</w:t>
          </w:r>
          <w:r>
            <w:rPr>
              <w:sz w:val="28"/>
            </w:rPr>
            <w:tab/>
          </w:r>
          <w:r>
            <w:rPr>
              <w:sz w:val="28"/>
            </w:rPr>
            <w:fldChar w:fldCharType="begin"/>
          </w:r>
          <w:r>
            <w:rPr>
              <w:sz w:val="28"/>
            </w:rPr>
            <w:instrText xml:space="preserve"> PAGEREF _Toc16767 \h </w:instrText>
          </w:r>
          <w:r>
            <w:rPr>
              <w:sz w:val="28"/>
            </w:rPr>
            <w:fldChar w:fldCharType="separate"/>
          </w:r>
          <w:r>
            <w:rPr>
              <w:sz w:val="28"/>
            </w:rPr>
            <w:t>40</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"_Toc15668" </w:instrText>
          </w:r>
          <w:r>
            <w:fldChar w:fldCharType="separate"/>
          </w:r>
          <w:r>
            <w:rPr>
              <w:rFonts w:hint="eastAsia"/>
              <w:sz w:val="28"/>
            </w:rPr>
            <w:t>附件2：部门整体支出项目绩效评价指标体系及得分</w:t>
          </w:r>
          <w:r>
            <w:rPr>
              <w:sz w:val="28"/>
            </w:rPr>
            <w:tab/>
          </w:r>
          <w:r>
            <w:rPr>
              <w:sz w:val="28"/>
            </w:rPr>
            <w:fldChar w:fldCharType="begin"/>
          </w:r>
          <w:r>
            <w:rPr>
              <w:sz w:val="28"/>
            </w:rPr>
            <w:instrText xml:space="preserve"> PAGEREF _Toc15668 \h </w:instrText>
          </w:r>
          <w:r>
            <w:rPr>
              <w:sz w:val="28"/>
            </w:rPr>
            <w:fldChar w:fldCharType="separate"/>
          </w:r>
          <w:r>
            <w:rPr>
              <w:sz w:val="28"/>
            </w:rPr>
            <w:t>42</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"_Toc22075" </w:instrText>
          </w:r>
          <w:r>
            <w:fldChar w:fldCharType="separate"/>
          </w:r>
          <w:r>
            <w:rPr>
              <w:rFonts w:hint="eastAsia"/>
              <w:sz w:val="28"/>
            </w:rPr>
            <w:t>附件3:部门基础信息及部门自评情况表</w:t>
          </w:r>
          <w:r>
            <w:rPr>
              <w:sz w:val="28"/>
            </w:rPr>
            <w:tab/>
          </w:r>
          <w:r>
            <w:rPr>
              <w:sz w:val="28"/>
            </w:rPr>
            <w:fldChar w:fldCharType="begin"/>
          </w:r>
          <w:r>
            <w:rPr>
              <w:sz w:val="28"/>
            </w:rPr>
            <w:instrText xml:space="preserve"> PAGEREF _Toc22075 \h </w:instrText>
          </w:r>
          <w:r>
            <w:rPr>
              <w:sz w:val="28"/>
            </w:rPr>
            <w:fldChar w:fldCharType="separate"/>
          </w:r>
          <w:r>
            <w:rPr>
              <w:sz w:val="28"/>
            </w:rPr>
            <w:t>50</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"_Toc352" </w:instrText>
          </w:r>
          <w:r>
            <w:fldChar w:fldCharType="separate"/>
          </w:r>
          <w:r>
            <w:rPr>
              <w:rFonts w:hint="eastAsia"/>
              <w:sz w:val="28"/>
            </w:rPr>
            <w:t>附件4：访谈报告</w:t>
          </w:r>
          <w:r>
            <w:rPr>
              <w:sz w:val="28"/>
            </w:rPr>
            <w:tab/>
          </w:r>
          <w:r>
            <w:rPr>
              <w:sz w:val="28"/>
            </w:rPr>
            <w:fldChar w:fldCharType="begin"/>
          </w:r>
          <w:r>
            <w:rPr>
              <w:sz w:val="28"/>
            </w:rPr>
            <w:instrText xml:space="preserve"> PAGEREF _Toc352 \h </w:instrText>
          </w:r>
          <w:r>
            <w:rPr>
              <w:sz w:val="28"/>
            </w:rPr>
            <w:fldChar w:fldCharType="separate"/>
          </w:r>
          <w:r>
            <w:rPr>
              <w:sz w:val="28"/>
            </w:rPr>
            <w:t>52</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"_Toc3376" </w:instrText>
          </w:r>
          <w:r>
            <w:fldChar w:fldCharType="separate"/>
          </w:r>
          <w:r>
            <w:rPr>
              <w:rFonts w:hint="eastAsia"/>
              <w:sz w:val="28"/>
            </w:rPr>
            <w:t>附件5 合规性报告</w:t>
          </w:r>
          <w:r>
            <w:rPr>
              <w:sz w:val="28"/>
            </w:rPr>
            <w:tab/>
          </w:r>
          <w:r>
            <w:rPr>
              <w:sz w:val="28"/>
            </w:rPr>
            <w:fldChar w:fldCharType="begin"/>
          </w:r>
          <w:r>
            <w:rPr>
              <w:sz w:val="28"/>
            </w:rPr>
            <w:instrText xml:space="preserve"> PAGEREF _Toc3376 \h </w:instrText>
          </w:r>
          <w:r>
            <w:rPr>
              <w:sz w:val="28"/>
            </w:rPr>
            <w:fldChar w:fldCharType="separate"/>
          </w:r>
          <w:r>
            <w:rPr>
              <w:sz w:val="28"/>
            </w:rPr>
            <w:t>56</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"_Toc12853" </w:instrText>
          </w:r>
          <w:r>
            <w:fldChar w:fldCharType="separate"/>
          </w:r>
          <w:r>
            <w:rPr>
              <w:rFonts w:hint="eastAsia"/>
              <w:bCs/>
              <w:sz w:val="28"/>
            </w:rPr>
            <w:t>附件6：</w:t>
          </w:r>
          <w:r>
            <w:rPr>
              <w:rFonts w:hint="eastAsia"/>
              <w:sz w:val="28"/>
            </w:rPr>
            <w:t>社会调查问卷(服务对象)汇总分析报告</w:t>
          </w:r>
          <w:r>
            <w:rPr>
              <w:sz w:val="28"/>
            </w:rPr>
            <w:tab/>
          </w:r>
          <w:r>
            <w:rPr>
              <w:sz w:val="28"/>
            </w:rPr>
            <w:fldChar w:fldCharType="begin"/>
          </w:r>
          <w:r>
            <w:rPr>
              <w:sz w:val="28"/>
            </w:rPr>
            <w:instrText xml:space="preserve"> PAGEREF _Toc12853 \h </w:instrText>
          </w:r>
          <w:r>
            <w:rPr>
              <w:sz w:val="28"/>
            </w:rPr>
            <w:fldChar w:fldCharType="separate"/>
          </w:r>
          <w:r>
            <w:rPr>
              <w:sz w:val="28"/>
            </w:rPr>
            <w:t>58</w:t>
          </w:r>
          <w:r>
            <w:rPr>
              <w:sz w:val="28"/>
            </w:rPr>
            <w:fldChar w:fldCharType="end"/>
          </w:r>
          <w:r>
            <w:rPr>
              <w:sz w:val="28"/>
            </w:rPr>
            <w:fldChar w:fldCharType="end"/>
          </w:r>
        </w:p>
        <w:p>
          <w:pPr>
            <w:pStyle w:val="13"/>
            <w:tabs>
              <w:tab w:val="right" w:leader="dot" w:pos="8504"/>
            </w:tabs>
            <w:spacing w:after="0" w:line="560" w:lineRule="exact"/>
            <w:rPr>
              <w:sz w:val="28"/>
            </w:rPr>
          </w:pPr>
          <w:r>
            <w:fldChar w:fldCharType="begin"/>
          </w:r>
          <w:r>
            <w:instrText xml:space="preserve"> HYPERLINK \l "_Toc22839" </w:instrText>
          </w:r>
          <w:r>
            <w:fldChar w:fldCharType="separate"/>
          </w:r>
          <w:r>
            <w:rPr>
              <w:rFonts w:hint="eastAsia"/>
              <w:bCs/>
              <w:sz w:val="28"/>
            </w:rPr>
            <w:t>附件7：</w:t>
          </w:r>
          <w:r>
            <w:rPr>
              <w:rFonts w:hint="eastAsia"/>
              <w:sz w:val="28"/>
            </w:rPr>
            <w:t>社会调查问卷(管理对象)汇总分析报告</w:t>
          </w:r>
          <w:r>
            <w:rPr>
              <w:sz w:val="28"/>
            </w:rPr>
            <w:tab/>
          </w:r>
          <w:r>
            <w:rPr>
              <w:sz w:val="28"/>
            </w:rPr>
            <w:fldChar w:fldCharType="begin"/>
          </w:r>
          <w:r>
            <w:rPr>
              <w:sz w:val="28"/>
            </w:rPr>
            <w:instrText xml:space="preserve"> PAGEREF _Toc22839 \h </w:instrText>
          </w:r>
          <w:r>
            <w:rPr>
              <w:sz w:val="28"/>
            </w:rPr>
            <w:fldChar w:fldCharType="separate"/>
          </w:r>
          <w:r>
            <w:rPr>
              <w:sz w:val="28"/>
            </w:rPr>
            <w:t>62</w:t>
          </w:r>
          <w:r>
            <w:rPr>
              <w:sz w:val="28"/>
            </w:rPr>
            <w:fldChar w:fldCharType="end"/>
          </w:r>
          <w:r>
            <w:rPr>
              <w:sz w:val="28"/>
            </w:rPr>
            <w:fldChar w:fldCharType="end"/>
          </w:r>
        </w:p>
        <w:p>
          <w:pPr>
            <w:pStyle w:val="13"/>
            <w:tabs>
              <w:tab w:val="right" w:leader="dot" w:pos="8504"/>
            </w:tabs>
            <w:spacing w:after="0" w:line="560" w:lineRule="exact"/>
          </w:pPr>
          <w:r>
            <w:fldChar w:fldCharType="begin"/>
          </w:r>
          <w:r>
            <w:instrText xml:space="preserve"> HYPERLINK \l "_Toc5040" </w:instrText>
          </w:r>
          <w:r>
            <w:fldChar w:fldCharType="separate"/>
          </w:r>
          <w:r>
            <w:rPr>
              <w:rFonts w:hint="eastAsia"/>
              <w:sz w:val="28"/>
            </w:rPr>
            <w:t>附件8：实地调研照片</w:t>
          </w:r>
          <w:r>
            <w:rPr>
              <w:sz w:val="28"/>
            </w:rPr>
            <w:tab/>
          </w:r>
          <w:r>
            <w:rPr>
              <w:sz w:val="28"/>
            </w:rPr>
            <w:fldChar w:fldCharType="begin"/>
          </w:r>
          <w:r>
            <w:rPr>
              <w:sz w:val="28"/>
            </w:rPr>
            <w:instrText xml:space="preserve"> PAGEREF _Toc5040 \h </w:instrText>
          </w:r>
          <w:r>
            <w:rPr>
              <w:sz w:val="28"/>
            </w:rPr>
            <w:fldChar w:fldCharType="separate"/>
          </w:r>
          <w:r>
            <w:rPr>
              <w:sz w:val="28"/>
            </w:rPr>
            <w:t>65</w:t>
          </w:r>
          <w:r>
            <w:rPr>
              <w:sz w:val="28"/>
            </w:rPr>
            <w:fldChar w:fldCharType="end"/>
          </w:r>
          <w:r>
            <w:rPr>
              <w:sz w:val="28"/>
            </w:rPr>
            <w:fldChar w:fldCharType="end"/>
          </w:r>
        </w:p>
        <w:p>
          <w:pPr>
            <w:pStyle w:val="7"/>
            <w:spacing w:line="480" w:lineRule="exact"/>
          </w:pPr>
          <w:r>
            <w:rPr>
              <w:rFonts w:hint="eastAsia" w:ascii="仿宋" w:eastAsia="仿宋"/>
              <w:szCs w:val="24"/>
            </w:rPr>
            <w:fldChar w:fldCharType="end"/>
          </w:r>
        </w:p>
      </w:sdtContent>
    </w:sdt>
    <w:p>
      <w:pPr>
        <w:spacing w:line="640" w:lineRule="exact"/>
        <w:jc w:val="center"/>
        <w:rPr>
          <w:b/>
          <w:bCs/>
          <w:sz w:val="32"/>
          <w:szCs w:val="32"/>
        </w:rPr>
        <w:sectPr>
          <w:headerReference r:id="rId4" w:type="default"/>
          <w:footerReference r:id="rId5" w:type="default"/>
          <w:pgSz w:w="11906" w:h="16838"/>
          <w:pgMar w:top="1247" w:right="1701" w:bottom="1247" w:left="1701" w:header="851" w:footer="992" w:gutter="0"/>
          <w:pgNumType w:start="1"/>
          <w:cols w:space="720" w:num="1"/>
          <w:docGrid w:type="lines" w:linePitch="381" w:charSpace="0"/>
        </w:sectPr>
      </w:pPr>
      <w:bookmarkStart w:id="6" w:name="_Toc36"/>
      <w:bookmarkStart w:id="7" w:name="_Toc24682"/>
      <w:bookmarkStart w:id="8" w:name="_Toc25751"/>
      <w:bookmarkStart w:id="9" w:name="_Toc31547_WPSOffice_Level1"/>
      <w:bookmarkStart w:id="10" w:name="_Toc28680"/>
      <w:bookmarkStart w:id="11" w:name="_Toc14552"/>
      <w:bookmarkStart w:id="12" w:name="_Toc8261"/>
      <w:bookmarkStart w:id="13" w:name="_Toc18093_WPSOffice_Level1"/>
    </w:p>
    <w:bookmarkEnd w:id="6"/>
    <w:bookmarkEnd w:id="7"/>
    <w:bookmarkEnd w:id="8"/>
    <w:p>
      <w:pPr>
        <w:pStyle w:val="2"/>
        <w:spacing w:before="0" w:after="0" w:line="600" w:lineRule="exact"/>
        <w:jc w:val="center"/>
      </w:pPr>
      <w:bookmarkStart w:id="14" w:name="_Toc16104"/>
      <w:bookmarkStart w:id="15" w:name="_Toc8206_WPSOffice_Level1"/>
      <w:bookmarkStart w:id="16" w:name="_Toc7437"/>
      <w:bookmarkStart w:id="17" w:name="_Toc20652_WPSOffice_Level1"/>
      <w:bookmarkStart w:id="18" w:name="_Toc17850"/>
      <w:bookmarkStart w:id="19" w:name="_Toc7713_WPSOffice_Level1"/>
      <w:bookmarkStart w:id="20" w:name="_Toc168_WPSOffice_Level1"/>
      <w:bookmarkStart w:id="21" w:name="_Toc17812"/>
      <w:bookmarkStart w:id="22" w:name="_Toc10604"/>
      <w:bookmarkStart w:id="23" w:name="_Toc23537"/>
      <w:bookmarkStart w:id="24" w:name="_Toc6145_WPSOffice_Level1"/>
      <w:r>
        <w:rPr>
          <w:rFonts w:hint="eastAsia"/>
        </w:rPr>
        <w:t>摘 要</w:t>
      </w:r>
      <w:bookmarkEnd w:id="14"/>
    </w:p>
    <w:p>
      <w:pPr>
        <w:spacing w:line="560" w:lineRule="exact"/>
        <w:ind w:firstLine="562" w:firstLineChars="200"/>
        <w:rPr>
          <w:b/>
          <w:bCs/>
        </w:rPr>
      </w:pPr>
      <w:r>
        <w:rPr>
          <w:rFonts w:hint="eastAsia"/>
          <w:b/>
          <w:bCs/>
        </w:rPr>
        <w:t>一、部门基本情况</w:t>
      </w:r>
    </w:p>
    <w:p>
      <w:pPr>
        <w:pStyle w:val="7"/>
        <w:widowControl w:val="0"/>
        <w:spacing w:line="560" w:lineRule="exact"/>
        <w:ind w:firstLine="560" w:firstLineChars="200"/>
        <w:rPr>
          <w:rFonts w:ascii="仿宋" w:eastAsia="仿宋"/>
          <w:bCs/>
          <w:sz w:val="28"/>
        </w:rPr>
      </w:pPr>
      <w:r>
        <w:rPr>
          <w:rFonts w:hint="eastAsia" w:ascii="仿宋" w:eastAsia="仿宋"/>
          <w:bCs/>
          <w:sz w:val="28"/>
        </w:rPr>
        <w:t>运城市住房公积金管理中心位于运城市盐湖区太乙街1591号，登记机关为运城市事业单位登记管理局，是直属市政府的全额事业单位，负责人：张军，统一社会信用代码为12141000408312438U。</w:t>
      </w:r>
    </w:p>
    <w:p>
      <w:pPr>
        <w:spacing w:line="560" w:lineRule="exact"/>
        <w:ind w:firstLine="560" w:firstLineChars="200"/>
      </w:pPr>
      <w:r>
        <w:rPr>
          <w:rFonts w:hint="eastAsia"/>
        </w:rPr>
        <w:t>（一）机构设置情况</w:t>
      </w:r>
    </w:p>
    <w:p>
      <w:pPr>
        <w:spacing w:line="560" w:lineRule="exact"/>
        <w:ind w:firstLine="560" w:firstLineChars="200"/>
      </w:pPr>
      <w:r>
        <w:rPr>
          <w:rFonts w:hint="eastAsia"/>
        </w:rPr>
        <w:t>运城市住房公积金管理中心是运城市人民政府直属事业单位，公益一类，为正处级，内设办公室、组织人事部、计划财务部、归集管理部、贷款管理部、信息技术部、审计稽核部、监督管理部、服务管理部9个职能办公室和1</w:t>
      </w:r>
      <w:r>
        <w:t>4</w:t>
      </w:r>
      <w:r>
        <w:rPr>
          <w:rFonts w:hint="eastAsia"/>
        </w:rPr>
        <w:t>个不具备独立法人资格的管理部。</w:t>
      </w:r>
    </w:p>
    <w:p>
      <w:pPr>
        <w:spacing w:line="560" w:lineRule="exact"/>
        <w:ind w:firstLine="560" w:firstLineChars="200"/>
      </w:pPr>
      <w:r>
        <w:rPr>
          <w:rFonts w:hint="eastAsia"/>
        </w:rPr>
        <w:t>（二）人员情况</w:t>
      </w:r>
    </w:p>
    <w:p>
      <w:pPr>
        <w:spacing w:line="560" w:lineRule="exact"/>
        <w:ind w:firstLine="560" w:firstLineChars="200"/>
      </w:pPr>
      <w:r>
        <w:t>运城市住房公积金管理中心财政拨款事业编制113名，实有人数173人，其中:财政拨款事业编制88人、自收自支人员85人。</w:t>
      </w:r>
    </w:p>
    <w:p>
      <w:pPr>
        <w:spacing w:line="560" w:lineRule="exact"/>
        <w:ind w:firstLine="560" w:firstLineChars="200"/>
      </w:pPr>
      <w:r>
        <w:rPr>
          <w:rFonts w:hint="eastAsia"/>
        </w:rPr>
        <w:t>（三）主要工作职责</w:t>
      </w:r>
    </w:p>
    <w:p>
      <w:pPr>
        <w:spacing w:line="560" w:lineRule="exact"/>
        <w:ind w:firstLine="560" w:firstLineChars="200"/>
      </w:pPr>
      <w:bookmarkStart w:id="25" w:name="_Hlk112081448"/>
      <w:r>
        <w:rPr>
          <w:rFonts w:hint="eastAsia"/>
        </w:rPr>
        <w:t>1.贯彻落实住房公积金管理工作的方针政策、法律法规和市委、市政府工作安排。</w:t>
      </w:r>
    </w:p>
    <w:p>
      <w:pPr>
        <w:spacing w:line="560" w:lineRule="exact"/>
        <w:ind w:firstLine="560" w:firstLineChars="200"/>
      </w:pPr>
      <w:r>
        <w:rPr>
          <w:rFonts w:hint="eastAsia"/>
        </w:rPr>
        <w:t>2.编制、执行住房公积金的归集、使用计划。</w:t>
      </w:r>
    </w:p>
    <w:p>
      <w:pPr>
        <w:spacing w:line="560" w:lineRule="exact"/>
        <w:ind w:firstLine="560" w:firstLineChars="200"/>
      </w:pPr>
      <w:r>
        <w:rPr>
          <w:rFonts w:hint="eastAsia"/>
        </w:rPr>
        <w:t>3.负责记载职工住房公积金的缴存、提取、使用等情况。</w:t>
      </w:r>
    </w:p>
    <w:p>
      <w:pPr>
        <w:spacing w:line="560" w:lineRule="exact"/>
        <w:ind w:firstLine="560" w:firstLineChars="200"/>
      </w:pPr>
      <w:r>
        <w:rPr>
          <w:rFonts w:hint="eastAsia"/>
        </w:rPr>
        <w:t>4.负责住房公积金的核算。</w:t>
      </w:r>
    </w:p>
    <w:p>
      <w:pPr>
        <w:spacing w:line="560" w:lineRule="exact"/>
        <w:ind w:firstLine="560" w:firstLineChars="200"/>
      </w:pPr>
      <w:r>
        <w:rPr>
          <w:rFonts w:hint="eastAsia"/>
        </w:rPr>
        <w:t>5.审批住房公积金的提取、使用。</w:t>
      </w:r>
    </w:p>
    <w:p>
      <w:pPr>
        <w:spacing w:line="560" w:lineRule="exact"/>
        <w:ind w:firstLine="560" w:firstLineChars="200"/>
      </w:pPr>
      <w:r>
        <w:rPr>
          <w:rFonts w:hint="eastAsia"/>
        </w:rPr>
        <w:t>6.负责住房公积金的保值和归还。</w:t>
      </w:r>
    </w:p>
    <w:p>
      <w:pPr>
        <w:spacing w:line="560" w:lineRule="exact"/>
        <w:ind w:firstLine="560" w:firstLineChars="200"/>
      </w:pPr>
      <w:r>
        <w:rPr>
          <w:rFonts w:hint="eastAsia"/>
        </w:rPr>
        <w:t>7.编制住房公积金归集、使用计划执行情况的报告。</w:t>
      </w:r>
    </w:p>
    <w:p>
      <w:pPr>
        <w:spacing w:line="560" w:lineRule="exact"/>
        <w:ind w:firstLine="560" w:firstLineChars="200"/>
      </w:pPr>
      <w:r>
        <w:rPr>
          <w:rFonts w:hint="eastAsia"/>
        </w:rPr>
        <w:t>8.承办市住房公积金管理委员会决定的其他事项。</w:t>
      </w:r>
    </w:p>
    <w:p>
      <w:pPr>
        <w:spacing w:line="560" w:lineRule="exact"/>
        <w:ind w:firstLine="560" w:firstLineChars="200"/>
      </w:pPr>
      <w:r>
        <w:rPr>
          <w:rFonts w:hint="eastAsia"/>
        </w:rPr>
        <w:t>9.完成市委、市政府交办的其他任务。</w:t>
      </w:r>
    </w:p>
    <w:p>
      <w:pPr>
        <w:spacing w:line="560" w:lineRule="exact"/>
        <w:ind w:firstLine="562" w:firstLineChars="200"/>
        <w:rPr>
          <w:b/>
          <w:bCs/>
        </w:rPr>
      </w:pPr>
      <w:r>
        <w:rPr>
          <w:rFonts w:hint="eastAsia"/>
          <w:b/>
          <w:bCs/>
        </w:rPr>
        <w:t>二、部门资金情况</w:t>
      </w:r>
      <w:r>
        <w:rPr>
          <w:rFonts w:hint="eastAsia"/>
          <w:b/>
          <w:bCs/>
        </w:rPr>
        <w:tab/>
      </w:r>
    </w:p>
    <w:p>
      <w:pPr>
        <w:spacing w:line="560" w:lineRule="exact"/>
        <w:ind w:firstLine="560" w:firstLineChars="200"/>
      </w:pPr>
      <w:r>
        <w:rPr>
          <w:rFonts w:hint="eastAsia"/>
        </w:rPr>
        <w:t>运城市住房公积金管理中心将产生的公积金增值收益交回国库，市财政局根据年初预算下达资金。</w:t>
      </w:r>
    </w:p>
    <w:p>
      <w:pPr>
        <w:spacing w:line="560" w:lineRule="exact"/>
        <w:ind w:firstLine="560" w:firstLineChars="200"/>
      </w:pPr>
      <w:r>
        <w:rPr>
          <w:rFonts w:hint="eastAsia"/>
        </w:rPr>
        <w:t>2021年运城市住房公积金管理中心预算资金总额3,054.27万元（2020年结余资金0万元，2021年初部门预算资金3,054.27万元）。其中：基本支出1,887.89万元，项目支出1,166.38万元。</w:t>
      </w:r>
    </w:p>
    <w:p>
      <w:pPr>
        <w:spacing w:line="560" w:lineRule="exact"/>
        <w:ind w:firstLine="560" w:firstLineChars="200"/>
      </w:pPr>
      <w:r>
        <w:rPr>
          <w:rFonts w:hint="eastAsia"/>
        </w:rPr>
        <w:t>2021</w:t>
      </w:r>
      <w:r>
        <w:t>年度</w:t>
      </w:r>
      <w:r>
        <w:rPr>
          <w:rFonts w:hint="eastAsia"/>
        </w:rPr>
        <w:t>实际到位资金2,872.49万元，部门实际支出资金2,872.49万元，其中：基本支出1,785.75万元，项目支出1,086.74万元，期末部门结余资金0元。</w:t>
      </w:r>
    </w:p>
    <w:bookmarkEnd w:id="25"/>
    <w:p>
      <w:pPr>
        <w:spacing w:line="560" w:lineRule="exact"/>
        <w:ind w:firstLine="562" w:firstLineChars="200"/>
        <w:rPr>
          <w:b/>
          <w:bCs/>
        </w:rPr>
      </w:pPr>
      <w:r>
        <w:rPr>
          <w:rFonts w:hint="eastAsia"/>
          <w:b/>
          <w:bCs/>
        </w:rPr>
        <w:t>三、评价思路</w:t>
      </w:r>
    </w:p>
    <w:p>
      <w:pPr>
        <w:spacing w:line="560" w:lineRule="exact"/>
        <w:ind w:firstLine="560" w:firstLineChars="200"/>
      </w:pPr>
      <w:r>
        <w:rPr>
          <w:rFonts w:hint="eastAsia"/>
        </w:rPr>
        <w:t>本次绩效评价工作基准日为2021年12月31日，通过核实部门总结、业务及财务资料，掌握部门职责履行情况。依据相关政策规定、在检查业务及财务资料、现场核实的基础上，对运城市住房公积金管理中心整体支出进行有效评价。</w:t>
      </w:r>
    </w:p>
    <w:p>
      <w:pPr>
        <w:spacing w:line="560" w:lineRule="exact"/>
        <w:ind w:firstLine="562" w:firstLineChars="200"/>
        <w:rPr>
          <w:b/>
          <w:bCs/>
        </w:rPr>
      </w:pPr>
      <w:r>
        <w:rPr>
          <w:rFonts w:hint="eastAsia"/>
          <w:b/>
          <w:bCs/>
        </w:rPr>
        <w:t>四、评价结论</w:t>
      </w:r>
    </w:p>
    <w:p>
      <w:pPr>
        <w:spacing w:line="560" w:lineRule="exact"/>
        <w:ind w:firstLine="560" w:firstLineChars="200"/>
      </w:pPr>
      <w:r>
        <w:rPr>
          <w:rFonts w:hint="eastAsia"/>
        </w:rPr>
        <w:t>经项目组评价，本项目得分为</w:t>
      </w:r>
      <w:r>
        <w:rPr>
          <w:rFonts w:hint="eastAsia"/>
          <w:lang w:val="en-US" w:eastAsia="zh-CN"/>
        </w:rPr>
        <w:t>89</w:t>
      </w:r>
      <w:r>
        <w:rPr>
          <w:rFonts w:hint="eastAsia"/>
        </w:rPr>
        <w:t>.32分，绩效评价等级为</w:t>
      </w:r>
      <w:r>
        <w:rPr>
          <w:rFonts w:hint="eastAsia"/>
          <w:lang w:val="en-US" w:eastAsia="zh-CN"/>
        </w:rPr>
        <w:t>良</w:t>
      </w:r>
      <w:r>
        <w:rPr>
          <w:rFonts w:hint="eastAsia"/>
        </w:rPr>
        <w:t>。具体得分情况如下表所示：</w:t>
      </w:r>
    </w:p>
    <w:p>
      <w:pPr>
        <w:pStyle w:val="72"/>
        <w:spacing w:line="360" w:lineRule="auto"/>
        <w:ind w:firstLine="420"/>
        <w:rPr>
          <w:rFonts w:ascii="仿宋" w:hAnsi="仿宋" w:eastAsia="仿宋"/>
          <w:szCs w:val="24"/>
        </w:rPr>
      </w:pPr>
      <w:r>
        <w:rPr>
          <w:rFonts w:hint="eastAsia" w:ascii="仿宋" w:hAnsi="仿宋" w:eastAsia="仿宋"/>
          <w:szCs w:val="24"/>
        </w:rPr>
        <w:t>项目绩效评价得分表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85"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指标</w:t>
            </w:r>
          </w:p>
        </w:tc>
        <w:tc>
          <w:tcPr>
            <w:tcW w:w="1575"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A履职效能</w:t>
            </w:r>
          </w:p>
        </w:tc>
        <w:tc>
          <w:tcPr>
            <w:tcW w:w="1455"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B管理效率</w:t>
            </w:r>
          </w:p>
        </w:tc>
        <w:tc>
          <w:tcPr>
            <w:tcW w:w="1395"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C社会效应</w:t>
            </w:r>
          </w:p>
        </w:tc>
        <w:tc>
          <w:tcPr>
            <w:tcW w:w="1533"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D可持续性</w:t>
            </w:r>
          </w:p>
        </w:tc>
        <w:tc>
          <w:tcPr>
            <w:tcW w:w="1377" w:type="dxa"/>
            <w:tcBorders>
              <w:bottom w:val="single" w:color="auto" w:sz="4" w:space="0"/>
            </w:tcBorders>
            <w:shd w:val="clear" w:color="auto" w:fill="FFFFFF"/>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权重</w:t>
            </w:r>
          </w:p>
        </w:tc>
        <w:tc>
          <w:tcPr>
            <w:tcW w:w="157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40</w:t>
            </w:r>
          </w:p>
        </w:tc>
        <w:tc>
          <w:tcPr>
            <w:tcW w:w="145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30</w:t>
            </w:r>
          </w:p>
        </w:tc>
        <w:tc>
          <w:tcPr>
            <w:tcW w:w="139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20</w:t>
            </w:r>
          </w:p>
        </w:tc>
        <w:tc>
          <w:tcPr>
            <w:tcW w:w="1533"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w:t>
            </w:r>
          </w:p>
        </w:tc>
        <w:tc>
          <w:tcPr>
            <w:tcW w:w="1377"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分值</w:t>
            </w:r>
          </w:p>
        </w:tc>
        <w:tc>
          <w:tcPr>
            <w:tcW w:w="157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36</w:t>
            </w:r>
          </w:p>
        </w:tc>
        <w:tc>
          <w:tcPr>
            <w:tcW w:w="145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2</w:t>
            </w:r>
            <w:r>
              <w:rPr>
                <w:rFonts w:hint="eastAsia" w:ascii="仿宋" w:hAnsi="仿宋" w:eastAsia="仿宋"/>
                <w:b w:val="0"/>
                <w:szCs w:val="24"/>
                <w:lang w:val="en-US" w:eastAsia="zh-CN"/>
              </w:rPr>
              <w:t>3</w:t>
            </w:r>
            <w:r>
              <w:rPr>
                <w:rFonts w:hint="eastAsia" w:ascii="仿宋" w:hAnsi="仿宋" w:eastAsia="仿宋"/>
                <w:b w:val="0"/>
                <w:szCs w:val="24"/>
              </w:rPr>
              <w:t>.5</w:t>
            </w:r>
          </w:p>
        </w:tc>
        <w:tc>
          <w:tcPr>
            <w:tcW w:w="139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19.82</w:t>
            </w:r>
          </w:p>
        </w:tc>
        <w:tc>
          <w:tcPr>
            <w:tcW w:w="1533"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w:t>
            </w:r>
          </w:p>
        </w:tc>
        <w:tc>
          <w:tcPr>
            <w:tcW w:w="1377"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89</w:t>
            </w:r>
            <w:r>
              <w:rPr>
                <w:rFonts w:hint="eastAsia" w:ascii="仿宋" w:hAnsi="仿宋" w:eastAsia="仿宋"/>
                <w:b w:val="0"/>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noWrap/>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得分率</w:t>
            </w:r>
          </w:p>
        </w:tc>
        <w:tc>
          <w:tcPr>
            <w:tcW w:w="157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90%</w:t>
            </w:r>
          </w:p>
        </w:tc>
        <w:tc>
          <w:tcPr>
            <w:tcW w:w="145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78.33</w:t>
            </w:r>
            <w:r>
              <w:rPr>
                <w:rFonts w:hint="eastAsia" w:ascii="仿宋" w:hAnsi="仿宋" w:eastAsia="仿宋"/>
                <w:b w:val="0"/>
                <w:szCs w:val="24"/>
              </w:rPr>
              <w:t>%</w:t>
            </w:r>
          </w:p>
        </w:tc>
        <w:tc>
          <w:tcPr>
            <w:tcW w:w="1395"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99.10%</w:t>
            </w:r>
          </w:p>
        </w:tc>
        <w:tc>
          <w:tcPr>
            <w:tcW w:w="1533"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100%</w:t>
            </w:r>
          </w:p>
        </w:tc>
        <w:tc>
          <w:tcPr>
            <w:tcW w:w="1377" w:type="dxa"/>
            <w:noWrap/>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89</w:t>
            </w:r>
            <w:r>
              <w:rPr>
                <w:rFonts w:hint="eastAsia" w:ascii="仿宋" w:hAnsi="仿宋" w:eastAsia="仿宋"/>
                <w:b w:val="0"/>
                <w:szCs w:val="24"/>
              </w:rPr>
              <w:t>.32%</w:t>
            </w:r>
          </w:p>
        </w:tc>
      </w:tr>
    </w:tbl>
    <w:p>
      <w:pPr>
        <w:widowControl w:val="0"/>
        <w:spacing w:line="560" w:lineRule="exact"/>
        <w:ind w:firstLine="562" w:firstLineChars="200"/>
        <w:rPr>
          <w:b/>
          <w:bCs/>
          <w:highlight w:val="yellow"/>
        </w:rPr>
      </w:pPr>
      <w:r>
        <w:rPr>
          <w:rFonts w:hint="eastAsia"/>
          <w:b/>
          <w:bCs/>
        </w:rPr>
        <w:t>五、主要经验和做法</w:t>
      </w:r>
    </w:p>
    <w:p>
      <w:pPr>
        <w:widowControl w:val="0"/>
        <w:spacing w:line="560" w:lineRule="exact"/>
        <w:ind w:firstLine="560" w:firstLineChars="200"/>
        <w:rPr>
          <w:highlight w:val="yellow"/>
        </w:rPr>
      </w:pPr>
      <w:bookmarkStart w:id="26" w:name="_Hlk119578207"/>
      <w:r>
        <w:rPr>
          <w:rFonts w:hint="eastAsia"/>
        </w:rPr>
        <w:t>（一）</w:t>
      </w:r>
      <w:r>
        <w:t>突出作风抓党建，以身作则从严治党。</w:t>
      </w:r>
    </w:p>
    <w:p>
      <w:pPr>
        <w:widowControl w:val="0"/>
        <w:spacing w:line="560" w:lineRule="exact"/>
        <w:ind w:firstLine="560" w:firstLineChars="200"/>
      </w:pPr>
      <w:r>
        <w:t>全面推进党风廉政建设向纵深发展，</w:t>
      </w:r>
      <w:r>
        <w:rPr>
          <w:rFonts w:hint="eastAsia"/>
        </w:rPr>
        <w:t>班子成员</w:t>
      </w:r>
      <w:r>
        <w:t>严以律己，以身作则，严格落实中央八项规定精神，认真开展集体廉政谈话，严肃查处违反和破坏基层党建工作的党员干部，努力营造风清气正、干事创业的政治生态。</w:t>
      </w:r>
    </w:p>
    <w:p>
      <w:pPr>
        <w:widowControl w:val="0"/>
        <w:spacing w:line="560" w:lineRule="exact"/>
        <w:ind w:firstLine="560" w:firstLineChars="200"/>
        <w:rPr>
          <w:highlight w:val="yellow"/>
        </w:rPr>
      </w:pPr>
      <w:r>
        <w:rPr>
          <w:rFonts w:hint="eastAsia"/>
        </w:rPr>
        <w:t>（二）规范工程建设程序，提高建设工程透明度。</w:t>
      </w:r>
    </w:p>
    <w:p>
      <w:pPr>
        <w:widowControl w:val="0"/>
        <w:spacing w:line="560" w:lineRule="exact"/>
        <w:ind w:firstLine="560" w:firstLineChars="200"/>
      </w:pPr>
      <w:r>
        <w:rPr>
          <w:rFonts w:hint="eastAsia"/>
        </w:rPr>
        <w:t>严格履行项目招投标手续，对建设工程进行招投标；委托专业监理公司，对施工过程进行全程监理；严格履行政府采购制度，将项目预算报财政进行批复。</w:t>
      </w:r>
    </w:p>
    <w:p>
      <w:pPr>
        <w:widowControl w:val="0"/>
        <w:spacing w:line="560" w:lineRule="exact"/>
        <w:ind w:firstLine="560" w:firstLineChars="200"/>
      </w:pPr>
      <w:r>
        <w:rPr>
          <w:rFonts w:hint="eastAsia"/>
        </w:rPr>
        <w:t>（三）打造智慧服务平台，持续优化便民服务。</w:t>
      </w:r>
    </w:p>
    <w:p>
      <w:pPr>
        <w:widowControl w:val="0"/>
        <w:spacing w:line="560" w:lineRule="exact"/>
        <w:ind w:firstLine="560" w:firstLineChars="200"/>
      </w:pPr>
      <w:r>
        <w:rPr>
          <w:rFonts w:hint="eastAsia"/>
        </w:rPr>
        <w:t>成立信息化建设领导小组，专项负责信息化建设工作，按照“规范、安全、效率、效益”的原则，围绕“全程网办”和“跨省通办”两个着力点，搭建服务新平台，加快完善业务系统，增加网办业务功能。</w:t>
      </w:r>
    </w:p>
    <w:bookmarkEnd w:id="26"/>
    <w:p>
      <w:pPr>
        <w:widowControl w:val="0"/>
        <w:spacing w:line="560" w:lineRule="exact"/>
        <w:ind w:firstLine="562" w:firstLineChars="200"/>
        <w:rPr>
          <w:b/>
          <w:bCs/>
        </w:rPr>
      </w:pPr>
      <w:bookmarkStart w:id="27" w:name="_Hlk119578223"/>
      <w:r>
        <w:rPr>
          <w:rFonts w:hint="eastAsia"/>
          <w:b/>
          <w:bCs/>
        </w:rPr>
        <w:t>六、存在的问题及建议</w:t>
      </w:r>
    </w:p>
    <w:p>
      <w:pPr>
        <w:widowControl w:val="0"/>
        <w:spacing w:line="560" w:lineRule="exact"/>
        <w:ind w:firstLine="560" w:firstLineChars="200"/>
      </w:pPr>
      <w:bookmarkStart w:id="28" w:name="_Hlk115271032"/>
      <w:r>
        <w:rPr>
          <w:rFonts w:hint="eastAsia"/>
        </w:rPr>
        <w:t>（一）运城市住房公积金管理中心工作运转经费项目绩效目标申报表未细化、量化产出、效益等指标，指标值不清晰，可衡量性不强；绩效自评报告填写不完整（项目主要经验做法、存在的主要问题及管理建议等未进行描述分析），不利于对项目实施情况进行有效监督和评价。</w:t>
      </w:r>
    </w:p>
    <w:p>
      <w:pPr>
        <w:widowControl w:val="0"/>
        <w:spacing w:line="560" w:lineRule="exact"/>
        <w:ind w:firstLine="560" w:firstLineChars="200"/>
      </w:pPr>
      <w:r>
        <w:rPr>
          <w:rFonts w:hint="eastAsia"/>
        </w:rPr>
        <w:t>建议：</w:t>
      </w:r>
    </w:p>
    <w:p>
      <w:pPr>
        <w:widowControl w:val="0"/>
        <w:spacing w:line="560" w:lineRule="exact"/>
        <w:ind w:firstLine="560" w:firstLineChars="200"/>
      </w:pPr>
      <w:r>
        <w:rPr>
          <w:rFonts w:hint="eastAsia"/>
        </w:rPr>
        <w:t>运城市住房公积金管理中心要重视绩效管理工作，制定绩效管理制度，根据业务特点制定切实可行的绩效目标，并对照绩效目标总要求，进一步细化分解项目绩效目标，以目标为方向、制度为依据，切实用好财政资金，经济高效地完成项目工作。</w:t>
      </w:r>
    </w:p>
    <w:p>
      <w:pPr>
        <w:widowControl w:val="0"/>
        <w:spacing w:line="560" w:lineRule="exact"/>
        <w:ind w:firstLine="560" w:firstLineChars="200"/>
      </w:pPr>
      <w:r>
        <w:rPr>
          <w:rFonts w:hint="eastAsia"/>
        </w:rPr>
        <w:t>项目完成后，及时编制绩效自评报告，详细完整描述项目实施情况、主要产出和效益、项目主要经验、存在问题及改进措施等。</w:t>
      </w:r>
    </w:p>
    <w:p>
      <w:pPr>
        <w:widowControl w:val="0"/>
        <w:spacing w:line="560" w:lineRule="exact"/>
        <w:ind w:firstLine="560" w:firstLineChars="200"/>
      </w:pPr>
      <w:r>
        <w:rPr>
          <w:rFonts w:hint="eastAsia"/>
        </w:rPr>
        <w:t>（二）项目单位资产管理存在不规范事项，具体为：</w:t>
      </w:r>
    </w:p>
    <w:p>
      <w:pPr>
        <w:widowControl w:val="0"/>
        <w:spacing w:line="560" w:lineRule="exact"/>
        <w:ind w:firstLine="560" w:firstLineChars="200"/>
      </w:pPr>
      <w:r>
        <w:rPr>
          <w:rFonts w:hint="eastAsia"/>
        </w:rPr>
        <w:t>1、单位下设机构未按制度规定对固定资产每年度进行一次全面清查盘点，年底盘点时未保留纸质盘点记录，固定资产实物上未粘贴《固定资产卡片》，资产盘点制度执行不到位。</w:t>
      </w:r>
    </w:p>
    <w:p>
      <w:pPr>
        <w:widowControl w:val="0"/>
        <w:spacing w:line="560" w:lineRule="exact"/>
        <w:ind w:firstLine="560" w:firstLineChars="200"/>
      </w:pPr>
      <w:r>
        <w:rPr>
          <w:rFonts w:hint="eastAsia"/>
        </w:rPr>
        <w:t>2、该单位部分资产卡片信息不完整，部分资产未录入使用部门和存放地点等；</w:t>
      </w:r>
    </w:p>
    <w:p>
      <w:pPr>
        <w:widowControl w:val="0"/>
        <w:spacing w:line="560" w:lineRule="exact"/>
        <w:ind w:firstLine="560" w:firstLineChars="200"/>
      </w:pPr>
      <w:r>
        <w:rPr>
          <w:rFonts w:hint="eastAsia"/>
        </w:rPr>
        <w:t>建议：对固定资产进行编码登记，规范固定资产标签管理，核实固定资产存放位置，定期对固定资产进行盘点并分析差异原因；完善固定资产划拨手续，及时进行账务处理，纳入固定资产账簿管理，确保资产管理数据真实、完整、准确，避免国有资产流失。</w:t>
      </w:r>
    </w:p>
    <w:p>
      <w:pPr>
        <w:widowControl w:val="0"/>
        <w:spacing w:line="560" w:lineRule="exact"/>
        <w:ind w:firstLine="560" w:firstLineChars="200"/>
      </w:pPr>
      <w:r>
        <w:rPr>
          <w:rFonts w:hint="eastAsia"/>
        </w:rPr>
        <w:t>（三）未完成个人贷款逾期率控制任务，个贷逾期管理及催收工作需要进一步改进，具体为：</w:t>
      </w:r>
    </w:p>
    <w:p>
      <w:pPr>
        <w:widowControl w:val="0"/>
        <w:spacing w:line="560" w:lineRule="exact"/>
        <w:ind w:firstLine="560" w:firstLineChars="200"/>
      </w:pPr>
      <w:r>
        <w:rPr>
          <w:rFonts w:hint="eastAsia"/>
        </w:rPr>
        <w:t>项目单位2021年末公积金个人贷款余额为94.29亿元，期末逾期贷款额1,107.84万元（其中：逾期3-5期贷款额2.34万元，逾期6期及以上贷款额1,105.50万元），2021年末个贷逾期率为0.12%，为山西省住建厅下发的任务（降至0.02%以下）的6倍。</w:t>
      </w:r>
    </w:p>
    <w:p>
      <w:pPr>
        <w:widowControl w:val="0"/>
        <w:spacing w:line="560" w:lineRule="exact"/>
        <w:ind w:firstLine="560" w:firstLineChars="200"/>
      </w:pPr>
      <w:r>
        <w:rPr>
          <w:rFonts w:hint="eastAsia"/>
        </w:rPr>
        <w:t>期末逾期贷款额1,107.84万元，主要原因：2004年６月机构调整以前的逾期贷款（1,020.54万元）占到总逾期贷款的92%，主要为永济印染厂195名职工逾期贷款585万元、外贸购销公司逾期贷款21.44万元，2004年６月以后逾期贷款占到总逾期贷款的8%。</w:t>
      </w:r>
    </w:p>
    <w:p>
      <w:pPr>
        <w:widowControl w:val="0"/>
        <w:spacing w:line="560" w:lineRule="exact"/>
        <w:ind w:firstLine="560" w:firstLineChars="200"/>
      </w:pPr>
      <w:r>
        <w:rPr>
          <w:rFonts w:hint="eastAsia"/>
        </w:rPr>
        <w:t>建议：运城市住房公积金管理中心需加强逾期贷款催收工作，通过电话催收、上门催收、划扣公积金、媒体公告、法律诉讼、法院执行、公安协助等手段和措施，加强逾期贷款清收工作，对于无偿还能力或已过诉讼时效等情况的贷款，依据《住房公积金呆账核销管理办法》报财政、上级监管等相关部门审核后核销，同时力争将个贷逾期率控制在合理数值；完善资金流动性风险预警机制，提前测算资金流量，科学盘活存储资金，积极防范流动性风险；实行业务运行分析会议制度，每月总结、预判资金运行情况，合理确定资金存储、调拨计划，保障资金的高效利用和安全管理。</w:t>
      </w:r>
    </w:p>
    <w:bookmarkEnd w:id="27"/>
    <w:bookmarkEnd w:id="28"/>
    <w:p>
      <w:pPr>
        <w:spacing w:line="560" w:lineRule="exact"/>
        <w:ind w:firstLine="560" w:firstLineChars="200"/>
      </w:pPr>
    </w:p>
    <w:p/>
    <w:p>
      <w:pPr>
        <w:pStyle w:val="28"/>
        <w:ind w:firstLine="280"/>
        <w:rPr>
          <w:kern w:val="0"/>
        </w:rPr>
      </w:pPr>
    </w:p>
    <w:p>
      <w:pPr>
        <w:pStyle w:val="7"/>
      </w:pPr>
    </w:p>
    <w:p/>
    <w:p>
      <w:pPr>
        <w:jc w:val="center"/>
        <w:rPr>
          <w:b/>
          <w:bCs/>
          <w:sz w:val="30"/>
          <w:szCs w:val="30"/>
        </w:rPr>
      </w:pPr>
      <w:bookmarkStart w:id="29" w:name="_Toc21513"/>
    </w:p>
    <w:p>
      <w:pPr>
        <w:jc w:val="center"/>
        <w:rPr>
          <w:b/>
          <w:bCs/>
          <w:sz w:val="30"/>
          <w:szCs w:val="30"/>
        </w:rPr>
      </w:pPr>
      <w:r>
        <w:rPr>
          <w:rFonts w:hint="eastAsia"/>
          <w:b/>
          <w:bCs/>
          <w:sz w:val="30"/>
          <w:szCs w:val="30"/>
        </w:rPr>
        <w:t>评价机构：山西高盛新会计师事务所有限公司</w:t>
      </w:r>
      <w:bookmarkEnd w:id="29"/>
    </w:p>
    <w:p>
      <w:pPr>
        <w:rPr>
          <w:b/>
          <w:bCs/>
          <w:sz w:val="30"/>
          <w:szCs w:val="30"/>
        </w:rPr>
      </w:pPr>
    </w:p>
    <w:p>
      <w:pPr>
        <w:ind w:firstLine="1205" w:firstLineChars="400"/>
        <w:rPr>
          <w:b/>
          <w:bCs/>
          <w:sz w:val="30"/>
          <w:szCs w:val="30"/>
        </w:rPr>
      </w:pPr>
      <w:bookmarkStart w:id="30" w:name="_Toc11960"/>
      <w:r>
        <w:rPr>
          <w:rFonts w:hint="eastAsia"/>
          <w:b/>
          <w:bCs/>
          <w:sz w:val="30"/>
          <w:szCs w:val="30"/>
        </w:rPr>
        <w:t>主评人：</w:t>
      </w:r>
      <w:bookmarkEnd w:id="30"/>
    </w:p>
    <w:p>
      <w:pPr>
        <w:pStyle w:val="7"/>
        <w:sectPr>
          <w:footerReference r:id="rId6" w:type="default"/>
          <w:pgSz w:w="11906" w:h="16838"/>
          <w:pgMar w:top="1247" w:right="1701" w:bottom="1247" w:left="1701" w:header="851" w:footer="992" w:gutter="0"/>
          <w:pgNumType w:start="1"/>
          <w:cols w:space="720" w:num="1"/>
          <w:docGrid w:type="lines" w:linePitch="381" w:charSpace="0"/>
        </w:sectPr>
      </w:pPr>
    </w:p>
    <w:bookmarkEnd w:id="9"/>
    <w:bookmarkEnd w:id="10"/>
    <w:bookmarkEnd w:id="11"/>
    <w:bookmarkEnd w:id="12"/>
    <w:bookmarkEnd w:id="13"/>
    <w:bookmarkEnd w:id="15"/>
    <w:bookmarkEnd w:id="16"/>
    <w:bookmarkEnd w:id="17"/>
    <w:bookmarkEnd w:id="18"/>
    <w:bookmarkEnd w:id="19"/>
    <w:bookmarkEnd w:id="20"/>
    <w:bookmarkEnd w:id="21"/>
    <w:bookmarkEnd w:id="22"/>
    <w:bookmarkEnd w:id="23"/>
    <w:bookmarkEnd w:id="24"/>
    <w:p>
      <w:pPr>
        <w:widowControl w:val="0"/>
        <w:spacing w:after="190" w:afterLines="50" w:line="560" w:lineRule="exact"/>
        <w:jc w:val="center"/>
        <w:outlineLvl w:val="0"/>
      </w:pPr>
      <w:bookmarkStart w:id="31" w:name="_Toc27996_WPSOffice_Level1"/>
      <w:bookmarkStart w:id="32" w:name="_Toc12186_WPSOffice_Level1"/>
      <w:bookmarkStart w:id="33" w:name="_Toc19379"/>
      <w:bookmarkStart w:id="34" w:name="_Toc11746"/>
      <w:bookmarkStart w:id="35" w:name="_Toc17844_WPSOffice_Level1"/>
      <w:bookmarkStart w:id="36" w:name="_Toc17313_WPSOffice_Level1"/>
      <w:bookmarkStart w:id="37" w:name="_Toc14525"/>
      <w:bookmarkStart w:id="38" w:name="_Toc2589"/>
      <w:bookmarkStart w:id="39" w:name="_Toc16640"/>
      <w:bookmarkStart w:id="40" w:name="_Toc20000"/>
      <w:bookmarkStart w:id="41" w:name="_Toc32408"/>
      <w:bookmarkStart w:id="42" w:name="_Toc17531"/>
      <w:r>
        <w:rPr>
          <w:rFonts w:hint="eastAsia"/>
          <w:b/>
          <w:sz w:val="32"/>
          <w:szCs w:val="32"/>
        </w:rPr>
        <w:t>绩效评价</w:t>
      </w:r>
      <w:bookmarkEnd w:id="31"/>
      <w:bookmarkEnd w:id="32"/>
      <w:bookmarkEnd w:id="33"/>
      <w:bookmarkEnd w:id="34"/>
      <w:bookmarkEnd w:id="35"/>
      <w:bookmarkEnd w:id="36"/>
      <w:bookmarkEnd w:id="37"/>
      <w:r>
        <w:rPr>
          <w:rFonts w:hint="eastAsia"/>
          <w:b/>
          <w:sz w:val="32"/>
          <w:szCs w:val="32"/>
        </w:rPr>
        <w:t>报告</w:t>
      </w:r>
      <w:bookmarkEnd w:id="38"/>
      <w:bookmarkEnd w:id="39"/>
      <w:bookmarkEnd w:id="40"/>
      <w:bookmarkEnd w:id="41"/>
      <w:bookmarkEnd w:id="42"/>
    </w:p>
    <w:p>
      <w:pPr>
        <w:widowControl w:val="0"/>
        <w:adjustRightInd w:val="0"/>
        <w:snapToGrid w:val="0"/>
        <w:spacing w:line="560" w:lineRule="exact"/>
        <w:jc w:val="left"/>
      </w:pPr>
      <w:r>
        <w:rPr>
          <w:rFonts w:hint="eastAsia"/>
        </w:rPr>
        <w:t>运城市财政局：</w:t>
      </w:r>
    </w:p>
    <w:p>
      <w:pPr>
        <w:widowControl w:val="0"/>
        <w:adjustRightInd w:val="0"/>
        <w:snapToGrid w:val="0"/>
        <w:spacing w:line="560" w:lineRule="exact"/>
        <w:ind w:firstLine="560" w:firstLineChars="200"/>
      </w:pPr>
      <w:bookmarkStart w:id="43" w:name="_Toc2321"/>
      <w:r>
        <w:rPr>
          <w:rFonts w:hint="eastAsia"/>
        </w:rPr>
        <w:t>我们接受委托，于2022年8月8日至2022年9月30日对运城市住房公积金管理中心2021年部门整体支出进行了绩效评价。根据运城市财政局《2</w:t>
      </w:r>
      <w:r>
        <w:t>022</w:t>
      </w:r>
      <w:r>
        <w:rPr>
          <w:rFonts w:hint="eastAsia"/>
        </w:rPr>
        <w:t>年预算绩效评价实施方案》（运财监〔20</w:t>
      </w:r>
      <w:r>
        <w:t>22</w:t>
      </w:r>
      <w:r>
        <w:rPr>
          <w:rFonts w:hint="eastAsia"/>
        </w:rPr>
        <w:t>〕</w:t>
      </w:r>
      <w:r>
        <w:t>6</w:t>
      </w:r>
      <w:r>
        <w:rPr>
          <w:rFonts w:hint="eastAsia"/>
        </w:rPr>
        <w:t>号）文件精神和相关要求，我们按照绩效评价工作方案确定了评价指标、评价标准和评价方法，对评价对象的绩效情况进行全面的定量定性分析和综合评价，形成了本报告。</w:t>
      </w:r>
    </w:p>
    <w:p>
      <w:pPr>
        <w:pStyle w:val="2"/>
        <w:spacing w:before="0" w:after="0" w:line="560" w:lineRule="exact"/>
        <w:ind w:firstLine="562" w:firstLineChars="200"/>
        <w:rPr>
          <w:sz w:val="28"/>
        </w:rPr>
      </w:pPr>
      <w:bookmarkStart w:id="44" w:name="_Toc19483_WPSOffice_Level1"/>
      <w:bookmarkStart w:id="45" w:name="_Toc14386_WPSOffice_Level1"/>
      <w:bookmarkStart w:id="46" w:name="_Toc13664"/>
      <w:bookmarkStart w:id="47" w:name="_Toc1472"/>
      <w:bookmarkStart w:id="48" w:name="_Toc29818_WPSOffice_Level1"/>
      <w:bookmarkStart w:id="49" w:name="_Toc31663_WPSOffice_Level1"/>
      <w:bookmarkStart w:id="50" w:name="_Toc5303_WPSOffice_Level1"/>
      <w:bookmarkStart w:id="51" w:name="_Toc22959"/>
      <w:bookmarkStart w:id="52" w:name="_Toc25391"/>
      <w:bookmarkStart w:id="53" w:name="_Toc30701"/>
      <w:bookmarkStart w:id="54" w:name="_Toc20270"/>
      <w:bookmarkStart w:id="55" w:name="_Toc22273"/>
      <w:bookmarkStart w:id="56" w:name="_Toc13319"/>
      <w:bookmarkStart w:id="57" w:name="_Toc13370"/>
      <w:bookmarkStart w:id="58" w:name="_Toc31365"/>
      <w:bookmarkStart w:id="59" w:name="_Toc15003_WPSOffice_Level2"/>
      <w:bookmarkStart w:id="60" w:name="_Toc19975_WPSOffice_Level2"/>
      <w:bookmarkStart w:id="61" w:name="_Toc28655_WPSOffice_Level2"/>
      <w:bookmarkStart w:id="62" w:name="_Toc26397_WPSOffice_Level2"/>
      <w:r>
        <w:rPr>
          <w:rFonts w:hint="eastAsia"/>
          <w:sz w:val="28"/>
        </w:rPr>
        <w:t>一、</w:t>
      </w:r>
      <w:bookmarkEnd w:id="44"/>
      <w:bookmarkEnd w:id="45"/>
      <w:bookmarkEnd w:id="46"/>
      <w:bookmarkEnd w:id="47"/>
      <w:bookmarkEnd w:id="48"/>
      <w:bookmarkEnd w:id="49"/>
      <w:bookmarkEnd w:id="50"/>
      <w:bookmarkEnd w:id="51"/>
      <w:bookmarkEnd w:id="52"/>
      <w:bookmarkEnd w:id="53"/>
      <w:r>
        <w:rPr>
          <w:rFonts w:hint="eastAsia"/>
          <w:sz w:val="28"/>
        </w:rPr>
        <w:t>部门概况</w:t>
      </w:r>
      <w:bookmarkEnd w:id="54"/>
    </w:p>
    <w:p>
      <w:pPr>
        <w:pStyle w:val="3"/>
        <w:spacing w:before="0" w:after="0" w:line="560" w:lineRule="exact"/>
        <w:ind w:firstLine="562" w:firstLineChars="200"/>
        <w:rPr>
          <w:rFonts w:ascii="仿宋" w:hAnsi="仿宋" w:eastAsia="仿宋"/>
          <w:sz w:val="28"/>
        </w:rPr>
      </w:pPr>
      <w:bookmarkStart w:id="63" w:name="_Toc32209"/>
      <w:bookmarkStart w:id="64" w:name="_Toc13890"/>
      <w:bookmarkStart w:id="65" w:name="_Toc23248"/>
      <w:r>
        <w:rPr>
          <w:rFonts w:hint="eastAsia" w:ascii="仿宋" w:hAnsi="仿宋" w:eastAsia="仿宋"/>
          <w:sz w:val="28"/>
        </w:rPr>
        <w:t>（一）部门基本情况</w:t>
      </w:r>
      <w:bookmarkEnd w:id="63"/>
    </w:p>
    <w:bookmarkEnd w:id="64"/>
    <w:bookmarkEnd w:id="65"/>
    <w:p>
      <w:pPr>
        <w:widowControl w:val="0"/>
        <w:spacing w:line="560" w:lineRule="exact"/>
        <w:ind w:firstLine="560" w:firstLineChars="200"/>
        <w:rPr>
          <w:bCs/>
        </w:rPr>
      </w:pPr>
      <w:bookmarkStart w:id="66" w:name="_Toc28243"/>
      <w:bookmarkStart w:id="67" w:name="_Toc27300"/>
      <w:r>
        <w:rPr>
          <w:rFonts w:hint="eastAsia"/>
        </w:rPr>
        <w:t>1、机构设置情况</w:t>
      </w:r>
      <w:bookmarkEnd w:id="66"/>
    </w:p>
    <w:p>
      <w:pPr>
        <w:pStyle w:val="7"/>
        <w:widowControl w:val="0"/>
        <w:spacing w:line="560" w:lineRule="exact"/>
        <w:ind w:firstLine="560" w:firstLineChars="200"/>
        <w:rPr>
          <w:rFonts w:ascii="仿宋" w:eastAsia="仿宋"/>
          <w:bCs/>
          <w:sz w:val="28"/>
        </w:rPr>
      </w:pPr>
      <w:r>
        <w:rPr>
          <w:rFonts w:hint="eastAsia" w:ascii="仿宋" w:eastAsia="仿宋"/>
          <w:bCs/>
          <w:sz w:val="28"/>
        </w:rPr>
        <w:t>运城市住房公积金管理中心位于运城市盐湖区太乙街1591号，登记机关为运城市事业单位登记管理局，是直属市政府的全额事业单位，负责人：张军，统一社会信用代码为12141000408312438U。</w:t>
      </w:r>
    </w:p>
    <w:p>
      <w:pPr>
        <w:spacing w:line="560" w:lineRule="exact"/>
        <w:ind w:firstLine="560" w:firstLineChars="200"/>
      </w:pPr>
      <w:r>
        <w:rPr>
          <w:rFonts w:hint="eastAsia"/>
        </w:rPr>
        <w:t>运城市住房公积金管理中心是运城市人民政府直属事业单位，公益一类，为正处级，内设办公室、组织人事部、计划财务部、归集管理部、贷款管理部、信息技术部、审计稽核部、监督管理部、服务管理部9个职能办公室和不具备独立法人资格的管理部14个。</w:t>
      </w:r>
    </w:p>
    <w:p>
      <w:pPr>
        <w:spacing w:line="560" w:lineRule="exact"/>
        <w:ind w:firstLine="560" w:firstLineChars="200"/>
      </w:pPr>
      <w:r>
        <w:rPr>
          <w:rFonts w:hint="eastAsia"/>
        </w:rPr>
        <w:t>2、人员情况</w:t>
      </w:r>
    </w:p>
    <w:p>
      <w:pPr>
        <w:spacing w:line="560" w:lineRule="exact"/>
        <w:ind w:firstLine="560" w:firstLineChars="200"/>
      </w:pPr>
      <w:r>
        <w:rPr>
          <w:rFonts w:hint="eastAsia"/>
        </w:rPr>
        <w:t>运城市住房公积金管理中心财政拨款事业编制113名，实有人数173人，其中:财政拨款事业编制88人、自收自支人员85人。</w:t>
      </w:r>
    </w:p>
    <w:p>
      <w:pPr>
        <w:spacing w:line="560" w:lineRule="exact"/>
        <w:ind w:firstLine="560" w:firstLineChars="200"/>
      </w:pPr>
      <w:r>
        <w:rPr>
          <w:rFonts w:hint="eastAsia"/>
        </w:rPr>
        <w:t>3、主要工作职责</w:t>
      </w:r>
    </w:p>
    <w:p>
      <w:pPr>
        <w:spacing w:line="560" w:lineRule="exact"/>
        <w:ind w:firstLine="560" w:firstLineChars="200"/>
      </w:pPr>
      <w:r>
        <w:rPr>
          <w:rFonts w:hint="eastAsia"/>
        </w:rPr>
        <w:t>（1）贯彻落实住房公积金管理工作的方针政策、法律法规和市委、市政府工作安排。</w:t>
      </w:r>
    </w:p>
    <w:p>
      <w:pPr>
        <w:spacing w:line="560" w:lineRule="exact"/>
        <w:ind w:firstLine="560" w:firstLineChars="200"/>
      </w:pPr>
      <w:r>
        <w:rPr>
          <w:rFonts w:hint="eastAsia"/>
        </w:rPr>
        <w:t>（2）编制、执行住房公积金的归集、使用计划。</w:t>
      </w:r>
    </w:p>
    <w:p>
      <w:pPr>
        <w:spacing w:line="560" w:lineRule="exact"/>
        <w:ind w:firstLine="560" w:firstLineChars="200"/>
      </w:pPr>
      <w:r>
        <w:rPr>
          <w:rFonts w:hint="eastAsia"/>
        </w:rPr>
        <w:t>（3）负责记载职工住房公积金的缴存、提取、使用等情况。</w:t>
      </w:r>
    </w:p>
    <w:p>
      <w:pPr>
        <w:spacing w:line="560" w:lineRule="exact"/>
        <w:ind w:firstLine="560" w:firstLineChars="200"/>
      </w:pPr>
      <w:r>
        <w:rPr>
          <w:rFonts w:hint="eastAsia"/>
        </w:rPr>
        <w:t>（4）负责住房公积金的核算。</w:t>
      </w:r>
    </w:p>
    <w:p>
      <w:pPr>
        <w:spacing w:line="560" w:lineRule="exact"/>
        <w:ind w:firstLine="560" w:firstLineChars="200"/>
      </w:pPr>
      <w:r>
        <w:rPr>
          <w:rFonts w:hint="eastAsia"/>
        </w:rPr>
        <w:t>（5）审批住房公积金的提取、使用。</w:t>
      </w:r>
    </w:p>
    <w:p>
      <w:pPr>
        <w:spacing w:line="560" w:lineRule="exact"/>
        <w:ind w:firstLine="560" w:firstLineChars="200"/>
      </w:pPr>
      <w:r>
        <w:rPr>
          <w:rFonts w:hint="eastAsia"/>
        </w:rPr>
        <w:t>（6）负责住房公积金的保值和归还。</w:t>
      </w:r>
    </w:p>
    <w:p>
      <w:pPr>
        <w:spacing w:line="560" w:lineRule="exact"/>
        <w:ind w:firstLine="560" w:firstLineChars="200"/>
      </w:pPr>
      <w:r>
        <w:rPr>
          <w:rFonts w:hint="eastAsia"/>
        </w:rPr>
        <w:t>（7）编制住房公积金归集、使用计划执行情况的报告。</w:t>
      </w:r>
    </w:p>
    <w:p>
      <w:pPr>
        <w:spacing w:line="560" w:lineRule="exact"/>
        <w:ind w:firstLine="560" w:firstLineChars="200"/>
      </w:pPr>
      <w:r>
        <w:rPr>
          <w:rFonts w:hint="eastAsia"/>
        </w:rPr>
        <w:t>（8）承办市住房公积金管理委员会决定的其他事项。</w:t>
      </w:r>
    </w:p>
    <w:p>
      <w:pPr>
        <w:spacing w:line="560" w:lineRule="exact"/>
        <w:ind w:firstLine="560" w:firstLineChars="200"/>
      </w:pPr>
      <w:r>
        <w:rPr>
          <w:rFonts w:hint="eastAsia"/>
        </w:rPr>
        <w:t>（9）完成市委、市政府交办的其他任务。</w:t>
      </w:r>
    </w:p>
    <w:bookmarkEnd w:id="55"/>
    <w:bookmarkEnd w:id="56"/>
    <w:bookmarkEnd w:id="57"/>
    <w:bookmarkEnd w:id="58"/>
    <w:bookmarkEnd w:id="67"/>
    <w:p>
      <w:pPr>
        <w:pStyle w:val="3"/>
        <w:spacing w:before="0" w:after="0" w:line="560" w:lineRule="exact"/>
        <w:ind w:firstLine="562" w:firstLineChars="200"/>
        <w:rPr>
          <w:rFonts w:ascii="仿宋" w:hAnsi="仿宋" w:eastAsia="仿宋"/>
          <w:sz w:val="28"/>
        </w:rPr>
      </w:pPr>
      <w:bookmarkStart w:id="68" w:name="_Toc19483_WPSOffice_Level2"/>
      <w:bookmarkStart w:id="69" w:name="_Toc14386_WPSOffice_Level2"/>
      <w:bookmarkStart w:id="70" w:name="_Toc31663_WPSOffice_Level2"/>
      <w:bookmarkStart w:id="71" w:name="_Toc21180"/>
      <w:bookmarkStart w:id="72" w:name="_Toc1009"/>
      <w:bookmarkStart w:id="73" w:name="_Toc23252"/>
      <w:bookmarkStart w:id="74" w:name="_Toc32246"/>
      <w:bookmarkStart w:id="75" w:name="_Toc20468"/>
      <w:bookmarkStart w:id="76" w:name="_Toc25268"/>
      <w:r>
        <w:rPr>
          <w:rFonts w:hint="eastAsia" w:ascii="仿宋" w:hAnsi="仿宋" w:eastAsia="仿宋"/>
          <w:sz w:val="28"/>
        </w:rPr>
        <w:t>（二）</w:t>
      </w:r>
      <w:bookmarkEnd w:id="68"/>
      <w:bookmarkEnd w:id="69"/>
      <w:bookmarkEnd w:id="70"/>
      <w:r>
        <w:rPr>
          <w:rFonts w:hint="eastAsia" w:ascii="仿宋" w:hAnsi="仿宋" w:eastAsia="仿宋"/>
          <w:sz w:val="28"/>
        </w:rPr>
        <w:t>部门</w:t>
      </w:r>
      <w:bookmarkEnd w:id="71"/>
      <w:bookmarkEnd w:id="72"/>
      <w:bookmarkEnd w:id="73"/>
      <w:bookmarkEnd w:id="74"/>
      <w:bookmarkEnd w:id="75"/>
      <w:r>
        <w:rPr>
          <w:rFonts w:hint="eastAsia" w:ascii="仿宋" w:hAnsi="仿宋" w:eastAsia="仿宋"/>
          <w:sz w:val="28"/>
        </w:rPr>
        <w:t>预算收支及结转结余情况</w:t>
      </w:r>
      <w:bookmarkEnd w:id="76"/>
    </w:p>
    <w:p>
      <w:pPr>
        <w:pStyle w:val="7"/>
        <w:widowControl w:val="0"/>
        <w:spacing w:line="560" w:lineRule="exact"/>
        <w:ind w:firstLine="560" w:firstLineChars="200"/>
        <w:outlineLvl w:val="2"/>
        <w:rPr>
          <w:rFonts w:ascii="仿宋" w:eastAsia="仿宋"/>
          <w:bCs/>
          <w:kern w:val="0"/>
          <w:sz w:val="28"/>
          <w:shd w:val="clear" w:color="auto" w:fill="FFFFFF"/>
        </w:rPr>
      </w:pPr>
      <w:bookmarkStart w:id="77" w:name="_Toc4902"/>
      <w:bookmarkStart w:id="78" w:name="_Toc16275"/>
      <w:bookmarkStart w:id="79" w:name="_Toc21221"/>
      <w:bookmarkStart w:id="80" w:name="_Toc27328"/>
      <w:r>
        <w:rPr>
          <w:rFonts w:hint="eastAsia" w:ascii="仿宋" w:eastAsia="仿宋"/>
          <w:bCs/>
          <w:kern w:val="0"/>
          <w:sz w:val="28"/>
          <w:shd w:val="clear" w:color="auto" w:fill="FFFFFF"/>
        </w:rPr>
        <w:t>1、预算批复情况</w:t>
      </w:r>
      <w:bookmarkEnd w:id="77"/>
      <w:bookmarkEnd w:id="78"/>
      <w:bookmarkEnd w:id="79"/>
      <w:bookmarkEnd w:id="80"/>
    </w:p>
    <w:p>
      <w:pPr>
        <w:pStyle w:val="7"/>
        <w:widowControl w:val="0"/>
        <w:spacing w:line="560" w:lineRule="exact"/>
        <w:ind w:firstLine="560" w:firstLineChars="200"/>
        <w:rPr>
          <w:bCs/>
          <w:sz w:val="24"/>
          <w:szCs w:val="24"/>
        </w:rPr>
      </w:pPr>
      <w:r>
        <w:rPr>
          <w:rFonts w:hint="eastAsia" w:ascii="仿宋" w:eastAsia="仿宋"/>
          <w:bCs/>
          <w:kern w:val="0"/>
          <w:sz w:val="28"/>
          <w:shd w:val="clear" w:color="auto" w:fill="FFFFFF"/>
        </w:rPr>
        <w:t>2021年度运城市住房公积金管理中心部门预算资金共计3,</w:t>
      </w:r>
      <w:r>
        <w:rPr>
          <w:rFonts w:ascii="仿宋" w:eastAsia="仿宋"/>
          <w:bCs/>
          <w:kern w:val="0"/>
          <w:sz w:val="28"/>
          <w:shd w:val="clear" w:color="auto" w:fill="FFFFFF"/>
        </w:rPr>
        <w:t>0</w:t>
      </w:r>
      <w:r>
        <w:rPr>
          <w:rFonts w:hint="eastAsia" w:ascii="仿宋" w:eastAsia="仿宋"/>
          <w:bCs/>
          <w:kern w:val="0"/>
          <w:sz w:val="28"/>
          <w:shd w:val="clear" w:color="auto" w:fill="FFFFFF"/>
        </w:rPr>
        <w:t>54</w:t>
      </w:r>
      <w:r>
        <w:rPr>
          <w:rFonts w:ascii="仿宋" w:eastAsia="仿宋"/>
          <w:bCs/>
          <w:kern w:val="0"/>
          <w:sz w:val="28"/>
          <w:shd w:val="clear" w:color="auto" w:fill="FFFFFF"/>
        </w:rPr>
        <w:t>.</w:t>
      </w:r>
      <w:r>
        <w:rPr>
          <w:rFonts w:hint="eastAsia" w:ascii="仿宋" w:eastAsia="仿宋"/>
          <w:bCs/>
          <w:kern w:val="0"/>
          <w:sz w:val="28"/>
          <w:shd w:val="clear" w:color="auto" w:fill="FFFFFF"/>
        </w:rPr>
        <w:t>27万元，全部为年初预算资金，其中：</w:t>
      </w:r>
      <w:r>
        <w:rPr>
          <w:rFonts w:hint="eastAsia" w:ascii="仿宋" w:eastAsia="仿宋"/>
          <w:bCs/>
          <w:sz w:val="28"/>
        </w:rPr>
        <w:t>基本支出1,887.89万元，项目支出1,166.38万元。</w:t>
      </w:r>
    </w:p>
    <w:p>
      <w:pPr>
        <w:pStyle w:val="7"/>
        <w:widowControl w:val="0"/>
        <w:spacing w:line="560" w:lineRule="exact"/>
        <w:ind w:firstLine="560" w:firstLineChars="200"/>
        <w:outlineLvl w:val="2"/>
        <w:rPr>
          <w:rFonts w:ascii="仿宋" w:eastAsia="仿宋"/>
          <w:bCs/>
          <w:sz w:val="28"/>
        </w:rPr>
      </w:pPr>
      <w:bookmarkStart w:id="81" w:name="_Toc27984"/>
      <w:bookmarkStart w:id="82" w:name="_Toc29635"/>
      <w:bookmarkStart w:id="83" w:name="_Toc31575"/>
      <w:bookmarkStart w:id="84" w:name="_Toc32115"/>
      <w:r>
        <w:rPr>
          <w:rFonts w:hint="eastAsia" w:ascii="仿宋" w:eastAsia="仿宋"/>
          <w:bCs/>
          <w:kern w:val="0"/>
          <w:sz w:val="28"/>
          <w:shd w:val="clear" w:color="auto" w:fill="FFFFFF"/>
        </w:rPr>
        <w:t>2、预算资金下达情况</w:t>
      </w:r>
      <w:bookmarkEnd w:id="81"/>
      <w:bookmarkEnd w:id="82"/>
      <w:bookmarkEnd w:id="83"/>
      <w:bookmarkEnd w:id="84"/>
    </w:p>
    <w:p>
      <w:pPr>
        <w:pStyle w:val="7"/>
        <w:widowControl w:val="0"/>
        <w:spacing w:line="560" w:lineRule="exact"/>
        <w:ind w:firstLine="560" w:firstLineChars="200"/>
        <w:rPr>
          <w:rFonts w:ascii="仿宋" w:eastAsia="仿宋"/>
          <w:sz w:val="28"/>
        </w:rPr>
      </w:pPr>
      <w:r>
        <w:rPr>
          <w:rFonts w:hint="eastAsia" w:ascii="仿宋" w:eastAsia="仿宋"/>
          <w:sz w:val="28"/>
        </w:rPr>
        <w:t>2021年</w:t>
      </w:r>
      <w:r>
        <w:rPr>
          <w:rFonts w:hint="eastAsia" w:ascii="仿宋" w:eastAsia="仿宋"/>
          <w:bCs/>
          <w:kern w:val="0"/>
          <w:sz w:val="28"/>
          <w:shd w:val="clear" w:color="auto" w:fill="FFFFFF"/>
        </w:rPr>
        <w:t>运城市住房公积金管理中心</w:t>
      </w:r>
      <w:r>
        <w:rPr>
          <w:rFonts w:hint="eastAsia" w:ascii="仿宋" w:eastAsia="仿宋"/>
          <w:sz w:val="28"/>
        </w:rPr>
        <w:t>年初部门预算资金3,054</w:t>
      </w:r>
      <w:r>
        <w:rPr>
          <w:rFonts w:ascii="仿宋" w:eastAsia="仿宋"/>
          <w:sz w:val="28"/>
        </w:rPr>
        <w:t>.</w:t>
      </w:r>
      <w:r>
        <w:rPr>
          <w:rFonts w:hint="eastAsia" w:ascii="仿宋" w:eastAsia="仿宋"/>
          <w:sz w:val="28"/>
        </w:rPr>
        <w:t>27万元，</w:t>
      </w:r>
      <w:r>
        <w:rPr>
          <w:rFonts w:ascii="仿宋" w:eastAsia="仿宋"/>
          <w:sz w:val="28"/>
        </w:rPr>
        <w:t>2021年度</w:t>
      </w:r>
      <w:r>
        <w:rPr>
          <w:rFonts w:hint="eastAsia" w:ascii="仿宋" w:eastAsia="仿宋"/>
          <w:sz w:val="28"/>
        </w:rPr>
        <w:t>实际到位资金2,872.49万元</w:t>
      </w:r>
      <w:bookmarkStart w:id="85" w:name="_Toc29818_WPSOffice_Level2"/>
      <w:bookmarkStart w:id="86" w:name="_Toc5303_WPSOffice_Level2"/>
      <w:r>
        <w:rPr>
          <w:rFonts w:hint="eastAsia" w:ascii="仿宋" w:eastAsia="仿宋"/>
          <w:sz w:val="28"/>
        </w:rPr>
        <w:t>。预算资金下达情况见表1-1：</w:t>
      </w:r>
    </w:p>
    <w:p>
      <w:pPr>
        <w:pStyle w:val="7"/>
        <w:widowControl w:val="0"/>
        <w:spacing w:line="560" w:lineRule="exact"/>
        <w:jc w:val="center"/>
        <w:rPr>
          <w:rFonts w:ascii="仿宋" w:eastAsia="仿宋"/>
          <w:b/>
          <w:bCs/>
          <w:sz w:val="28"/>
        </w:rPr>
      </w:pPr>
      <w:r>
        <w:rPr>
          <w:rFonts w:hint="eastAsia" w:ascii="仿宋" w:eastAsia="仿宋"/>
          <w:b/>
          <w:bCs/>
          <w:sz w:val="28"/>
        </w:rPr>
        <w:t>表1-1 资金下达汇总表</w:t>
      </w:r>
    </w:p>
    <w:p>
      <w:pPr>
        <w:pStyle w:val="7"/>
        <w:widowControl w:val="0"/>
        <w:spacing w:line="560" w:lineRule="exact"/>
        <w:jc w:val="right"/>
        <w:rPr>
          <w:rFonts w:ascii="仿宋" w:eastAsia="仿宋"/>
          <w:sz w:val="24"/>
          <w:szCs w:val="24"/>
        </w:rPr>
      </w:pPr>
      <w:r>
        <w:rPr>
          <w:rFonts w:hint="eastAsia" w:ascii="仿宋" w:eastAsia="仿宋"/>
          <w:sz w:val="24"/>
          <w:szCs w:val="24"/>
        </w:rPr>
        <w:t>金额单位：万元</w:t>
      </w:r>
    </w:p>
    <w:tbl>
      <w:tblPr>
        <w:tblStyle w:val="1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16"/>
        <w:gridCol w:w="2215"/>
        <w:gridCol w:w="2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458" w:type="pct"/>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预算项目</w:t>
            </w:r>
          </w:p>
        </w:tc>
        <w:tc>
          <w:tcPr>
            <w:tcW w:w="1270" w:type="pct"/>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年初预算</w:t>
            </w:r>
          </w:p>
        </w:tc>
        <w:tc>
          <w:tcPr>
            <w:tcW w:w="1270" w:type="pct"/>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实际到位资金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jc w:val="left"/>
              <w:textAlignment w:val="center"/>
              <w:rPr>
                <w:b/>
                <w:bCs/>
                <w:color w:val="000000"/>
                <w:sz w:val="21"/>
                <w:szCs w:val="21"/>
              </w:rPr>
            </w:pPr>
            <w:r>
              <w:rPr>
                <w:rFonts w:hint="eastAsia"/>
                <w:b/>
                <w:bCs/>
                <w:color w:val="000000"/>
                <w:kern w:val="0"/>
                <w:sz w:val="21"/>
                <w:szCs w:val="21"/>
                <w:lang w:bidi="ar"/>
              </w:rPr>
              <w:t>基本支出</w:t>
            </w:r>
          </w:p>
        </w:tc>
        <w:tc>
          <w:tcPr>
            <w:tcW w:w="2215" w:type="dxa"/>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1,887.89</w:t>
            </w:r>
          </w:p>
        </w:tc>
        <w:tc>
          <w:tcPr>
            <w:tcW w:w="1270" w:type="pct"/>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1,</w:t>
            </w:r>
            <w:r>
              <w:rPr>
                <w:rFonts w:hint="eastAsia" w:ascii="Arial Narrow" w:hAnsi="Arial Narrow" w:eastAsia="Arial Narrow" w:cs="Arial Narrow"/>
                <w:b/>
                <w:bCs/>
                <w:color w:val="000000"/>
                <w:kern w:val="0"/>
                <w:sz w:val="21"/>
                <w:szCs w:val="21"/>
                <w:lang w:bidi="ar"/>
              </w:rPr>
              <w:t>785</w:t>
            </w:r>
            <w:r>
              <w:rPr>
                <w:rFonts w:ascii="Arial Narrow" w:hAnsi="Arial Narrow" w:eastAsia="Arial Narrow" w:cs="Arial Narrow"/>
                <w:b/>
                <w:bCs/>
                <w:color w:val="000000"/>
                <w:kern w:val="0"/>
                <w:sz w:val="21"/>
                <w:szCs w:val="21"/>
                <w:lang w:bidi="ar"/>
              </w:rPr>
              <w:t>.</w:t>
            </w:r>
            <w:r>
              <w:rPr>
                <w:rFonts w:hint="eastAsia" w:ascii="Arial Narrow" w:hAnsi="Arial Narrow" w:eastAsia="Arial Narrow" w:cs="Arial Narrow"/>
                <w:b/>
                <w:bCs/>
                <w:color w:val="000000"/>
                <w:kern w:val="0"/>
                <w:sz w:val="21"/>
                <w:szCs w:val="21"/>
                <w:lang w:bidi="ar"/>
              </w:rPr>
              <w:t>75</w:t>
            </w:r>
            <w:r>
              <w:rPr>
                <w:rFonts w:ascii="Arial Narrow" w:hAnsi="Arial Narrow" w:eastAsia="Arial Narrow" w:cs="Arial Narrow"/>
                <w:b/>
                <w:bCs/>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人员经费</w:t>
            </w:r>
          </w:p>
        </w:tc>
        <w:tc>
          <w:tcPr>
            <w:tcW w:w="2215" w:type="dxa"/>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1730.69</w:t>
            </w:r>
          </w:p>
        </w:tc>
        <w:tc>
          <w:tcPr>
            <w:tcW w:w="1270" w:type="pct"/>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1,6</w:t>
            </w:r>
            <w:r>
              <w:rPr>
                <w:rFonts w:hint="eastAsia" w:ascii="Arial Narrow" w:hAnsi="Arial Narrow" w:eastAsia="Arial Narrow" w:cs="Arial Narrow"/>
                <w:color w:val="000000"/>
                <w:kern w:val="0"/>
                <w:sz w:val="21"/>
                <w:szCs w:val="21"/>
                <w:lang w:bidi="ar"/>
              </w:rPr>
              <w:t>28</w:t>
            </w:r>
            <w:r>
              <w:rPr>
                <w:rFonts w:ascii="Arial Narrow" w:hAnsi="Arial Narrow" w:eastAsia="Arial Narrow" w:cs="Arial Narrow"/>
                <w:color w:val="000000"/>
                <w:kern w:val="0"/>
                <w:sz w:val="21"/>
                <w:szCs w:val="21"/>
                <w:lang w:bidi="ar"/>
              </w:rPr>
              <w:t>.</w:t>
            </w:r>
            <w:r>
              <w:rPr>
                <w:rFonts w:hint="eastAsia" w:ascii="Arial Narrow" w:hAnsi="Arial Narrow" w:eastAsia="Arial Narrow" w:cs="Arial Narrow"/>
                <w:color w:val="000000"/>
                <w:kern w:val="0"/>
                <w:sz w:val="21"/>
                <w:szCs w:val="21"/>
                <w:lang w:bidi="ar"/>
              </w:rPr>
              <w:t>56</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公用经费</w:t>
            </w:r>
          </w:p>
        </w:tc>
        <w:tc>
          <w:tcPr>
            <w:tcW w:w="2215" w:type="dxa"/>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157.20</w:t>
            </w:r>
          </w:p>
        </w:tc>
        <w:tc>
          <w:tcPr>
            <w:tcW w:w="1270" w:type="pct"/>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157.1</w:t>
            </w:r>
            <w:r>
              <w:rPr>
                <w:rFonts w:hint="eastAsia" w:ascii="Arial Narrow" w:hAnsi="Arial Narrow" w:eastAsia="Arial Narrow" w:cs="Arial Narrow"/>
                <w:color w:val="000000"/>
                <w:kern w:val="0"/>
                <w:sz w:val="21"/>
                <w:szCs w:val="21"/>
                <w:lang w:bidi="ar"/>
              </w:rPr>
              <w:t>9</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jc w:val="left"/>
              <w:textAlignment w:val="center"/>
              <w:rPr>
                <w:b/>
                <w:bCs/>
                <w:color w:val="000000"/>
                <w:sz w:val="21"/>
                <w:szCs w:val="21"/>
              </w:rPr>
            </w:pPr>
            <w:r>
              <w:rPr>
                <w:rFonts w:hint="eastAsia"/>
                <w:b/>
                <w:bCs/>
                <w:color w:val="000000"/>
                <w:kern w:val="0"/>
                <w:sz w:val="21"/>
                <w:szCs w:val="21"/>
                <w:lang w:bidi="ar"/>
              </w:rPr>
              <w:t>项目支出</w:t>
            </w:r>
          </w:p>
        </w:tc>
        <w:tc>
          <w:tcPr>
            <w:tcW w:w="2215" w:type="dxa"/>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1,166.38</w:t>
            </w:r>
          </w:p>
        </w:tc>
        <w:tc>
          <w:tcPr>
            <w:tcW w:w="1270" w:type="pct"/>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1,</w:t>
            </w:r>
            <w:r>
              <w:rPr>
                <w:rFonts w:hint="eastAsia" w:ascii="Arial Narrow" w:hAnsi="Arial Narrow" w:eastAsia="Arial Narrow" w:cs="Arial Narrow"/>
                <w:b/>
                <w:bCs/>
                <w:color w:val="000000"/>
                <w:kern w:val="0"/>
                <w:sz w:val="21"/>
                <w:szCs w:val="21"/>
                <w:lang w:bidi="ar"/>
              </w:rPr>
              <w:t>086</w:t>
            </w:r>
            <w:r>
              <w:rPr>
                <w:rFonts w:ascii="Arial Narrow" w:hAnsi="Arial Narrow" w:eastAsia="Arial Narrow" w:cs="Arial Narrow"/>
                <w:b/>
                <w:bCs/>
                <w:color w:val="000000"/>
                <w:kern w:val="0"/>
                <w:sz w:val="21"/>
                <w:szCs w:val="21"/>
                <w:lang w:bidi="ar"/>
              </w:rPr>
              <w:t>.</w:t>
            </w:r>
            <w:r>
              <w:rPr>
                <w:rFonts w:hint="eastAsia" w:ascii="Arial Narrow" w:hAnsi="Arial Narrow" w:eastAsia="Arial Narrow" w:cs="Arial Narrow"/>
                <w:b/>
                <w:bCs/>
                <w:color w:val="000000"/>
                <w:kern w:val="0"/>
                <w:sz w:val="21"/>
                <w:szCs w:val="21"/>
                <w:lang w:bidi="ar"/>
              </w:rPr>
              <w:t>74</w:t>
            </w:r>
            <w:r>
              <w:rPr>
                <w:rFonts w:ascii="Arial Narrow" w:hAnsi="Arial Narrow" w:eastAsia="Arial Narrow" w:cs="Arial Narrow"/>
                <w:b/>
                <w:bCs/>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年初预算</w:t>
            </w:r>
          </w:p>
        </w:tc>
        <w:tc>
          <w:tcPr>
            <w:tcW w:w="2215" w:type="dxa"/>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1,166.38</w:t>
            </w:r>
          </w:p>
        </w:tc>
        <w:tc>
          <w:tcPr>
            <w:tcW w:w="1270" w:type="pct"/>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w:t>
            </w:r>
            <w:r>
              <w:rPr>
                <w:rFonts w:hint="eastAsia" w:ascii="Arial Narrow" w:hAnsi="Arial Narrow" w:eastAsia="Arial Narrow" w:cs="Arial Narrow"/>
                <w:color w:val="000000"/>
                <w:kern w:val="0"/>
                <w:sz w:val="21"/>
                <w:szCs w:val="21"/>
                <w:lang w:bidi="ar"/>
              </w:rPr>
              <w:t>086</w:t>
            </w:r>
            <w:r>
              <w:rPr>
                <w:rFonts w:ascii="Arial Narrow" w:hAnsi="Arial Narrow" w:eastAsia="Arial Narrow" w:cs="Arial Narrow"/>
                <w:color w:val="000000"/>
                <w:kern w:val="0"/>
                <w:sz w:val="21"/>
                <w:szCs w:val="21"/>
                <w:lang w:bidi="ar"/>
              </w:rPr>
              <w:t>.</w:t>
            </w:r>
            <w:r>
              <w:rPr>
                <w:rFonts w:hint="eastAsia" w:ascii="Arial Narrow" w:hAnsi="Arial Narrow" w:eastAsia="Arial Narrow" w:cs="Arial Narrow"/>
                <w:color w:val="000000"/>
                <w:kern w:val="0"/>
                <w:sz w:val="21"/>
                <w:szCs w:val="21"/>
                <w:lang w:bidi="ar"/>
              </w:rPr>
              <w:t>74</w:t>
            </w:r>
            <w:r>
              <w:rPr>
                <w:rFonts w:ascii="Arial Narrow" w:hAnsi="Arial Narrow" w:eastAsia="Arial Narrow" w:cs="Arial Narrow"/>
                <w:b/>
                <w:bCs/>
                <w:color w:val="000000"/>
                <w:kern w:val="0"/>
                <w:sz w:val="21"/>
                <w:szCs w:val="21"/>
                <w:lang w:bidi="ar"/>
              </w:rPr>
              <w:t xml:space="preserve"> </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420" w:firstLineChars="200"/>
              <w:jc w:val="left"/>
              <w:textAlignment w:val="center"/>
              <w:rPr>
                <w:color w:val="000000"/>
                <w:sz w:val="21"/>
                <w:szCs w:val="21"/>
              </w:rPr>
            </w:pPr>
            <w:r>
              <w:rPr>
                <w:rFonts w:hint="eastAsia"/>
                <w:color w:val="000000"/>
                <w:sz w:val="21"/>
                <w:szCs w:val="21"/>
              </w:rPr>
              <w:t>其中:信息网络及软件购置更新</w:t>
            </w:r>
          </w:p>
        </w:tc>
        <w:tc>
          <w:tcPr>
            <w:tcW w:w="2215" w:type="dxa"/>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136</w:t>
            </w:r>
            <w:r>
              <w:rPr>
                <w:rFonts w:hint="eastAsia" w:ascii="Arial Narrow" w:hAnsi="Arial Narrow" w:eastAsia="Arial Narrow" w:cs="Arial Narrow"/>
                <w:color w:val="000000"/>
                <w:kern w:val="0"/>
                <w:sz w:val="21"/>
                <w:szCs w:val="21"/>
                <w:lang w:bidi="ar"/>
              </w:rPr>
              <w:t>.00</w:t>
            </w:r>
          </w:p>
        </w:tc>
        <w:tc>
          <w:tcPr>
            <w:tcW w:w="1270" w:type="pct"/>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w:t>
            </w:r>
            <w:r>
              <w:rPr>
                <w:rFonts w:hint="eastAsia" w:ascii="Arial Narrow" w:hAnsi="Arial Narrow" w:eastAsia="Arial Narrow" w:cs="Arial Narrow"/>
                <w:color w:val="000000"/>
                <w:kern w:val="0"/>
                <w:sz w:val="21"/>
                <w:szCs w:val="21"/>
                <w:lang w:bidi="ar"/>
              </w:rPr>
              <w:t>02</w:t>
            </w:r>
            <w:r>
              <w:rPr>
                <w:rFonts w:ascii="Arial Narrow" w:hAnsi="Arial Narrow" w:eastAsia="Arial Narrow" w:cs="Arial Narrow"/>
                <w:color w:val="000000"/>
                <w:kern w:val="0"/>
                <w:sz w:val="21"/>
                <w:szCs w:val="21"/>
                <w:lang w:bidi="ar"/>
              </w:rPr>
              <w:t>.</w:t>
            </w:r>
            <w:r>
              <w:rPr>
                <w:rFonts w:hint="eastAsia" w:ascii="Arial Narrow" w:hAnsi="Arial Narrow" w:eastAsia="Arial Narrow" w:cs="Arial Narrow"/>
                <w:color w:val="000000"/>
                <w:kern w:val="0"/>
                <w:sz w:val="21"/>
                <w:szCs w:val="21"/>
                <w:lang w:bidi="ar"/>
              </w:rPr>
              <w:t>68</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sz w:val="21"/>
                <w:szCs w:val="21"/>
              </w:rPr>
              <w:t xml:space="preserve">    大型修缮</w:t>
            </w:r>
          </w:p>
        </w:tc>
        <w:tc>
          <w:tcPr>
            <w:tcW w:w="2215" w:type="dxa"/>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120</w:t>
            </w:r>
            <w:r>
              <w:rPr>
                <w:rFonts w:hint="eastAsia" w:ascii="Arial Narrow" w:hAnsi="Arial Narrow" w:eastAsia="Arial Narrow" w:cs="Arial Narrow"/>
                <w:color w:val="000000"/>
                <w:kern w:val="0"/>
                <w:sz w:val="21"/>
                <w:szCs w:val="21"/>
                <w:lang w:bidi="ar"/>
              </w:rPr>
              <w:t>.00</w:t>
            </w:r>
          </w:p>
        </w:tc>
        <w:tc>
          <w:tcPr>
            <w:tcW w:w="1270" w:type="pct"/>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95.6</w:t>
            </w:r>
            <w:r>
              <w:rPr>
                <w:rFonts w:hint="eastAsia" w:ascii="Arial Narrow" w:hAnsi="Arial Narrow" w:eastAsia="Arial Narrow" w:cs="Arial Narrow"/>
                <w:color w:val="000000"/>
                <w:kern w:val="0"/>
                <w:sz w:val="21"/>
                <w:szCs w:val="21"/>
                <w:lang w:bidi="ar"/>
              </w:rPr>
              <w:t>5</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630" w:firstLineChars="300"/>
              <w:jc w:val="left"/>
              <w:textAlignment w:val="center"/>
              <w:rPr>
                <w:color w:val="000000"/>
                <w:sz w:val="21"/>
                <w:szCs w:val="21"/>
              </w:rPr>
            </w:pPr>
            <w:r>
              <w:rPr>
                <w:rFonts w:hint="eastAsia"/>
                <w:color w:val="000000"/>
                <w:sz w:val="21"/>
                <w:szCs w:val="21"/>
              </w:rPr>
              <w:t>办公设备购置</w:t>
            </w:r>
          </w:p>
        </w:tc>
        <w:tc>
          <w:tcPr>
            <w:tcW w:w="2215" w:type="dxa"/>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92.3</w:t>
            </w:r>
            <w:r>
              <w:rPr>
                <w:rFonts w:hint="eastAsia" w:ascii="Arial Narrow" w:hAnsi="Arial Narrow" w:eastAsia="Arial Narrow" w:cs="Arial Narrow"/>
                <w:color w:val="000000"/>
                <w:kern w:val="0"/>
                <w:sz w:val="21"/>
                <w:szCs w:val="21"/>
                <w:lang w:bidi="ar"/>
              </w:rPr>
              <w:t>0</w:t>
            </w:r>
          </w:p>
        </w:tc>
        <w:tc>
          <w:tcPr>
            <w:tcW w:w="1270" w:type="pct"/>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105.17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630" w:firstLineChars="300"/>
              <w:jc w:val="left"/>
              <w:textAlignment w:val="center"/>
              <w:rPr>
                <w:color w:val="000000"/>
                <w:sz w:val="21"/>
                <w:szCs w:val="21"/>
              </w:rPr>
            </w:pPr>
            <w:r>
              <w:rPr>
                <w:rFonts w:hint="eastAsia"/>
                <w:color w:val="000000"/>
                <w:sz w:val="21"/>
                <w:szCs w:val="21"/>
              </w:rPr>
              <w:t>公务用车购置</w:t>
            </w:r>
          </w:p>
        </w:tc>
        <w:tc>
          <w:tcPr>
            <w:tcW w:w="2215" w:type="dxa"/>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73.03</w:t>
            </w:r>
          </w:p>
        </w:tc>
        <w:tc>
          <w:tcPr>
            <w:tcW w:w="1270" w:type="pct"/>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 xml:space="preserve">73.00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ind w:firstLine="630" w:firstLineChars="300"/>
              <w:jc w:val="left"/>
              <w:textAlignment w:val="center"/>
              <w:rPr>
                <w:color w:val="000000"/>
                <w:sz w:val="21"/>
                <w:szCs w:val="21"/>
              </w:rPr>
            </w:pPr>
            <w:r>
              <w:rPr>
                <w:rFonts w:hint="eastAsia"/>
                <w:color w:val="000000"/>
                <w:sz w:val="21"/>
                <w:szCs w:val="21"/>
              </w:rPr>
              <w:t>商品服务和支出(所属各县公用经费)</w:t>
            </w:r>
          </w:p>
        </w:tc>
        <w:tc>
          <w:tcPr>
            <w:tcW w:w="2215" w:type="dxa"/>
            <w:shd w:val="clear" w:color="auto" w:fill="FFFFFF" w:themeFill="background1"/>
            <w:noWrap/>
            <w:vAlign w:val="center"/>
          </w:tcPr>
          <w:p>
            <w:pPr>
              <w:jc w:val="right"/>
              <w:textAlignment w:val="center"/>
              <w:rPr>
                <w:rFonts w:ascii="Arial Narrow" w:hAnsi="Arial Narrow" w:eastAsia="宋体" w:cs="Arial Narrow"/>
                <w:color w:val="000000"/>
                <w:kern w:val="0"/>
                <w:sz w:val="21"/>
                <w:szCs w:val="21"/>
                <w:lang w:bidi="ar"/>
              </w:rPr>
            </w:pPr>
            <w:r>
              <w:rPr>
                <w:rFonts w:ascii="Arial Narrow" w:hAnsi="Arial Narrow" w:eastAsia="Arial Narrow" w:cs="Arial Narrow"/>
                <w:color w:val="000000"/>
                <w:kern w:val="0"/>
                <w:sz w:val="21"/>
                <w:szCs w:val="21"/>
                <w:lang w:bidi="ar"/>
              </w:rPr>
              <w:t>745.05</w:t>
            </w:r>
          </w:p>
        </w:tc>
        <w:tc>
          <w:tcPr>
            <w:tcW w:w="1270" w:type="pct"/>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7</w:t>
            </w:r>
            <w:r>
              <w:rPr>
                <w:rFonts w:hint="eastAsia" w:ascii="Arial Narrow" w:hAnsi="Arial Narrow" w:eastAsia="Arial Narrow" w:cs="Arial Narrow"/>
                <w:color w:val="000000"/>
                <w:kern w:val="0"/>
                <w:sz w:val="21"/>
                <w:szCs w:val="21"/>
                <w:lang w:bidi="ar"/>
              </w:rPr>
              <w:t>10</w:t>
            </w:r>
            <w:r>
              <w:rPr>
                <w:rFonts w:ascii="Arial Narrow" w:hAnsi="Arial Narrow" w:eastAsia="Arial Narrow" w:cs="Arial Narrow"/>
                <w:color w:val="000000"/>
                <w:kern w:val="0"/>
                <w:sz w:val="21"/>
                <w:szCs w:val="21"/>
                <w:lang w:bidi="ar"/>
              </w:rPr>
              <w:t>.</w:t>
            </w:r>
            <w:r>
              <w:rPr>
                <w:rFonts w:hint="eastAsia" w:ascii="Arial Narrow" w:hAnsi="Arial Narrow" w:eastAsia="Arial Narrow" w:cs="Arial Narrow"/>
                <w:color w:val="000000"/>
                <w:kern w:val="0"/>
                <w:sz w:val="21"/>
                <w:szCs w:val="21"/>
                <w:lang w:bidi="ar"/>
              </w:rPr>
              <w:t>24</w:t>
            </w:r>
            <w:r>
              <w:rPr>
                <w:rFonts w:ascii="Arial Narrow" w:hAnsi="Arial Narrow" w:eastAsia="Arial Narrow" w:cs="Arial Narrow"/>
                <w:color w:val="000000"/>
                <w:kern w:val="0"/>
                <w:sz w:val="21"/>
                <w:szCs w:val="21"/>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58" w:type="pct"/>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合计</w:t>
            </w:r>
          </w:p>
        </w:tc>
        <w:tc>
          <w:tcPr>
            <w:tcW w:w="2215" w:type="dxa"/>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3,054.27</w:t>
            </w:r>
          </w:p>
        </w:tc>
        <w:tc>
          <w:tcPr>
            <w:tcW w:w="1270" w:type="pct"/>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2,</w:t>
            </w:r>
            <w:r>
              <w:rPr>
                <w:rFonts w:hint="eastAsia" w:ascii="Arial Narrow" w:hAnsi="Arial Narrow" w:eastAsia="Arial Narrow" w:cs="Arial Narrow"/>
                <w:b/>
                <w:bCs/>
                <w:color w:val="000000"/>
                <w:kern w:val="0"/>
                <w:sz w:val="21"/>
                <w:szCs w:val="21"/>
                <w:lang w:bidi="ar"/>
              </w:rPr>
              <w:t>872</w:t>
            </w:r>
            <w:r>
              <w:rPr>
                <w:rFonts w:ascii="Arial Narrow" w:hAnsi="Arial Narrow" w:eastAsia="Arial Narrow" w:cs="Arial Narrow"/>
                <w:b/>
                <w:bCs/>
                <w:color w:val="000000"/>
                <w:kern w:val="0"/>
                <w:sz w:val="21"/>
                <w:szCs w:val="21"/>
                <w:lang w:bidi="ar"/>
              </w:rPr>
              <w:t>.</w:t>
            </w:r>
            <w:r>
              <w:rPr>
                <w:rFonts w:hint="eastAsia" w:ascii="Arial Narrow" w:hAnsi="Arial Narrow" w:eastAsia="Arial Narrow" w:cs="Arial Narrow"/>
                <w:b/>
                <w:bCs/>
                <w:color w:val="000000"/>
                <w:kern w:val="0"/>
                <w:sz w:val="21"/>
                <w:szCs w:val="21"/>
                <w:lang w:bidi="ar"/>
              </w:rPr>
              <w:t>49</w:t>
            </w:r>
            <w:r>
              <w:rPr>
                <w:rFonts w:ascii="Arial Narrow" w:hAnsi="Arial Narrow" w:eastAsia="Arial Narrow" w:cs="Arial Narrow"/>
                <w:b/>
                <w:bCs/>
                <w:color w:val="000000"/>
                <w:kern w:val="0"/>
                <w:sz w:val="21"/>
                <w:szCs w:val="21"/>
                <w:lang w:bidi="ar"/>
              </w:rPr>
              <w:t xml:space="preserve"> </w:t>
            </w:r>
          </w:p>
        </w:tc>
      </w:tr>
    </w:tbl>
    <w:p>
      <w:pPr>
        <w:widowControl w:val="0"/>
        <w:snapToGrid w:val="0"/>
        <w:spacing w:line="560" w:lineRule="exact"/>
        <w:ind w:firstLine="560" w:firstLineChars="200"/>
        <w:outlineLvl w:val="2"/>
        <w:rPr>
          <w:bCs/>
          <w:kern w:val="0"/>
          <w:shd w:val="clear" w:color="auto" w:fill="FFFFFF"/>
        </w:rPr>
      </w:pPr>
      <w:bookmarkStart w:id="87" w:name="_Toc25688"/>
      <w:bookmarkStart w:id="88" w:name="_Toc31439"/>
      <w:bookmarkStart w:id="89" w:name="_Toc8381"/>
      <w:bookmarkStart w:id="90" w:name="_Toc24013"/>
      <w:r>
        <w:rPr>
          <w:rFonts w:hint="eastAsia"/>
          <w:bCs/>
          <w:kern w:val="0"/>
          <w:shd w:val="clear" w:color="auto" w:fill="FFFFFF"/>
        </w:rPr>
        <w:t>3、</w:t>
      </w:r>
      <w:r>
        <w:rPr>
          <w:rFonts w:hint="eastAsia"/>
          <w:bCs/>
        </w:rPr>
        <w:t>202</w:t>
      </w:r>
      <w:r>
        <w:rPr>
          <w:bCs/>
        </w:rPr>
        <w:t>1</w:t>
      </w:r>
      <w:r>
        <w:rPr>
          <w:rFonts w:hint="eastAsia"/>
          <w:bCs/>
        </w:rPr>
        <w:t>年部门决算</w:t>
      </w:r>
      <w:r>
        <w:rPr>
          <w:rFonts w:hint="eastAsia"/>
          <w:bCs/>
          <w:kern w:val="0"/>
          <w:shd w:val="clear" w:color="auto" w:fill="FFFFFF"/>
        </w:rPr>
        <w:t>支出及结转结余情况</w:t>
      </w:r>
      <w:bookmarkEnd w:id="87"/>
      <w:bookmarkEnd w:id="88"/>
      <w:bookmarkEnd w:id="89"/>
      <w:bookmarkEnd w:id="90"/>
    </w:p>
    <w:p>
      <w:pPr>
        <w:widowControl w:val="0"/>
        <w:snapToGrid w:val="0"/>
        <w:spacing w:line="560" w:lineRule="exact"/>
        <w:ind w:firstLine="560" w:firstLineChars="200"/>
        <w:rPr>
          <w:kern w:val="0"/>
          <w:shd w:val="clear" w:color="auto" w:fill="FFFFFF"/>
        </w:rPr>
      </w:pPr>
      <w:r>
        <w:rPr>
          <w:rFonts w:hint="eastAsia"/>
          <w:kern w:val="0"/>
          <w:shd w:val="clear" w:color="auto" w:fill="FFFFFF"/>
        </w:rPr>
        <w:t>运城市住房公积金管理中心2021年度整体支出2,872.49万元，年末无结转结余资金。2021年度资金支出及结余情况见表1-2：</w:t>
      </w:r>
    </w:p>
    <w:p>
      <w:pPr>
        <w:pStyle w:val="7"/>
        <w:widowControl w:val="0"/>
        <w:spacing w:line="560" w:lineRule="exact"/>
        <w:ind w:firstLine="562" w:firstLineChars="200"/>
        <w:jc w:val="center"/>
        <w:rPr>
          <w:rFonts w:ascii="仿宋" w:eastAsia="仿宋"/>
          <w:b/>
          <w:bCs/>
          <w:sz w:val="28"/>
        </w:rPr>
      </w:pPr>
      <w:r>
        <w:rPr>
          <w:rFonts w:hint="eastAsia" w:ascii="仿宋" w:eastAsia="仿宋"/>
          <w:b/>
          <w:bCs/>
          <w:sz w:val="28"/>
        </w:rPr>
        <w:t>表1-2 2021年度资金支出汇总表</w:t>
      </w:r>
    </w:p>
    <w:p>
      <w:pPr>
        <w:pStyle w:val="7"/>
        <w:widowControl w:val="0"/>
        <w:spacing w:line="560" w:lineRule="exact"/>
        <w:ind w:firstLine="480" w:firstLineChars="200"/>
        <w:jc w:val="right"/>
        <w:rPr>
          <w:rFonts w:ascii="仿宋" w:eastAsia="仿宋"/>
          <w:b/>
          <w:bCs/>
          <w:sz w:val="28"/>
        </w:rPr>
      </w:pPr>
      <w:r>
        <w:rPr>
          <w:rFonts w:hint="eastAsia" w:ascii="仿宋" w:eastAsia="仿宋"/>
          <w:sz w:val="24"/>
          <w:szCs w:val="24"/>
        </w:rPr>
        <w:t>金额单位：万元</w:t>
      </w:r>
    </w:p>
    <w:tbl>
      <w:tblPr>
        <w:tblStyle w:val="19"/>
        <w:tblW w:w="4999" w:type="pct"/>
        <w:jc w:val="center"/>
        <w:tblLayout w:type="autofit"/>
        <w:tblCellMar>
          <w:top w:w="0" w:type="dxa"/>
          <w:left w:w="108" w:type="dxa"/>
          <w:bottom w:w="0" w:type="dxa"/>
          <w:right w:w="108" w:type="dxa"/>
        </w:tblCellMar>
      </w:tblPr>
      <w:tblGrid>
        <w:gridCol w:w="5265"/>
        <w:gridCol w:w="1648"/>
        <w:gridCol w:w="1805"/>
      </w:tblGrid>
      <w:tr>
        <w:tblPrEx>
          <w:tblCellMar>
            <w:top w:w="0" w:type="dxa"/>
            <w:left w:w="108" w:type="dxa"/>
            <w:bottom w:w="0" w:type="dxa"/>
            <w:right w:w="108" w:type="dxa"/>
          </w:tblCellMar>
        </w:tblPrEx>
        <w:trPr>
          <w:trHeight w:val="397" w:hRule="atLeast"/>
          <w:tblHeader/>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预算项目</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实际到位资金</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本年支出</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b/>
                <w:bCs/>
                <w:color w:val="000000"/>
                <w:sz w:val="21"/>
                <w:szCs w:val="21"/>
              </w:rPr>
            </w:pPr>
            <w:r>
              <w:rPr>
                <w:rFonts w:hint="eastAsia"/>
                <w:b/>
                <w:bCs/>
                <w:color w:val="000000"/>
                <w:kern w:val="0"/>
                <w:sz w:val="21"/>
                <w:szCs w:val="21"/>
                <w:lang w:bidi="ar"/>
              </w:rPr>
              <w:t>基本支出</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 xml:space="preserve">1,785.75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b/>
                <w:bCs/>
                <w:color w:val="000000"/>
                <w:sz w:val="21"/>
                <w:szCs w:val="21"/>
              </w:rPr>
            </w:pPr>
            <w:r>
              <w:rPr>
                <w:rFonts w:ascii="Arial Narrow" w:hAnsi="Arial Narrow" w:eastAsia="Arial Narrow" w:cs="Arial Narrow"/>
                <w:b/>
                <w:bCs/>
                <w:color w:val="000000"/>
                <w:kern w:val="0"/>
                <w:sz w:val="21"/>
                <w:szCs w:val="21"/>
                <w:lang w:bidi="ar"/>
              </w:rPr>
              <w:t xml:space="preserve">1,785.75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人员经费</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1,628.56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1,628.56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公用经费</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157.19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157.19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color w:val="000000"/>
                <w:sz w:val="21"/>
                <w:szCs w:val="21"/>
              </w:rPr>
            </w:pPr>
            <w:r>
              <w:rPr>
                <w:rFonts w:hint="eastAsia"/>
                <w:b/>
                <w:bCs/>
                <w:color w:val="000000"/>
                <w:kern w:val="0"/>
                <w:sz w:val="21"/>
                <w:szCs w:val="21"/>
                <w:lang w:bidi="ar"/>
              </w:rPr>
              <w:t>项目支出</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b/>
                <w:bCs/>
                <w:color w:val="000000"/>
                <w:kern w:val="0"/>
                <w:sz w:val="21"/>
                <w:szCs w:val="21"/>
                <w:lang w:bidi="ar"/>
              </w:rPr>
              <w:t xml:space="preserve">1,086.74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b/>
                <w:bCs/>
                <w:color w:val="000000"/>
                <w:kern w:val="0"/>
                <w:sz w:val="21"/>
                <w:szCs w:val="21"/>
                <w:lang w:bidi="ar"/>
              </w:rPr>
              <w:t xml:space="preserve">1,086.74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kern w:val="0"/>
                <w:sz w:val="21"/>
                <w:szCs w:val="21"/>
                <w:lang w:bidi="ar"/>
              </w:rPr>
              <w:t>年初预算</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1,086.74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1,086.74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420" w:firstLineChars="200"/>
              <w:jc w:val="left"/>
              <w:textAlignment w:val="center"/>
              <w:rPr>
                <w:color w:val="000000"/>
                <w:sz w:val="21"/>
                <w:szCs w:val="21"/>
              </w:rPr>
            </w:pPr>
            <w:r>
              <w:rPr>
                <w:rFonts w:hint="eastAsia"/>
                <w:color w:val="000000"/>
                <w:sz w:val="21"/>
                <w:szCs w:val="21"/>
              </w:rPr>
              <w:t>其中:信息网络及软件购置更新</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102.68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 xml:space="preserve">102.68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210" w:firstLineChars="100"/>
              <w:jc w:val="left"/>
              <w:textAlignment w:val="center"/>
              <w:rPr>
                <w:color w:val="000000"/>
                <w:sz w:val="21"/>
                <w:szCs w:val="21"/>
              </w:rPr>
            </w:pPr>
            <w:r>
              <w:rPr>
                <w:rFonts w:hint="eastAsia"/>
                <w:color w:val="000000"/>
                <w:sz w:val="21"/>
                <w:szCs w:val="21"/>
              </w:rPr>
              <w:t xml:space="preserve">    大型修缮</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95.6</w:t>
            </w:r>
            <w:r>
              <w:rPr>
                <w:rFonts w:hint="eastAsia" w:ascii="Arial Narrow" w:hAnsi="Arial Narrow" w:eastAsia="Arial Narrow" w:cs="Arial Narrow"/>
                <w:color w:val="000000"/>
                <w:kern w:val="0"/>
                <w:sz w:val="21"/>
                <w:szCs w:val="21"/>
                <w:lang w:bidi="ar"/>
              </w:rPr>
              <w:t>5</w:t>
            </w:r>
            <w:r>
              <w:rPr>
                <w:rFonts w:ascii="Arial Narrow" w:hAnsi="Arial Narrow" w:eastAsia="Arial Narrow" w:cs="Arial Narrow"/>
                <w:color w:val="000000"/>
                <w:kern w:val="0"/>
                <w:sz w:val="21"/>
                <w:szCs w:val="21"/>
                <w:lang w:bidi="ar"/>
              </w:rPr>
              <w:t xml:space="preserve">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95.6</w:t>
            </w:r>
            <w:r>
              <w:rPr>
                <w:rFonts w:hint="eastAsia" w:ascii="Arial Narrow" w:hAnsi="Arial Narrow" w:eastAsia="Arial Narrow" w:cs="Arial Narrow"/>
                <w:color w:val="000000"/>
                <w:kern w:val="0"/>
                <w:sz w:val="21"/>
                <w:szCs w:val="21"/>
                <w:lang w:bidi="ar"/>
              </w:rPr>
              <w:t>5</w:t>
            </w:r>
            <w:r>
              <w:rPr>
                <w:rFonts w:ascii="Arial Narrow" w:hAnsi="Arial Narrow" w:eastAsia="Arial Narrow" w:cs="Arial Narrow"/>
                <w:color w:val="000000"/>
                <w:kern w:val="0"/>
                <w:sz w:val="21"/>
                <w:szCs w:val="21"/>
                <w:lang w:bidi="ar"/>
              </w:rPr>
              <w:t xml:space="preserve">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630" w:firstLineChars="300"/>
              <w:jc w:val="left"/>
              <w:textAlignment w:val="center"/>
              <w:rPr>
                <w:color w:val="000000"/>
                <w:sz w:val="21"/>
                <w:szCs w:val="21"/>
              </w:rPr>
            </w:pPr>
            <w:r>
              <w:rPr>
                <w:rFonts w:hint="eastAsia"/>
                <w:color w:val="000000"/>
                <w:sz w:val="21"/>
                <w:szCs w:val="21"/>
              </w:rPr>
              <w:t>办公设备购置</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105.1</w:t>
            </w:r>
            <w:r>
              <w:rPr>
                <w:rFonts w:hint="eastAsia" w:ascii="Arial Narrow" w:hAnsi="Arial Narrow" w:eastAsia="Arial Narrow" w:cs="Arial Narrow"/>
                <w:color w:val="000000"/>
                <w:kern w:val="0"/>
                <w:sz w:val="21"/>
                <w:szCs w:val="21"/>
                <w:lang w:bidi="ar"/>
              </w:rPr>
              <w:t>7</w:t>
            </w:r>
            <w:r>
              <w:rPr>
                <w:rFonts w:ascii="Arial Narrow" w:hAnsi="Arial Narrow" w:eastAsia="Arial Narrow" w:cs="Arial Narrow"/>
                <w:color w:val="000000"/>
                <w:kern w:val="0"/>
                <w:sz w:val="21"/>
                <w:szCs w:val="21"/>
                <w:lang w:bidi="ar"/>
              </w:rPr>
              <w:t xml:space="preserve">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color w:val="000000"/>
                <w:sz w:val="21"/>
                <w:szCs w:val="21"/>
              </w:rPr>
            </w:pPr>
            <w:r>
              <w:rPr>
                <w:rFonts w:ascii="Arial Narrow" w:hAnsi="Arial Narrow" w:eastAsia="Arial Narrow" w:cs="Arial Narrow"/>
                <w:color w:val="000000"/>
                <w:kern w:val="0"/>
                <w:sz w:val="21"/>
                <w:szCs w:val="21"/>
                <w:lang w:bidi="ar"/>
              </w:rPr>
              <w:t>105.1</w:t>
            </w:r>
            <w:r>
              <w:rPr>
                <w:rFonts w:hint="eastAsia" w:ascii="Arial Narrow" w:hAnsi="Arial Narrow" w:eastAsia="Arial Narrow" w:cs="Arial Narrow"/>
                <w:color w:val="000000"/>
                <w:kern w:val="0"/>
                <w:sz w:val="21"/>
                <w:szCs w:val="21"/>
                <w:lang w:bidi="ar"/>
              </w:rPr>
              <w:t>7</w:t>
            </w:r>
            <w:r>
              <w:rPr>
                <w:rFonts w:ascii="Arial Narrow" w:hAnsi="Arial Narrow" w:eastAsia="Arial Narrow" w:cs="Arial Narrow"/>
                <w:color w:val="000000"/>
                <w:kern w:val="0"/>
                <w:sz w:val="21"/>
                <w:szCs w:val="21"/>
                <w:lang w:bidi="ar"/>
              </w:rPr>
              <w:t xml:space="preserve">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630" w:firstLineChars="300"/>
              <w:jc w:val="left"/>
              <w:textAlignment w:val="center"/>
              <w:rPr>
                <w:color w:val="000000"/>
                <w:kern w:val="0"/>
                <w:sz w:val="21"/>
                <w:szCs w:val="21"/>
                <w:lang w:bidi="ar"/>
              </w:rPr>
            </w:pPr>
            <w:r>
              <w:rPr>
                <w:rFonts w:hint="eastAsia"/>
                <w:color w:val="000000"/>
                <w:sz w:val="21"/>
                <w:szCs w:val="21"/>
              </w:rPr>
              <w:t>公务用车购置</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 xml:space="preserve">73.00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 xml:space="preserve">73.00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ind w:firstLine="630" w:firstLineChars="300"/>
              <w:jc w:val="left"/>
              <w:textAlignment w:val="center"/>
              <w:rPr>
                <w:color w:val="000000"/>
                <w:sz w:val="21"/>
                <w:szCs w:val="21"/>
              </w:rPr>
            </w:pPr>
            <w:r>
              <w:rPr>
                <w:rFonts w:hint="eastAsia"/>
                <w:color w:val="000000"/>
                <w:sz w:val="21"/>
                <w:szCs w:val="21"/>
              </w:rPr>
              <w:t>商品服务和支出(管理费用)</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 xml:space="preserve">710.24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eastAsia="Arial Narrow" w:cs="Arial Narrow"/>
                <w:color w:val="000000"/>
                <w:kern w:val="0"/>
                <w:sz w:val="21"/>
                <w:szCs w:val="21"/>
                <w:lang w:bidi="ar"/>
              </w:rPr>
            </w:pPr>
            <w:r>
              <w:rPr>
                <w:rFonts w:ascii="Arial Narrow" w:hAnsi="Arial Narrow" w:eastAsia="Arial Narrow" w:cs="Arial Narrow"/>
                <w:color w:val="000000"/>
                <w:kern w:val="0"/>
                <w:sz w:val="21"/>
                <w:szCs w:val="21"/>
                <w:lang w:bidi="ar"/>
              </w:rPr>
              <w:t xml:space="preserve">710.24 </w:t>
            </w:r>
          </w:p>
        </w:tc>
      </w:tr>
      <w:tr>
        <w:tblPrEx>
          <w:tblCellMar>
            <w:top w:w="0" w:type="dxa"/>
            <w:left w:w="108" w:type="dxa"/>
            <w:bottom w:w="0" w:type="dxa"/>
            <w:right w:w="108" w:type="dxa"/>
          </w:tblCellMar>
        </w:tblPrEx>
        <w:trPr>
          <w:trHeight w:val="397" w:hRule="atLeast"/>
          <w:jc w:val="center"/>
        </w:trPr>
        <w:tc>
          <w:tcPr>
            <w:tcW w:w="30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b/>
                <w:bCs/>
                <w:color w:val="000000"/>
                <w:sz w:val="21"/>
                <w:szCs w:val="21"/>
              </w:rPr>
            </w:pPr>
            <w:r>
              <w:rPr>
                <w:rFonts w:hint="eastAsia"/>
                <w:b/>
                <w:bCs/>
                <w:color w:val="000000"/>
                <w:kern w:val="0"/>
                <w:sz w:val="21"/>
                <w:szCs w:val="21"/>
                <w:lang w:bidi="ar"/>
              </w:rPr>
              <w:t>合计</w:t>
            </w:r>
          </w:p>
        </w:tc>
        <w:tc>
          <w:tcPr>
            <w:tcW w:w="9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b/>
                <w:bCs/>
                <w:color w:val="000000"/>
                <w:sz w:val="21"/>
                <w:szCs w:val="21"/>
              </w:rPr>
            </w:pPr>
            <w:r>
              <w:rPr>
                <w:rFonts w:hint="eastAsia" w:ascii="Arial Narrow" w:hAnsi="Arial Narrow" w:eastAsia="宋体" w:cs="Arial Narrow"/>
                <w:b/>
                <w:bCs/>
                <w:color w:val="000000"/>
                <w:kern w:val="0"/>
                <w:sz w:val="21"/>
                <w:szCs w:val="21"/>
                <w:lang w:bidi="ar"/>
              </w:rPr>
              <w:t>2</w:t>
            </w:r>
            <w:r>
              <w:rPr>
                <w:rFonts w:ascii="Arial Narrow" w:hAnsi="Arial Narrow" w:eastAsia="Arial Narrow" w:cs="Arial Narrow"/>
                <w:b/>
                <w:bCs/>
                <w:color w:val="000000"/>
                <w:kern w:val="0"/>
                <w:sz w:val="21"/>
                <w:szCs w:val="21"/>
                <w:lang w:bidi="ar"/>
              </w:rPr>
              <w:t>,</w:t>
            </w:r>
            <w:r>
              <w:rPr>
                <w:rFonts w:hint="eastAsia" w:ascii="Arial Narrow" w:hAnsi="Arial Narrow" w:eastAsia="宋体" w:cs="Arial Narrow"/>
                <w:b/>
                <w:bCs/>
                <w:color w:val="000000"/>
                <w:kern w:val="0"/>
                <w:sz w:val="21"/>
                <w:szCs w:val="21"/>
                <w:lang w:bidi="ar"/>
              </w:rPr>
              <w:t>872</w:t>
            </w:r>
            <w:r>
              <w:rPr>
                <w:rFonts w:ascii="Arial Narrow" w:hAnsi="Arial Narrow" w:eastAsia="Arial Narrow" w:cs="Arial Narrow"/>
                <w:b/>
                <w:bCs/>
                <w:color w:val="000000"/>
                <w:kern w:val="0"/>
                <w:sz w:val="21"/>
                <w:szCs w:val="21"/>
                <w:lang w:bidi="ar"/>
              </w:rPr>
              <w:t>.</w:t>
            </w:r>
            <w:r>
              <w:rPr>
                <w:rFonts w:hint="eastAsia" w:ascii="Arial Narrow" w:hAnsi="Arial Narrow" w:eastAsia="宋体" w:cs="Arial Narrow"/>
                <w:b/>
                <w:bCs/>
                <w:color w:val="000000"/>
                <w:kern w:val="0"/>
                <w:sz w:val="21"/>
                <w:szCs w:val="21"/>
                <w:lang w:bidi="ar"/>
              </w:rPr>
              <w:t>4</w:t>
            </w:r>
            <w:r>
              <w:rPr>
                <w:rFonts w:ascii="Arial Narrow" w:hAnsi="Arial Narrow" w:eastAsia="Arial Narrow" w:cs="Arial Narrow"/>
                <w:b/>
                <w:bCs/>
                <w:color w:val="000000"/>
                <w:kern w:val="0"/>
                <w:sz w:val="21"/>
                <w:szCs w:val="21"/>
                <w:lang w:bidi="ar"/>
              </w:rPr>
              <w:t xml:space="preserve">9 </w:t>
            </w:r>
          </w:p>
        </w:tc>
        <w:tc>
          <w:tcPr>
            <w:tcW w:w="103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b/>
                <w:bCs/>
                <w:color w:val="000000"/>
                <w:sz w:val="21"/>
                <w:szCs w:val="21"/>
              </w:rPr>
            </w:pPr>
            <w:r>
              <w:rPr>
                <w:rFonts w:hint="eastAsia" w:ascii="Arial Narrow" w:hAnsi="Arial Narrow" w:eastAsia="宋体" w:cs="Arial Narrow"/>
                <w:b/>
                <w:bCs/>
                <w:color w:val="000000"/>
                <w:kern w:val="0"/>
                <w:sz w:val="21"/>
                <w:szCs w:val="21"/>
                <w:lang w:bidi="ar"/>
              </w:rPr>
              <w:t>2</w:t>
            </w:r>
            <w:r>
              <w:rPr>
                <w:rFonts w:ascii="Arial Narrow" w:hAnsi="Arial Narrow" w:eastAsia="Arial Narrow" w:cs="Arial Narrow"/>
                <w:b/>
                <w:bCs/>
                <w:color w:val="000000"/>
                <w:kern w:val="0"/>
                <w:sz w:val="21"/>
                <w:szCs w:val="21"/>
                <w:lang w:bidi="ar"/>
              </w:rPr>
              <w:t>,</w:t>
            </w:r>
            <w:r>
              <w:rPr>
                <w:rFonts w:hint="eastAsia" w:ascii="Arial Narrow" w:hAnsi="Arial Narrow" w:eastAsia="宋体" w:cs="Arial Narrow"/>
                <w:b/>
                <w:bCs/>
                <w:color w:val="000000"/>
                <w:kern w:val="0"/>
                <w:sz w:val="21"/>
                <w:szCs w:val="21"/>
                <w:lang w:bidi="ar"/>
              </w:rPr>
              <w:t>872</w:t>
            </w:r>
            <w:r>
              <w:rPr>
                <w:rFonts w:ascii="Arial Narrow" w:hAnsi="Arial Narrow" w:eastAsia="Arial Narrow" w:cs="Arial Narrow"/>
                <w:b/>
                <w:bCs/>
                <w:color w:val="000000"/>
                <w:kern w:val="0"/>
                <w:sz w:val="21"/>
                <w:szCs w:val="21"/>
                <w:lang w:bidi="ar"/>
              </w:rPr>
              <w:t>.</w:t>
            </w:r>
            <w:r>
              <w:rPr>
                <w:rFonts w:hint="eastAsia" w:ascii="Arial Narrow" w:hAnsi="Arial Narrow" w:eastAsia="宋体" w:cs="Arial Narrow"/>
                <w:b/>
                <w:bCs/>
                <w:color w:val="000000"/>
                <w:kern w:val="0"/>
                <w:sz w:val="21"/>
                <w:szCs w:val="21"/>
                <w:lang w:bidi="ar"/>
              </w:rPr>
              <w:t>4</w:t>
            </w:r>
            <w:r>
              <w:rPr>
                <w:rFonts w:ascii="Arial Narrow" w:hAnsi="Arial Narrow" w:eastAsia="Arial Narrow" w:cs="Arial Narrow"/>
                <w:b/>
                <w:bCs/>
                <w:color w:val="000000"/>
                <w:kern w:val="0"/>
                <w:sz w:val="21"/>
                <w:szCs w:val="21"/>
                <w:lang w:bidi="ar"/>
              </w:rPr>
              <w:t xml:space="preserve">9 </w:t>
            </w:r>
          </w:p>
        </w:tc>
      </w:tr>
      <w:bookmarkEnd w:id="43"/>
      <w:bookmarkEnd w:id="59"/>
      <w:bookmarkEnd w:id="60"/>
      <w:bookmarkEnd w:id="61"/>
      <w:bookmarkEnd w:id="62"/>
      <w:bookmarkEnd w:id="85"/>
      <w:bookmarkEnd w:id="86"/>
    </w:tbl>
    <w:p>
      <w:pPr>
        <w:pStyle w:val="3"/>
        <w:spacing w:before="0" w:after="0" w:line="560" w:lineRule="exact"/>
        <w:ind w:firstLine="562" w:firstLineChars="200"/>
        <w:rPr>
          <w:rFonts w:ascii="仿宋" w:hAnsi="仿宋" w:eastAsia="仿宋"/>
          <w:sz w:val="28"/>
        </w:rPr>
      </w:pPr>
      <w:bookmarkStart w:id="91" w:name="_Toc3861"/>
      <w:bookmarkStart w:id="92" w:name="_Toc31446"/>
      <w:bookmarkStart w:id="93" w:name="_Toc22964"/>
      <w:bookmarkStart w:id="94" w:name="_Toc16314"/>
      <w:bookmarkStart w:id="95" w:name="_Toc8105"/>
      <w:r>
        <w:rPr>
          <w:rFonts w:hint="eastAsia" w:ascii="仿宋" w:hAnsi="仿宋" w:eastAsia="仿宋"/>
          <w:sz w:val="28"/>
        </w:rPr>
        <w:t>（三）部门固定资产情况</w:t>
      </w:r>
      <w:bookmarkEnd w:id="91"/>
      <w:bookmarkEnd w:id="92"/>
      <w:bookmarkEnd w:id="93"/>
      <w:bookmarkEnd w:id="94"/>
      <w:bookmarkEnd w:id="95"/>
    </w:p>
    <w:p>
      <w:pPr>
        <w:widowControl w:val="0"/>
        <w:spacing w:line="560" w:lineRule="exact"/>
        <w:ind w:firstLine="560" w:firstLineChars="200"/>
        <w:rPr>
          <w:bCs/>
        </w:rPr>
      </w:pPr>
      <w:bookmarkStart w:id="96" w:name="_Toc6218"/>
      <w:r>
        <w:rPr>
          <w:rFonts w:hint="eastAsia"/>
          <w:bCs/>
        </w:rPr>
        <w:t>202</w:t>
      </w:r>
      <w:r>
        <w:rPr>
          <w:bCs/>
        </w:rPr>
        <w:t>1</w:t>
      </w:r>
      <w:r>
        <w:rPr>
          <w:rFonts w:hint="eastAsia"/>
          <w:bCs/>
        </w:rPr>
        <w:t>年12月31日，运城市住房公积金管理中心账面资产原值共计6,549.69万元，其中：固定资产原值6,095.40万元，无形资产原值454.29万元。具体情况见表1-3：</w:t>
      </w:r>
      <w:bookmarkEnd w:id="96"/>
    </w:p>
    <w:p>
      <w:pPr>
        <w:widowControl w:val="0"/>
        <w:spacing w:line="560" w:lineRule="exact"/>
        <w:jc w:val="center"/>
      </w:pPr>
      <w:r>
        <w:rPr>
          <w:rFonts w:hint="eastAsia"/>
          <w:b/>
          <w:bCs/>
        </w:rPr>
        <w:t>表1-3 资产情况表</w:t>
      </w:r>
    </w:p>
    <w:p>
      <w:pPr>
        <w:widowControl w:val="0"/>
        <w:spacing w:line="560" w:lineRule="exact"/>
        <w:jc w:val="right"/>
        <w:rPr>
          <w:sz w:val="24"/>
          <w:szCs w:val="24"/>
        </w:rPr>
      </w:pPr>
      <w:r>
        <w:rPr>
          <w:rFonts w:hint="eastAsia"/>
          <w:sz w:val="24"/>
          <w:szCs w:val="24"/>
        </w:rPr>
        <w:t>金额单位：万元</w:t>
      </w:r>
    </w:p>
    <w:tbl>
      <w:tblPr>
        <w:tblStyle w:val="19"/>
        <w:tblW w:w="5000" w:type="pct"/>
        <w:tblInd w:w="0" w:type="dxa"/>
        <w:shd w:val="clear" w:color="auto" w:fill="FFFFFF" w:themeFill="background1"/>
        <w:tblLayout w:type="fixed"/>
        <w:tblCellMar>
          <w:top w:w="0" w:type="dxa"/>
          <w:left w:w="108" w:type="dxa"/>
          <w:bottom w:w="0" w:type="dxa"/>
          <w:right w:w="108" w:type="dxa"/>
        </w:tblCellMar>
      </w:tblPr>
      <w:tblGrid>
        <w:gridCol w:w="684"/>
        <w:gridCol w:w="1059"/>
        <w:gridCol w:w="889"/>
        <w:gridCol w:w="1134"/>
        <w:gridCol w:w="1148"/>
        <w:gridCol w:w="998"/>
        <w:gridCol w:w="1013"/>
        <w:gridCol w:w="867"/>
        <w:gridCol w:w="928"/>
      </w:tblGrid>
      <w:tr>
        <w:tblPrEx>
          <w:shd w:val="clear" w:color="auto" w:fill="FFFFFF" w:themeFill="background1"/>
          <w:tblCellMar>
            <w:top w:w="0" w:type="dxa"/>
            <w:left w:w="108" w:type="dxa"/>
            <w:bottom w:w="0" w:type="dxa"/>
            <w:right w:w="108" w:type="dxa"/>
          </w:tblCellMar>
        </w:tblPrEx>
        <w:trPr>
          <w:trHeight w:val="662" w:hRule="atLeast"/>
          <w:tblHeader/>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sz w:val="20"/>
                <w:szCs w:val="20"/>
              </w:rPr>
            </w:pPr>
            <w:r>
              <w:rPr>
                <w:rFonts w:hint="eastAsia"/>
                <w:b/>
                <w:bCs/>
                <w:color w:val="000000"/>
                <w:kern w:val="0"/>
                <w:sz w:val="20"/>
                <w:szCs w:val="20"/>
                <w:lang w:bidi="ar"/>
              </w:rPr>
              <w:t>部门</w:t>
            </w:r>
          </w:p>
        </w:tc>
        <w:tc>
          <w:tcPr>
            <w:tcW w:w="60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kern w:val="0"/>
                <w:sz w:val="20"/>
                <w:szCs w:val="20"/>
                <w:lang w:bidi="ar"/>
              </w:rPr>
            </w:pPr>
            <w:r>
              <w:rPr>
                <w:rFonts w:hint="eastAsia"/>
                <w:b/>
                <w:bCs/>
                <w:color w:val="000000"/>
                <w:kern w:val="0"/>
                <w:sz w:val="20"/>
                <w:szCs w:val="20"/>
                <w:lang w:bidi="ar"/>
              </w:rPr>
              <w:t>资产</w:t>
            </w:r>
          </w:p>
          <w:p>
            <w:pPr>
              <w:spacing w:line="280" w:lineRule="exact"/>
              <w:jc w:val="center"/>
              <w:textAlignment w:val="center"/>
              <w:rPr>
                <w:b/>
                <w:bCs/>
                <w:color w:val="000000"/>
                <w:sz w:val="20"/>
                <w:szCs w:val="20"/>
              </w:rPr>
            </w:pPr>
            <w:r>
              <w:rPr>
                <w:rFonts w:hint="eastAsia"/>
                <w:b/>
                <w:bCs/>
                <w:color w:val="000000"/>
                <w:kern w:val="0"/>
                <w:sz w:val="20"/>
                <w:szCs w:val="20"/>
                <w:lang w:bidi="ar"/>
              </w:rPr>
              <w:t>数量</w:t>
            </w:r>
          </w:p>
        </w:tc>
        <w:tc>
          <w:tcPr>
            <w:tcW w:w="4000" w:type="pct"/>
            <w:gridSpan w:val="7"/>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kern w:val="0"/>
                <w:sz w:val="20"/>
                <w:szCs w:val="20"/>
                <w:lang w:bidi="ar"/>
              </w:rPr>
            </w:pPr>
            <w:r>
              <w:rPr>
                <w:rFonts w:hint="eastAsia"/>
                <w:b/>
                <w:bCs/>
                <w:color w:val="000000"/>
                <w:kern w:val="0"/>
                <w:sz w:val="20"/>
                <w:szCs w:val="20"/>
                <w:lang w:bidi="ar"/>
              </w:rPr>
              <w:t>资产原值</w:t>
            </w:r>
          </w:p>
        </w:tc>
      </w:tr>
      <w:tr>
        <w:tblPrEx>
          <w:tblCellMar>
            <w:top w:w="0" w:type="dxa"/>
            <w:left w:w="108" w:type="dxa"/>
            <w:bottom w:w="0" w:type="dxa"/>
            <w:right w:w="108" w:type="dxa"/>
          </w:tblCellMar>
        </w:tblPrEx>
        <w:trPr>
          <w:trHeight w:val="397" w:hRule="atLeast"/>
          <w:tblHead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rPr>
                <w:b/>
                <w:bCs/>
                <w:color w:val="000000"/>
                <w:sz w:val="20"/>
                <w:szCs w:val="20"/>
              </w:rPr>
            </w:pP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rPr>
                <w:b/>
                <w:bCs/>
                <w:color w:val="000000"/>
                <w:sz w:val="20"/>
                <w:szCs w:val="20"/>
              </w:rPr>
            </w:pPr>
          </w:p>
        </w:tc>
        <w:tc>
          <w:tcPr>
            <w:tcW w:w="5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80" w:lineRule="exact"/>
              <w:jc w:val="center"/>
              <w:textAlignment w:val="center"/>
              <w:rPr>
                <w:b/>
                <w:bCs/>
                <w:color w:val="000000"/>
                <w:sz w:val="20"/>
                <w:szCs w:val="20"/>
              </w:rPr>
            </w:pPr>
            <w:r>
              <w:rPr>
                <w:rFonts w:hint="eastAsia"/>
                <w:b/>
                <w:bCs/>
                <w:color w:val="000000"/>
                <w:kern w:val="0"/>
                <w:sz w:val="20"/>
                <w:szCs w:val="20"/>
                <w:lang w:bidi="ar"/>
              </w:rPr>
              <w:t>土地、房屋及构筑物</w:t>
            </w:r>
          </w:p>
        </w:tc>
        <w:tc>
          <w:tcPr>
            <w:tcW w:w="65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sz w:val="20"/>
                <w:szCs w:val="20"/>
              </w:rPr>
            </w:pPr>
            <w:r>
              <w:rPr>
                <w:rFonts w:hint="eastAsia"/>
                <w:b/>
                <w:bCs/>
                <w:color w:val="000000"/>
                <w:kern w:val="0"/>
                <w:sz w:val="20"/>
                <w:szCs w:val="20"/>
                <w:lang w:bidi="ar"/>
              </w:rPr>
              <w:t>通用设备</w:t>
            </w:r>
          </w:p>
        </w:tc>
        <w:tc>
          <w:tcPr>
            <w:tcW w:w="6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sz w:val="20"/>
                <w:szCs w:val="20"/>
              </w:rPr>
            </w:pPr>
            <w:r>
              <w:rPr>
                <w:rFonts w:hint="eastAsia"/>
                <w:b/>
                <w:bCs/>
                <w:color w:val="000000"/>
                <w:kern w:val="0"/>
                <w:sz w:val="20"/>
                <w:szCs w:val="20"/>
                <w:lang w:bidi="ar"/>
              </w:rPr>
              <w:t>专用设备</w:t>
            </w:r>
          </w:p>
        </w:tc>
        <w:tc>
          <w:tcPr>
            <w:tcW w:w="5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b/>
                <w:bCs/>
                <w:color w:val="000000"/>
                <w:sz w:val="20"/>
                <w:szCs w:val="20"/>
              </w:rPr>
            </w:pPr>
            <w:r>
              <w:rPr>
                <w:rFonts w:hint="eastAsia"/>
                <w:b/>
                <w:bCs/>
                <w:color w:val="000000"/>
                <w:kern w:val="0"/>
                <w:sz w:val="20"/>
                <w:szCs w:val="20"/>
                <w:lang w:bidi="ar"/>
              </w:rPr>
              <w:t>图书、档案</w:t>
            </w:r>
          </w:p>
        </w:tc>
        <w:tc>
          <w:tcPr>
            <w:tcW w:w="58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b/>
                <w:bCs/>
                <w:color w:val="000000"/>
                <w:kern w:val="0"/>
                <w:sz w:val="20"/>
                <w:szCs w:val="20"/>
                <w:lang w:bidi="ar"/>
              </w:rPr>
            </w:pPr>
            <w:r>
              <w:rPr>
                <w:rFonts w:hint="eastAsia"/>
                <w:b/>
                <w:bCs/>
                <w:color w:val="000000"/>
                <w:kern w:val="0"/>
                <w:sz w:val="20"/>
                <w:szCs w:val="20"/>
                <w:lang w:bidi="ar"/>
              </w:rPr>
              <w:t>家具、用具、装具及动植物</w:t>
            </w:r>
          </w:p>
        </w:tc>
        <w:tc>
          <w:tcPr>
            <w:tcW w:w="49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kern w:val="0"/>
                <w:sz w:val="20"/>
                <w:szCs w:val="20"/>
                <w:lang w:bidi="ar"/>
              </w:rPr>
            </w:pPr>
            <w:r>
              <w:rPr>
                <w:rFonts w:hint="eastAsia"/>
                <w:b/>
                <w:bCs/>
                <w:color w:val="000000"/>
                <w:kern w:val="0"/>
                <w:sz w:val="20"/>
                <w:szCs w:val="20"/>
                <w:lang w:bidi="ar"/>
              </w:rPr>
              <w:t>无形</w:t>
            </w:r>
          </w:p>
          <w:p>
            <w:pPr>
              <w:spacing w:line="280" w:lineRule="exact"/>
              <w:jc w:val="center"/>
              <w:textAlignment w:val="center"/>
              <w:rPr>
                <w:b/>
                <w:bCs/>
                <w:color w:val="000000"/>
                <w:kern w:val="0"/>
                <w:sz w:val="20"/>
                <w:szCs w:val="20"/>
                <w:lang w:bidi="ar"/>
              </w:rPr>
            </w:pPr>
            <w:r>
              <w:rPr>
                <w:rFonts w:hint="eastAsia"/>
                <w:b/>
                <w:bCs/>
                <w:color w:val="000000"/>
                <w:kern w:val="0"/>
                <w:sz w:val="20"/>
                <w:szCs w:val="20"/>
                <w:lang w:bidi="ar"/>
              </w:rPr>
              <w:t>资产</w:t>
            </w: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textAlignment w:val="center"/>
              <w:rPr>
                <w:b/>
                <w:bCs/>
                <w:color w:val="000000"/>
                <w:kern w:val="0"/>
                <w:sz w:val="20"/>
                <w:szCs w:val="20"/>
                <w:lang w:bidi="ar"/>
              </w:rPr>
            </w:pPr>
            <w:r>
              <w:rPr>
                <w:rFonts w:hint="eastAsia"/>
                <w:b/>
                <w:bCs/>
                <w:color w:val="000000"/>
                <w:kern w:val="0"/>
                <w:sz w:val="20"/>
                <w:szCs w:val="20"/>
                <w:lang w:bidi="ar"/>
              </w:rPr>
              <w:t>合计</w:t>
            </w:r>
          </w:p>
        </w:tc>
      </w:tr>
      <w:tr>
        <w:tblPrEx>
          <w:tblCellMar>
            <w:top w:w="0" w:type="dxa"/>
            <w:left w:w="108" w:type="dxa"/>
            <w:bottom w:w="0" w:type="dxa"/>
            <w:right w:w="108" w:type="dxa"/>
          </w:tblCellMar>
        </w:tblPrEx>
        <w:trPr>
          <w:trHeight w:val="397"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textAlignment w:val="center"/>
              <w:rPr>
                <w:color w:val="000000"/>
                <w:sz w:val="20"/>
                <w:szCs w:val="20"/>
              </w:rPr>
            </w:pPr>
            <w:r>
              <w:rPr>
                <w:rFonts w:hint="eastAsia"/>
                <w:color w:val="000000"/>
                <w:kern w:val="0"/>
                <w:sz w:val="20"/>
                <w:szCs w:val="20"/>
                <w:lang w:bidi="ar"/>
              </w:rPr>
              <w:t>固定资产</w:t>
            </w:r>
          </w:p>
        </w:tc>
        <w:tc>
          <w:tcPr>
            <w:tcW w:w="60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Narrow" w:hAnsi="Arial Narrow" w:cs="Arial Narrow"/>
                <w:color w:val="000000"/>
                <w:sz w:val="20"/>
                <w:szCs w:val="20"/>
              </w:rPr>
            </w:pPr>
            <w:r>
              <w:rPr>
                <w:rFonts w:hint="eastAsia" w:ascii="Arial Narrow" w:hAnsi="Arial Narrow" w:eastAsia="Arial Narrow" w:cs="Arial Narrow"/>
                <w:color w:val="000000"/>
                <w:kern w:val="0"/>
                <w:sz w:val="20"/>
                <w:szCs w:val="20"/>
                <w:lang w:bidi="ar"/>
              </w:rPr>
              <w:t>3588</w:t>
            </w:r>
            <w:r>
              <w:rPr>
                <w:rFonts w:ascii="Arial Narrow" w:hAnsi="Arial Narrow" w:eastAsia="Arial Narrow" w:cs="Arial Narrow"/>
                <w:color w:val="000000"/>
                <w:kern w:val="0"/>
                <w:sz w:val="20"/>
                <w:szCs w:val="20"/>
                <w:lang w:bidi="ar"/>
              </w:rPr>
              <w:t xml:space="preserve"> </w:t>
            </w:r>
          </w:p>
        </w:tc>
        <w:tc>
          <w:tcPr>
            <w:tcW w:w="51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sz w:val="20"/>
                <w:szCs w:val="20"/>
              </w:rPr>
            </w:pPr>
            <w:r>
              <w:rPr>
                <w:rFonts w:ascii="Arial Narrow" w:hAnsi="Arial Narrow" w:eastAsia="Arial Narrow" w:cs="Arial Narrow"/>
                <w:color w:val="000000"/>
                <w:kern w:val="0"/>
                <w:sz w:val="20"/>
                <w:szCs w:val="20"/>
                <w:lang w:bidi="ar"/>
              </w:rPr>
              <w:t>3,496.70</w:t>
            </w:r>
          </w:p>
        </w:tc>
        <w:tc>
          <w:tcPr>
            <w:tcW w:w="65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sz w:val="20"/>
                <w:szCs w:val="20"/>
              </w:rPr>
            </w:pPr>
            <w:r>
              <w:rPr>
                <w:rFonts w:ascii="Arial Narrow" w:hAnsi="Arial Narrow" w:eastAsia="Arial Narrow" w:cs="Arial Narrow"/>
                <w:color w:val="000000"/>
                <w:kern w:val="0"/>
                <w:sz w:val="20"/>
                <w:szCs w:val="20"/>
                <w:lang w:bidi="ar"/>
              </w:rPr>
              <w:t>2,340.10</w:t>
            </w:r>
          </w:p>
        </w:tc>
        <w:tc>
          <w:tcPr>
            <w:tcW w:w="6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sz w:val="20"/>
                <w:szCs w:val="20"/>
              </w:rPr>
            </w:pPr>
            <w:r>
              <w:rPr>
                <w:rFonts w:ascii="Arial Narrow" w:hAnsi="Arial Narrow" w:eastAsia="Arial Narrow" w:cs="Arial Narrow"/>
                <w:color w:val="000000"/>
                <w:kern w:val="0"/>
                <w:sz w:val="20"/>
                <w:szCs w:val="20"/>
                <w:lang w:bidi="ar"/>
              </w:rPr>
              <w:t>96.57</w:t>
            </w:r>
          </w:p>
        </w:tc>
        <w:tc>
          <w:tcPr>
            <w:tcW w:w="5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sz w:val="20"/>
                <w:szCs w:val="20"/>
              </w:rPr>
            </w:pPr>
            <w:r>
              <w:rPr>
                <w:rFonts w:ascii="Arial Narrow" w:hAnsi="Arial Narrow" w:eastAsia="Arial Narrow" w:cs="Arial Narrow"/>
                <w:color w:val="000000"/>
                <w:kern w:val="0"/>
                <w:sz w:val="20"/>
                <w:szCs w:val="20"/>
                <w:lang w:bidi="ar"/>
              </w:rPr>
              <w:t>3</w:t>
            </w:r>
            <w:r>
              <w:rPr>
                <w:rFonts w:hint="eastAsia" w:ascii="Arial Narrow" w:hAnsi="Arial Narrow" w:eastAsia="Arial Narrow" w:cs="Arial Narrow"/>
                <w:color w:val="000000"/>
                <w:kern w:val="0"/>
                <w:sz w:val="20"/>
                <w:szCs w:val="20"/>
                <w:lang w:bidi="ar"/>
              </w:rPr>
              <w:t>.00</w:t>
            </w:r>
          </w:p>
        </w:tc>
        <w:tc>
          <w:tcPr>
            <w:tcW w:w="58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kern w:val="0"/>
                <w:sz w:val="20"/>
                <w:szCs w:val="20"/>
                <w:lang w:bidi="ar"/>
              </w:rPr>
            </w:pPr>
            <w:r>
              <w:rPr>
                <w:rFonts w:ascii="Arial Narrow" w:hAnsi="Arial Narrow" w:eastAsia="Arial Narrow" w:cs="Arial Narrow"/>
                <w:color w:val="000000"/>
                <w:kern w:val="0"/>
                <w:sz w:val="20"/>
                <w:szCs w:val="20"/>
                <w:lang w:bidi="ar"/>
              </w:rPr>
              <w:t>159.03</w:t>
            </w:r>
          </w:p>
        </w:tc>
        <w:tc>
          <w:tcPr>
            <w:tcW w:w="49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sz w:val="20"/>
                <w:szCs w:val="20"/>
              </w:rPr>
            </w:pPr>
            <w:r>
              <w:rPr>
                <w:rFonts w:ascii="Arial Narrow" w:hAnsi="Arial Narrow" w:eastAsia="Arial Narrow" w:cs="Arial Narrow"/>
                <w:color w:val="000000"/>
                <w:kern w:val="0"/>
                <w:sz w:val="20"/>
                <w:szCs w:val="20"/>
                <w:lang w:bidi="ar"/>
              </w:rPr>
              <w:t>6,095.40</w:t>
            </w:r>
          </w:p>
        </w:tc>
      </w:tr>
      <w:tr>
        <w:tblPrEx>
          <w:shd w:val="clear" w:color="auto" w:fill="FFFFFF" w:themeFill="background1"/>
          <w:tblCellMar>
            <w:top w:w="0" w:type="dxa"/>
            <w:left w:w="108" w:type="dxa"/>
            <w:bottom w:w="0" w:type="dxa"/>
            <w:right w:w="108" w:type="dxa"/>
          </w:tblCellMar>
        </w:tblPrEx>
        <w:trPr>
          <w:trHeight w:val="397"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textAlignment w:val="center"/>
              <w:rPr>
                <w:color w:val="000000"/>
                <w:kern w:val="0"/>
                <w:sz w:val="20"/>
                <w:szCs w:val="20"/>
                <w:lang w:bidi="ar"/>
              </w:rPr>
            </w:pPr>
            <w:r>
              <w:rPr>
                <w:rFonts w:hint="eastAsia"/>
                <w:color w:val="000000"/>
                <w:kern w:val="0"/>
                <w:sz w:val="20"/>
                <w:szCs w:val="20"/>
                <w:lang w:bidi="ar"/>
              </w:rPr>
              <w:t>无形资产</w:t>
            </w:r>
          </w:p>
        </w:tc>
        <w:tc>
          <w:tcPr>
            <w:tcW w:w="60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Narrow" w:hAnsi="Arial Narrow" w:cs="Arial Narrow"/>
                <w:color w:val="000000"/>
                <w:kern w:val="0"/>
                <w:sz w:val="20"/>
                <w:szCs w:val="20"/>
                <w:lang w:bidi="ar"/>
              </w:rPr>
            </w:pPr>
            <w:r>
              <w:rPr>
                <w:rFonts w:hint="eastAsia" w:ascii="Arial Narrow" w:hAnsi="Arial Narrow" w:eastAsia="Arial Narrow" w:cs="Arial Narrow"/>
                <w:color w:val="000000"/>
                <w:kern w:val="0"/>
                <w:sz w:val="20"/>
                <w:szCs w:val="20"/>
                <w:lang w:bidi="ar"/>
              </w:rPr>
              <w:t>13</w:t>
            </w:r>
            <w:r>
              <w:rPr>
                <w:rFonts w:ascii="Arial Narrow" w:hAnsi="Arial Narrow" w:eastAsia="Arial Narrow" w:cs="Arial Narrow"/>
                <w:color w:val="000000"/>
                <w:kern w:val="0"/>
                <w:sz w:val="20"/>
                <w:szCs w:val="20"/>
                <w:lang w:bidi="ar"/>
              </w:rPr>
              <w:t xml:space="preserve"> </w:t>
            </w:r>
          </w:p>
        </w:tc>
        <w:tc>
          <w:tcPr>
            <w:tcW w:w="51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65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6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5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58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bottom"/>
          </w:tcPr>
          <w:p>
            <w:pPr>
              <w:jc w:val="right"/>
              <w:rPr>
                <w:rFonts w:ascii="Arial Narrow" w:hAnsi="Arial Narrow" w:cs="Arial Narrow"/>
                <w:color w:val="000000"/>
                <w:kern w:val="0"/>
                <w:sz w:val="20"/>
                <w:szCs w:val="20"/>
                <w:lang w:bidi="ar"/>
              </w:rPr>
            </w:pPr>
          </w:p>
        </w:tc>
        <w:tc>
          <w:tcPr>
            <w:tcW w:w="49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kern w:val="0"/>
                <w:sz w:val="20"/>
                <w:szCs w:val="20"/>
                <w:lang w:bidi="ar"/>
              </w:rPr>
            </w:pPr>
            <w:r>
              <w:rPr>
                <w:rFonts w:ascii="Arial Narrow" w:hAnsi="Arial Narrow" w:eastAsia="Arial Narrow" w:cs="Arial Narrow"/>
                <w:color w:val="000000"/>
                <w:kern w:val="0"/>
                <w:sz w:val="20"/>
                <w:szCs w:val="20"/>
                <w:lang w:bidi="ar"/>
              </w:rPr>
              <w:t>454.29</w:t>
            </w: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color w:val="000000"/>
                <w:kern w:val="0"/>
                <w:sz w:val="20"/>
                <w:szCs w:val="20"/>
                <w:lang w:bidi="ar"/>
              </w:rPr>
            </w:pPr>
            <w:r>
              <w:rPr>
                <w:rFonts w:ascii="Arial Narrow" w:hAnsi="Arial Narrow" w:eastAsia="Arial Narrow" w:cs="Arial Narrow"/>
                <w:color w:val="000000"/>
                <w:kern w:val="0"/>
                <w:sz w:val="20"/>
                <w:szCs w:val="20"/>
                <w:lang w:bidi="ar"/>
              </w:rPr>
              <w:t>454.29</w:t>
            </w:r>
          </w:p>
        </w:tc>
      </w:tr>
      <w:tr>
        <w:tblPrEx>
          <w:shd w:val="clear" w:color="auto" w:fill="FFFFFF" w:themeFill="background1"/>
          <w:tblCellMar>
            <w:top w:w="0" w:type="dxa"/>
            <w:left w:w="108" w:type="dxa"/>
            <w:bottom w:w="0" w:type="dxa"/>
            <w:right w:w="108" w:type="dxa"/>
          </w:tblCellMar>
        </w:tblPrEx>
        <w:trPr>
          <w:trHeight w:val="397"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280" w:lineRule="exact"/>
              <w:jc w:val="center"/>
              <w:rPr>
                <w:b/>
                <w:bCs/>
                <w:color w:val="000000"/>
                <w:sz w:val="20"/>
                <w:szCs w:val="20"/>
              </w:rPr>
            </w:pPr>
            <w:r>
              <w:rPr>
                <w:rFonts w:hint="eastAsia"/>
                <w:color w:val="000000"/>
                <w:sz w:val="20"/>
                <w:szCs w:val="20"/>
              </w:rPr>
              <w:t>合计</w:t>
            </w:r>
          </w:p>
        </w:tc>
        <w:tc>
          <w:tcPr>
            <w:tcW w:w="60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Narrow" w:hAnsi="Arial Narrow" w:cs="Arial Narrow"/>
                <w:b/>
                <w:bCs/>
                <w:color w:val="000000"/>
                <w:sz w:val="20"/>
                <w:szCs w:val="20"/>
              </w:rPr>
            </w:pPr>
            <w:r>
              <w:rPr>
                <w:rFonts w:hint="eastAsia" w:ascii="Arial Narrow" w:hAnsi="Arial Narrow" w:eastAsia="Arial Narrow" w:cs="Arial Narrow"/>
                <w:color w:val="000000"/>
                <w:kern w:val="0"/>
                <w:sz w:val="20"/>
                <w:szCs w:val="20"/>
                <w:lang w:bidi="ar"/>
              </w:rPr>
              <w:t>3601</w:t>
            </w:r>
            <w:r>
              <w:rPr>
                <w:rFonts w:ascii="Arial Narrow" w:hAnsi="Arial Narrow" w:eastAsia="Arial Narrow" w:cs="Arial Narrow"/>
                <w:b/>
                <w:bCs/>
                <w:color w:val="000000"/>
                <w:kern w:val="0"/>
                <w:sz w:val="20"/>
                <w:szCs w:val="20"/>
                <w:lang w:bidi="ar"/>
              </w:rPr>
              <w:t xml:space="preserve"> </w:t>
            </w:r>
          </w:p>
        </w:tc>
        <w:tc>
          <w:tcPr>
            <w:tcW w:w="51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sz w:val="20"/>
                <w:szCs w:val="20"/>
              </w:rPr>
            </w:pPr>
            <w:r>
              <w:rPr>
                <w:rFonts w:ascii="Arial Narrow" w:hAnsi="Arial Narrow" w:eastAsia="Arial Narrow" w:cs="Arial Narrow"/>
                <w:color w:val="000000"/>
                <w:kern w:val="0"/>
                <w:sz w:val="20"/>
                <w:szCs w:val="20"/>
                <w:lang w:bidi="ar"/>
              </w:rPr>
              <w:t>3,496.70</w:t>
            </w:r>
          </w:p>
        </w:tc>
        <w:tc>
          <w:tcPr>
            <w:tcW w:w="65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sz w:val="20"/>
                <w:szCs w:val="20"/>
              </w:rPr>
            </w:pPr>
            <w:r>
              <w:rPr>
                <w:rFonts w:ascii="Arial Narrow" w:hAnsi="Arial Narrow" w:eastAsia="Arial Narrow" w:cs="Arial Narrow"/>
                <w:color w:val="000000"/>
                <w:kern w:val="0"/>
                <w:sz w:val="20"/>
                <w:szCs w:val="20"/>
                <w:lang w:bidi="ar"/>
              </w:rPr>
              <w:t>2,340.10</w:t>
            </w:r>
          </w:p>
        </w:tc>
        <w:tc>
          <w:tcPr>
            <w:tcW w:w="6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sz w:val="20"/>
                <w:szCs w:val="20"/>
              </w:rPr>
            </w:pPr>
            <w:r>
              <w:rPr>
                <w:rFonts w:ascii="Arial Narrow" w:hAnsi="Arial Narrow" w:eastAsia="Arial Narrow" w:cs="Arial Narrow"/>
                <w:color w:val="000000"/>
                <w:kern w:val="0"/>
                <w:sz w:val="20"/>
                <w:szCs w:val="20"/>
                <w:lang w:bidi="ar"/>
              </w:rPr>
              <w:t>96.57</w:t>
            </w:r>
          </w:p>
        </w:tc>
        <w:tc>
          <w:tcPr>
            <w:tcW w:w="5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sz w:val="20"/>
                <w:szCs w:val="20"/>
              </w:rPr>
            </w:pPr>
            <w:r>
              <w:rPr>
                <w:rFonts w:ascii="Arial Narrow" w:hAnsi="Arial Narrow" w:eastAsia="Arial Narrow" w:cs="Arial Narrow"/>
                <w:color w:val="000000"/>
                <w:kern w:val="0"/>
                <w:sz w:val="20"/>
                <w:szCs w:val="20"/>
                <w:lang w:bidi="ar"/>
              </w:rPr>
              <w:t>3</w:t>
            </w:r>
            <w:r>
              <w:rPr>
                <w:rFonts w:hint="eastAsia" w:ascii="Arial Narrow" w:hAnsi="Arial Narrow" w:eastAsia="Arial Narrow" w:cs="Arial Narrow"/>
                <w:color w:val="000000"/>
                <w:kern w:val="0"/>
                <w:sz w:val="20"/>
                <w:szCs w:val="20"/>
                <w:lang w:bidi="ar"/>
              </w:rPr>
              <w:t>.00</w:t>
            </w:r>
          </w:p>
        </w:tc>
        <w:tc>
          <w:tcPr>
            <w:tcW w:w="58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kern w:val="0"/>
                <w:sz w:val="20"/>
                <w:szCs w:val="20"/>
                <w:lang w:bidi="ar"/>
              </w:rPr>
            </w:pPr>
            <w:r>
              <w:rPr>
                <w:rFonts w:ascii="Arial Narrow" w:hAnsi="Arial Narrow" w:eastAsia="Arial Narrow" w:cs="Arial Narrow"/>
                <w:color w:val="000000"/>
                <w:kern w:val="0"/>
                <w:sz w:val="20"/>
                <w:szCs w:val="20"/>
                <w:lang w:bidi="ar"/>
              </w:rPr>
              <w:t>159.03</w:t>
            </w:r>
          </w:p>
        </w:tc>
        <w:tc>
          <w:tcPr>
            <w:tcW w:w="49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kern w:val="0"/>
                <w:sz w:val="20"/>
                <w:szCs w:val="20"/>
                <w:lang w:bidi="ar"/>
              </w:rPr>
            </w:pPr>
            <w:r>
              <w:rPr>
                <w:rFonts w:ascii="Arial Narrow" w:hAnsi="Arial Narrow" w:eastAsia="Arial Narrow" w:cs="Arial Narrow"/>
                <w:color w:val="000000"/>
                <w:kern w:val="0"/>
                <w:sz w:val="20"/>
                <w:szCs w:val="20"/>
                <w:lang w:bidi="ar"/>
              </w:rPr>
              <w:t>454.29</w:t>
            </w: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Arial Narrow" w:hAnsi="Arial Narrow" w:cs="Arial Narrow"/>
                <w:b/>
                <w:bCs/>
                <w:color w:val="000000"/>
                <w:sz w:val="20"/>
                <w:szCs w:val="20"/>
              </w:rPr>
            </w:pPr>
            <w:r>
              <w:rPr>
                <w:rFonts w:ascii="Arial Narrow" w:hAnsi="Arial Narrow" w:eastAsia="Arial Narrow" w:cs="Arial Narrow"/>
                <w:color w:val="000000"/>
                <w:kern w:val="0"/>
                <w:sz w:val="20"/>
                <w:szCs w:val="20"/>
                <w:lang w:bidi="ar"/>
              </w:rPr>
              <w:t>6,549.69</w:t>
            </w:r>
          </w:p>
        </w:tc>
      </w:tr>
    </w:tbl>
    <w:p>
      <w:pPr>
        <w:widowControl w:val="0"/>
        <w:spacing w:line="560" w:lineRule="exact"/>
        <w:ind w:firstLine="560" w:firstLineChars="200"/>
        <w:outlineLvl w:val="2"/>
        <w:rPr>
          <w:bCs/>
        </w:rPr>
      </w:pPr>
      <w:bookmarkStart w:id="97" w:name="_Toc11446"/>
      <w:bookmarkStart w:id="98" w:name="_Toc8495"/>
      <w:bookmarkStart w:id="99" w:name="_Toc29370"/>
      <w:r>
        <w:rPr>
          <w:rFonts w:hint="eastAsia"/>
          <w:bCs/>
        </w:rPr>
        <w:t>1、资产增加情况</w:t>
      </w:r>
      <w:bookmarkEnd w:id="97"/>
      <w:bookmarkEnd w:id="98"/>
      <w:bookmarkEnd w:id="99"/>
    </w:p>
    <w:p>
      <w:pPr>
        <w:widowControl w:val="0"/>
        <w:spacing w:line="560" w:lineRule="exact"/>
        <w:ind w:firstLine="560" w:firstLineChars="200"/>
        <w:rPr>
          <w:bCs/>
        </w:rPr>
      </w:pPr>
      <w:bookmarkStart w:id="100" w:name="_Toc3980"/>
      <w:r>
        <w:rPr>
          <w:rFonts w:hint="eastAsia"/>
          <w:bCs/>
        </w:rPr>
        <w:t>2021年增加资产426项共计286.98万元，其中：增加固定资产420项1,037,324.00元，增加无形资产6项1,832,500.00元。具体情况见表1-4：</w:t>
      </w:r>
      <w:bookmarkEnd w:id="100"/>
    </w:p>
    <w:p>
      <w:pPr>
        <w:widowControl w:val="0"/>
        <w:spacing w:line="560" w:lineRule="exact"/>
        <w:jc w:val="center"/>
        <w:rPr>
          <w:b/>
          <w:bCs/>
        </w:rPr>
      </w:pPr>
      <w:r>
        <w:rPr>
          <w:rFonts w:hint="eastAsia"/>
          <w:b/>
          <w:bCs/>
        </w:rPr>
        <w:t>表1-4新增固定资产汇总表</w:t>
      </w:r>
    </w:p>
    <w:p>
      <w:pPr>
        <w:widowControl w:val="0"/>
        <w:spacing w:line="540" w:lineRule="exact"/>
        <w:jc w:val="right"/>
      </w:pPr>
      <w:r>
        <w:rPr>
          <w:rFonts w:hint="eastAsia"/>
          <w:sz w:val="24"/>
          <w:szCs w:val="24"/>
        </w:rPr>
        <w:t>金额单位：元</w:t>
      </w:r>
    </w:p>
    <w:tbl>
      <w:tblPr>
        <w:tblStyle w:val="19"/>
        <w:tblW w:w="5000" w:type="pct"/>
        <w:jc w:val="center"/>
        <w:tblLayout w:type="fixed"/>
        <w:tblCellMar>
          <w:top w:w="0" w:type="dxa"/>
          <w:left w:w="108" w:type="dxa"/>
          <w:bottom w:w="0" w:type="dxa"/>
          <w:right w:w="108" w:type="dxa"/>
        </w:tblCellMar>
      </w:tblPr>
      <w:tblGrid>
        <w:gridCol w:w="1595"/>
        <w:gridCol w:w="2601"/>
        <w:gridCol w:w="1240"/>
        <w:gridCol w:w="1292"/>
        <w:gridCol w:w="614"/>
        <w:gridCol w:w="1378"/>
      </w:tblGrid>
      <w:tr>
        <w:tblPrEx>
          <w:tblCellMar>
            <w:top w:w="0" w:type="dxa"/>
            <w:left w:w="108" w:type="dxa"/>
            <w:bottom w:w="0" w:type="dxa"/>
            <w:right w:w="108" w:type="dxa"/>
          </w:tblCellMar>
        </w:tblPrEx>
        <w:trPr>
          <w:trHeight w:val="397" w:hRule="atLeast"/>
          <w:tblHeader/>
          <w:jc w:val="center"/>
        </w:trPr>
        <w:tc>
          <w:tcPr>
            <w:tcW w:w="91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bookmarkStart w:id="101" w:name="_Toc1164"/>
            <w:bookmarkStart w:id="102" w:name="_Toc4969"/>
            <w:bookmarkStart w:id="103" w:name="_Toc26440"/>
            <w:r>
              <w:rPr>
                <w:rFonts w:ascii="Times New Roman" w:hAnsi="Times New Roman" w:cs="Times New Roman"/>
                <w:b/>
                <w:bCs/>
                <w:color w:val="000000"/>
                <w:kern w:val="0"/>
                <w:sz w:val="20"/>
                <w:szCs w:val="20"/>
                <w:lang w:bidi="ar"/>
              </w:rPr>
              <w:t>资产国标大类</w:t>
            </w:r>
          </w:p>
        </w:tc>
        <w:tc>
          <w:tcPr>
            <w:tcW w:w="1490"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资产分类</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新购</w:t>
            </w:r>
          </w:p>
        </w:tc>
        <w:tc>
          <w:tcPr>
            <w:tcW w:w="1142"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合计</w:t>
            </w:r>
          </w:p>
        </w:tc>
      </w:tr>
      <w:tr>
        <w:tblPrEx>
          <w:tblCellMar>
            <w:top w:w="0" w:type="dxa"/>
            <w:left w:w="108" w:type="dxa"/>
            <w:bottom w:w="0" w:type="dxa"/>
            <w:right w:w="108" w:type="dxa"/>
          </w:tblCellMar>
        </w:tblPrEx>
        <w:trPr>
          <w:trHeight w:val="397" w:hRule="atLeast"/>
          <w:tblHeader/>
          <w:jc w:val="center"/>
        </w:trPr>
        <w:tc>
          <w:tcPr>
            <w:tcW w:w="91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rPr>
                <w:rFonts w:ascii="Times New Roman" w:hAnsi="Times New Roman" w:cs="Times New Roman"/>
                <w:b/>
                <w:bCs/>
                <w:color w:val="000000"/>
                <w:sz w:val="20"/>
                <w:szCs w:val="20"/>
              </w:rPr>
            </w:pPr>
          </w:p>
        </w:tc>
        <w:tc>
          <w:tcPr>
            <w:tcW w:w="1490"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rPr>
                <w:rFonts w:ascii="Times New Roman" w:hAnsi="Times New Roman" w:cs="Times New Roman"/>
                <w:b/>
                <w:bCs/>
                <w:color w:val="000000"/>
                <w:sz w:val="20"/>
                <w:szCs w:val="20"/>
              </w:rPr>
            </w:pP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数量</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数量</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w:t>
            </w:r>
          </w:p>
        </w:tc>
      </w:tr>
      <w:tr>
        <w:tblPrEx>
          <w:tblCellMar>
            <w:top w:w="0" w:type="dxa"/>
            <w:left w:w="108" w:type="dxa"/>
            <w:bottom w:w="0" w:type="dxa"/>
            <w:right w:w="108" w:type="dxa"/>
          </w:tblCellMar>
        </w:tblPrEx>
        <w:trPr>
          <w:trHeight w:val="397" w:hRule="atLeast"/>
          <w:jc w:val="center"/>
        </w:trPr>
        <w:tc>
          <w:tcPr>
            <w:tcW w:w="914"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土地、房屋及构筑物</w:t>
            </w:r>
          </w:p>
        </w:tc>
        <w:tc>
          <w:tcPr>
            <w:tcW w:w="14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防盗门、木门</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5,768.00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3</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5,768.00 </w:t>
            </w:r>
          </w:p>
        </w:tc>
      </w:tr>
      <w:tr>
        <w:tblPrEx>
          <w:tblCellMar>
            <w:top w:w="0" w:type="dxa"/>
            <w:left w:w="108" w:type="dxa"/>
            <w:bottom w:w="0" w:type="dxa"/>
            <w:right w:w="108" w:type="dxa"/>
          </w:tblCellMar>
        </w:tblPrEx>
        <w:trPr>
          <w:trHeight w:val="397" w:hRule="atLeast"/>
          <w:jc w:val="center"/>
        </w:trPr>
        <w:tc>
          <w:tcPr>
            <w:tcW w:w="91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通用设备</w:t>
            </w:r>
          </w:p>
        </w:tc>
        <w:tc>
          <w:tcPr>
            <w:tcW w:w="14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办公设备、投影仪、扫描仪、交换机、电脑</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59</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724,754.00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59</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724,754.00 </w:t>
            </w:r>
          </w:p>
        </w:tc>
      </w:tr>
      <w:tr>
        <w:tblPrEx>
          <w:tblCellMar>
            <w:top w:w="0" w:type="dxa"/>
            <w:left w:w="108" w:type="dxa"/>
            <w:bottom w:w="0" w:type="dxa"/>
            <w:right w:w="108" w:type="dxa"/>
          </w:tblCellMar>
        </w:tblPrEx>
        <w:trPr>
          <w:trHeight w:val="397" w:hRule="atLeast"/>
          <w:jc w:val="center"/>
        </w:trPr>
        <w:tc>
          <w:tcPr>
            <w:tcW w:w="91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专用设备</w:t>
            </w:r>
          </w:p>
        </w:tc>
        <w:tc>
          <w:tcPr>
            <w:tcW w:w="14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音响设备、饮食炊事机械、其他食品加工专用设备</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10</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68,890.00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10</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68,890.00 </w:t>
            </w:r>
          </w:p>
        </w:tc>
      </w:tr>
      <w:tr>
        <w:tblPrEx>
          <w:tblCellMar>
            <w:top w:w="0" w:type="dxa"/>
            <w:left w:w="108" w:type="dxa"/>
            <w:bottom w:w="0" w:type="dxa"/>
            <w:right w:w="108" w:type="dxa"/>
          </w:tblCellMar>
        </w:tblPrEx>
        <w:trPr>
          <w:trHeight w:val="397" w:hRule="atLeast"/>
          <w:jc w:val="center"/>
        </w:trPr>
        <w:tc>
          <w:tcPr>
            <w:tcW w:w="91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家具、用具、装具及动植物</w:t>
            </w:r>
          </w:p>
        </w:tc>
        <w:tc>
          <w:tcPr>
            <w:tcW w:w="14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台桌、沙发、文件柜等</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348</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237,912.00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348</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237,912.00 </w:t>
            </w:r>
          </w:p>
        </w:tc>
      </w:tr>
      <w:tr>
        <w:tblPrEx>
          <w:tblCellMar>
            <w:top w:w="0" w:type="dxa"/>
            <w:left w:w="108" w:type="dxa"/>
            <w:bottom w:w="0" w:type="dxa"/>
            <w:right w:w="108" w:type="dxa"/>
          </w:tblCellMar>
        </w:tblPrEx>
        <w:trPr>
          <w:trHeight w:val="397" w:hRule="atLeast"/>
          <w:jc w:val="center"/>
        </w:trPr>
        <w:tc>
          <w:tcPr>
            <w:tcW w:w="914"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无形资产</w:t>
            </w:r>
          </w:p>
        </w:tc>
        <w:tc>
          <w:tcPr>
            <w:tcW w:w="14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left"/>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协同办公OA系统</w:t>
            </w:r>
            <w:r>
              <w:rPr>
                <w:rFonts w:hint="eastAsia" w:ascii="Times New Roman" w:hAnsi="Times New Roman" w:cs="Times New Roman"/>
                <w:color w:val="000000"/>
                <w:kern w:val="0"/>
                <w:sz w:val="20"/>
                <w:szCs w:val="20"/>
                <w:lang w:bidi="ar"/>
              </w:rPr>
              <w:t>、“双贯标”数据改造及系统、业务软件功能升级等</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6</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1,832,500.00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 xml:space="preserve">1,832,500.00 </w:t>
            </w:r>
          </w:p>
        </w:tc>
      </w:tr>
      <w:tr>
        <w:tblPrEx>
          <w:tblCellMar>
            <w:top w:w="0" w:type="dxa"/>
            <w:left w:w="108" w:type="dxa"/>
            <w:bottom w:w="0" w:type="dxa"/>
            <w:right w:w="108" w:type="dxa"/>
          </w:tblCellMar>
        </w:tblPrEx>
        <w:trPr>
          <w:trHeight w:val="397" w:hRule="atLeast"/>
          <w:jc w:val="center"/>
        </w:trPr>
        <w:tc>
          <w:tcPr>
            <w:tcW w:w="2405"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b/>
                <w:bCs/>
                <w:color w:val="000000"/>
                <w:kern w:val="0"/>
                <w:sz w:val="20"/>
                <w:szCs w:val="20"/>
                <w:lang w:bidi="ar"/>
              </w:rPr>
            </w:pPr>
            <w:r>
              <w:rPr>
                <w:rFonts w:ascii="Times New Roman" w:hAnsi="Times New Roman" w:cs="Times New Roman"/>
                <w:b/>
                <w:bCs/>
                <w:color w:val="000000"/>
                <w:kern w:val="0"/>
                <w:sz w:val="20"/>
                <w:szCs w:val="20"/>
                <w:lang w:bidi="ar"/>
              </w:rPr>
              <w:t>合计</w:t>
            </w:r>
          </w:p>
        </w:tc>
        <w:tc>
          <w:tcPr>
            <w:tcW w:w="71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b/>
                <w:bCs/>
                <w:color w:val="000000"/>
                <w:kern w:val="0"/>
                <w:sz w:val="20"/>
                <w:szCs w:val="20"/>
                <w:lang w:bidi="ar"/>
              </w:rPr>
            </w:pPr>
            <w:r>
              <w:rPr>
                <w:rFonts w:ascii="Times New Roman" w:hAnsi="Times New Roman" w:cs="Times New Roman"/>
                <w:b/>
                <w:bCs/>
                <w:color w:val="000000"/>
                <w:kern w:val="0"/>
                <w:sz w:val="20"/>
                <w:szCs w:val="20"/>
                <w:lang w:bidi="ar"/>
              </w:rPr>
              <w:t>426</w:t>
            </w:r>
          </w:p>
        </w:tc>
        <w:tc>
          <w:tcPr>
            <w:tcW w:w="7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b/>
                <w:bCs/>
                <w:color w:val="000000"/>
                <w:kern w:val="0"/>
                <w:sz w:val="20"/>
                <w:szCs w:val="20"/>
                <w:lang w:bidi="ar"/>
              </w:rPr>
            </w:pPr>
            <w:r>
              <w:rPr>
                <w:rFonts w:ascii="Times New Roman" w:hAnsi="Times New Roman" w:cs="Times New Roman"/>
                <w:b/>
                <w:bCs/>
                <w:color w:val="000000"/>
                <w:kern w:val="0"/>
                <w:sz w:val="20"/>
                <w:szCs w:val="20"/>
                <w:lang w:bidi="ar"/>
              </w:rPr>
              <w:t xml:space="preserve">2,869,824.00 </w:t>
            </w:r>
          </w:p>
        </w:tc>
        <w:tc>
          <w:tcPr>
            <w:tcW w:w="3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Times New Roman" w:hAnsi="Times New Roman" w:cs="Times New Roman"/>
                <w:b/>
                <w:bCs/>
                <w:color w:val="000000"/>
                <w:kern w:val="0"/>
                <w:sz w:val="20"/>
                <w:szCs w:val="20"/>
                <w:lang w:bidi="ar"/>
              </w:rPr>
            </w:pPr>
            <w:r>
              <w:rPr>
                <w:rFonts w:ascii="Times New Roman" w:hAnsi="Times New Roman" w:cs="Times New Roman"/>
                <w:b/>
                <w:bCs/>
                <w:color w:val="000000"/>
                <w:kern w:val="0"/>
                <w:sz w:val="20"/>
                <w:szCs w:val="20"/>
                <w:lang w:bidi="ar"/>
              </w:rPr>
              <w:t>426</w:t>
            </w:r>
          </w:p>
        </w:tc>
        <w:tc>
          <w:tcPr>
            <w:tcW w:w="79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right"/>
              <w:textAlignment w:val="center"/>
              <w:rPr>
                <w:rFonts w:ascii="Times New Roman" w:hAnsi="Times New Roman" w:cs="Times New Roman"/>
                <w:b/>
                <w:bCs/>
                <w:color w:val="000000"/>
                <w:kern w:val="0"/>
                <w:sz w:val="20"/>
                <w:szCs w:val="20"/>
                <w:lang w:bidi="ar"/>
              </w:rPr>
            </w:pPr>
            <w:r>
              <w:rPr>
                <w:rFonts w:ascii="Times New Roman" w:hAnsi="Times New Roman" w:cs="Times New Roman"/>
                <w:b/>
                <w:bCs/>
                <w:color w:val="000000"/>
                <w:kern w:val="0"/>
                <w:sz w:val="20"/>
                <w:szCs w:val="20"/>
                <w:lang w:bidi="ar"/>
              </w:rPr>
              <w:t xml:space="preserve">2,869,824.00 </w:t>
            </w:r>
          </w:p>
        </w:tc>
      </w:tr>
    </w:tbl>
    <w:p>
      <w:pPr>
        <w:widowControl w:val="0"/>
        <w:numPr>
          <w:ilvl w:val="0"/>
          <w:numId w:val="1"/>
        </w:numPr>
        <w:spacing w:line="560" w:lineRule="exact"/>
        <w:ind w:firstLine="560" w:firstLineChars="200"/>
        <w:outlineLvl w:val="2"/>
        <w:rPr>
          <w:bCs/>
        </w:rPr>
      </w:pPr>
      <w:r>
        <w:rPr>
          <w:rFonts w:hint="eastAsia"/>
          <w:bCs/>
        </w:rPr>
        <w:t>资产减少情况</w:t>
      </w:r>
    </w:p>
    <w:p>
      <w:pPr>
        <w:widowControl w:val="0"/>
        <w:spacing w:line="560" w:lineRule="exact"/>
        <w:ind w:firstLine="560" w:firstLineChars="200"/>
      </w:pPr>
      <w:r>
        <w:rPr>
          <w:rFonts w:hint="eastAsia"/>
        </w:rPr>
        <w:t>2021年减少固定资产56项共计30.49万元，其中：以前购置的资产报废毁损47项（轿车1辆、台式机46台），对外捐赠沙发、空调、打印机、电脑等9项，将2017年购置的资产、扶贫工作结束后经财政部门审批捐赠帮扶村-</w:t>
      </w:r>
      <w:r>
        <w:rPr>
          <w:rFonts w:hint="eastAsia"/>
          <w:bCs/>
        </w:rPr>
        <w:t>平陆县曹川镇坡底乡马河村</w:t>
      </w:r>
      <w:r>
        <w:rPr>
          <w:rFonts w:hint="eastAsia"/>
        </w:rPr>
        <w:t>。</w:t>
      </w:r>
      <w:r>
        <w:rPr>
          <w:rFonts w:hint="eastAsia"/>
          <w:bCs/>
        </w:rPr>
        <w:t>具体情况见表1-5：</w:t>
      </w:r>
    </w:p>
    <w:p>
      <w:pPr>
        <w:widowControl w:val="0"/>
        <w:spacing w:line="560" w:lineRule="exact"/>
        <w:jc w:val="center"/>
        <w:rPr>
          <w:b/>
          <w:bCs/>
        </w:rPr>
      </w:pPr>
      <w:r>
        <w:rPr>
          <w:rFonts w:hint="eastAsia"/>
          <w:b/>
          <w:bCs/>
        </w:rPr>
        <w:t>表1-5减少固定资产汇总表</w:t>
      </w:r>
    </w:p>
    <w:p>
      <w:pPr>
        <w:widowControl w:val="0"/>
        <w:spacing w:line="540" w:lineRule="exact"/>
        <w:jc w:val="right"/>
      </w:pPr>
      <w:r>
        <w:rPr>
          <w:rFonts w:hint="eastAsia"/>
          <w:sz w:val="24"/>
          <w:szCs w:val="24"/>
        </w:rPr>
        <w:t>金额单位：元</w:t>
      </w:r>
    </w:p>
    <w:tbl>
      <w:tblPr>
        <w:tblStyle w:val="19"/>
        <w:tblW w:w="4998" w:type="pct"/>
        <w:tblInd w:w="0" w:type="dxa"/>
        <w:tblLayout w:type="fixed"/>
        <w:tblCellMar>
          <w:top w:w="0" w:type="dxa"/>
          <w:left w:w="108" w:type="dxa"/>
          <w:bottom w:w="0" w:type="dxa"/>
          <w:right w:w="108" w:type="dxa"/>
        </w:tblCellMar>
      </w:tblPr>
      <w:tblGrid>
        <w:gridCol w:w="1155"/>
        <w:gridCol w:w="2081"/>
        <w:gridCol w:w="653"/>
        <w:gridCol w:w="1188"/>
        <w:gridCol w:w="680"/>
        <w:gridCol w:w="1053"/>
        <w:gridCol w:w="718"/>
        <w:gridCol w:w="1189"/>
      </w:tblGrid>
      <w:tr>
        <w:tblPrEx>
          <w:tblCellMar>
            <w:top w:w="0" w:type="dxa"/>
            <w:left w:w="108" w:type="dxa"/>
            <w:bottom w:w="0" w:type="dxa"/>
            <w:right w:w="108" w:type="dxa"/>
          </w:tblCellMar>
        </w:tblPrEx>
        <w:trPr>
          <w:trHeight w:val="397"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资产国标大类</w:t>
            </w:r>
          </w:p>
        </w:tc>
        <w:tc>
          <w:tcPr>
            <w:tcW w:w="119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资产分类</w:t>
            </w:r>
          </w:p>
        </w:tc>
        <w:tc>
          <w:tcPr>
            <w:tcW w:w="105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报废毁损</w:t>
            </w:r>
          </w:p>
        </w:tc>
        <w:tc>
          <w:tcPr>
            <w:tcW w:w="99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对外捐赠</w:t>
            </w:r>
          </w:p>
        </w:tc>
        <w:tc>
          <w:tcPr>
            <w:tcW w:w="109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合计</w:t>
            </w:r>
          </w:p>
        </w:tc>
      </w:tr>
      <w:tr>
        <w:tblPrEx>
          <w:tblCellMar>
            <w:top w:w="0" w:type="dxa"/>
            <w:left w:w="108" w:type="dxa"/>
            <w:bottom w:w="0" w:type="dxa"/>
            <w:right w:w="108" w:type="dxa"/>
          </w:tblCellMar>
        </w:tblPrEx>
        <w:trPr>
          <w:trHeight w:val="397"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Times New Roman" w:hAnsi="Times New Roman" w:cs="Times New Roman"/>
                <w:b/>
                <w:bCs/>
                <w:color w:val="000000"/>
                <w:sz w:val="20"/>
                <w:szCs w:val="20"/>
              </w:rPr>
            </w:pPr>
          </w:p>
        </w:tc>
        <w:tc>
          <w:tcPr>
            <w:tcW w:w="119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Times New Roman" w:hAnsi="Times New Roman" w:cs="Times New Roman"/>
                <w:b/>
                <w:bCs/>
                <w:color w:val="000000"/>
                <w:sz w:val="20"/>
                <w:szCs w:val="20"/>
              </w:rPr>
            </w:pPr>
          </w:p>
        </w:tc>
        <w:tc>
          <w:tcPr>
            <w:tcW w:w="3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数量</w:t>
            </w:r>
          </w:p>
        </w:tc>
        <w:tc>
          <w:tcPr>
            <w:tcW w:w="68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w:t>
            </w:r>
          </w:p>
        </w:tc>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数量</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w:t>
            </w:r>
          </w:p>
        </w:tc>
        <w:tc>
          <w:tcPr>
            <w:tcW w:w="4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数量</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w:t>
            </w:r>
          </w:p>
        </w:tc>
      </w:tr>
      <w:tr>
        <w:tblPrEx>
          <w:tblCellMar>
            <w:top w:w="0" w:type="dxa"/>
            <w:left w:w="108" w:type="dxa"/>
            <w:bottom w:w="0" w:type="dxa"/>
            <w:right w:w="108" w:type="dxa"/>
          </w:tblCellMar>
        </w:tblPrEx>
        <w:trPr>
          <w:trHeight w:val="397" w:hRule="atLeast"/>
        </w:trPr>
        <w:tc>
          <w:tcPr>
            <w:tcW w:w="662" w:type="pct"/>
            <w:vMerge w:val="restart"/>
            <w:tcBorders>
              <w:top w:val="single" w:color="000000" w:sz="4" w:space="0"/>
              <w:left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通用设备</w:t>
            </w: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打印设备</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Times New Roman" w:hAnsi="Times New Roman" w:cs="Times New Roman"/>
                <w:color w:val="000000"/>
                <w:sz w:val="20"/>
                <w:szCs w:val="20"/>
              </w:rPr>
            </w:pP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Times New Roman" w:hAnsi="Times New Roman" w:cs="Times New Roman"/>
                <w:color w:val="000000"/>
                <w:sz w:val="20"/>
                <w:szCs w:val="20"/>
              </w:rPr>
            </w:pP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1,975.00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1,975.00</w:t>
            </w:r>
          </w:p>
        </w:tc>
      </w:tr>
      <w:tr>
        <w:tblPrEx>
          <w:tblCellMar>
            <w:top w:w="0" w:type="dxa"/>
            <w:left w:w="108" w:type="dxa"/>
            <w:bottom w:w="0" w:type="dxa"/>
            <w:right w:w="108" w:type="dxa"/>
          </w:tblCellMar>
        </w:tblPrEx>
        <w:trPr>
          <w:trHeight w:val="397" w:hRule="atLeast"/>
        </w:trPr>
        <w:tc>
          <w:tcPr>
            <w:tcW w:w="662" w:type="pct"/>
            <w:vMerge w:val="continue"/>
            <w:tcBorders>
              <w:left w:val="single" w:color="000000" w:sz="4" w:space="0"/>
              <w:right w:val="single" w:color="000000" w:sz="4" w:space="0"/>
            </w:tcBorders>
            <w:shd w:val="clear" w:color="auto" w:fill="FFFFFF"/>
            <w:vAlign w:val="center"/>
          </w:tcPr>
          <w:p>
            <w:pPr>
              <w:jc w:val="center"/>
              <w:rPr>
                <w:rFonts w:ascii="Times New Roman" w:hAnsi="Times New Roman" w:cs="Times New Roman"/>
                <w:color w:val="000000"/>
                <w:sz w:val="20"/>
                <w:szCs w:val="20"/>
              </w:rPr>
            </w:pP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轿车</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84,449.00</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Times New Roman" w:hAnsi="Times New Roman" w:cs="Times New Roman"/>
                <w:color w:val="000000"/>
                <w:sz w:val="20"/>
                <w:szCs w:val="20"/>
              </w:rPr>
            </w:pP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Times New Roman" w:hAnsi="Times New Roman" w:cs="Times New Roman"/>
                <w:color w:val="000000"/>
                <w:sz w:val="20"/>
                <w:szCs w:val="20"/>
              </w:rPr>
            </w:pP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84449</w:t>
            </w:r>
            <w:r>
              <w:rPr>
                <w:rFonts w:hint="eastAsia" w:ascii="Times New Roman" w:hAnsi="Times New Roman" w:cs="Times New Roman"/>
                <w:color w:val="000000"/>
                <w:kern w:val="0"/>
                <w:sz w:val="20"/>
                <w:szCs w:val="20"/>
                <w:lang w:bidi="ar"/>
              </w:rPr>
              <w:t>.00</w:t>
            </w:r>
          </w:p>
        </w:tc>
      </w:tr>
      <w:tr>
        <w:tblPrEx>
          <w:tblCellMar>
            <w:top w:w="0" w:type="dxa"/>
            <w:left w:w="108" w:type="dxa"/>
            <w:bottom w:w="0" w:type="dxa"/>
            <w:right w:w="108" w:type="dxa"/>
          </w:tblCellMar>
        </w:tblPrEx>
        <w:trPr>
          <w:trHeight w:val="397" w:hRule="atLeast"/>
        </w:trPr>
        <w:tc>
          <w:tcPr>
            <w:tcW w:w="662" w:type="pct"/>
            <w:vMerge w:val="continue"/>
            <w:tcBorders>
              <w:left w:val="single" w:color="000000" w:sz="4" w:space="0"/>
              <w:right w:val="single" w:color="000000" w:sz="4" w:space="0"/>
            </w:tcBorders>
            <w:shd w:val="clear" w:color="auto" w:fill="FFFFFF"/>
            <w:vAlign w:val="center"/>
          </w:tcPr>
          <w:p>
            <w:pPr>
              <w:jc w:val="center"/>
              <w:rPr>
                <w:rFonts w:ascii="Times New Roman" w:hAnsi="Times New Roman" w:cs="Times New Roman"/>
                <w:color w:val="000000"/>
                <w:sz w:val="20"/>
                <w:szCs w:val="20"/>
              </w:rPr>
            </w:pP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台式机</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46</w:t>
            </w: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201,404.00</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3,950.00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47</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205,354.00</w:t>
            </w:r>
          </w:p>
        </w:tc>
      </w:tr>
      <w:tr>
        <w:tblPrEx>
          <w:tblCellMar>
            <w:top w:w="0" w:type="dxa"/>
            <w:left w:w="108" w:type="dxa"/>
            <w:bottom w:w="0" w:type="dxa"/>
            <w:right w:w="108" w:type="dxa"/>
          </w:tblCellMar>
        </w:tblPrEx>
        <w:trPr>
          <w:trHeight w:val="397" w:hRule="atLeast"/>
        </w:trPr>
        <w:tc>
          <w:tcPr>
            <w:tcW w:w="662" w:type="pct"/>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Times New Roman" w:hAnsi="Times New Roman" w:cs="Times New Roman"/>
                <w:color w:val="000000"/>
                <w:sz w:val="20"/>
                <w:szCs w:val="20"/>
              </w:rPr>
            </w:pP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专用制冷、空调设备</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Times New Roman" w:hAnsi="Times New Roman" w:cs="Times New Roman"/>
                <w:color w:val="000000"/>
                <w:sz w:val="20"/>
                <w:szCs w:val="20"/>
              </w:rPr>
            </w:pP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Times New Roman" w:hAnsi="Times New Roman" w:cs="Times New Roman"/>
                <w:color w:val="000000"/>
                <w:sz w:val="20"/>
                <w:szCs w:val="20"/>
              </w:rPr>
            </w:pP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10,120.00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10,120.00</w:t>
            </w:r>
          </w:p>
        </w:tc>
      </w:tr>
      <w:tr>
        <w:tblPrEx>
          <w:tblCellMar>
            <w:top w:w="0" w:type="dxa"/>
            <w:left w:w="108" w:type="dxa"/>
            <w:bottom w:w="0" w:type="dxa"/>
            <w:right w:w="108" w:type="dxa"/>
          </w:tblCellMar>
        </w:tblPrEx>
        <w:trPr>
          <w:trHeight w:val="397"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家具、用具、装具及动植物</w:t>
            </w: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沙发</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Times New Roman" w:hAnsi="Times New Roman" w:cs="Times New Roman"/>
                <w:color w:val="000000"/>
                <w:sz w:val="20"/>
                <w:szCs w:val="20"/>
              </w:rPr>
            </w:pP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Times New Roman" w:hAnsi="Times New Roman" w:cs="Times New Roman"/>
                <w:color w:val="000000"/>
                <w:sz w:val="20"/>
                <w:szCs w:val="20"/>
              </w:rPr>
            </w:pP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2,400.00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2,400.00</w:t>
            </w:r>
          </w:p>
        </w:tc>
      </w:tr>
      <w:tr>
        <w:tblPrEx>
          <w:tblCellMar>
            <w:top w:w="0" w:type="dxa"/>
            <w:left w:w="108" w:type="dxa"/>
            <w:bottom w:w="0" w:type="dxa"/>
            <w:right w:w="108" w:type="dxa"/>
          </w:tblCellMar>
        </w:tblPrEx>
        <w:trPr>
          <w:trHeight w:val="397"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Times New Roman" w:hAnsi="Times New Roman" w:cs="Times New Roman"/>
                <w:color w:val="000000"/>
                <w:sz w:val="20"/>
                <w:szCs w:val="20"/>
              </w:rPr>
            </w:pPr>
          </w:p>
        </w:tc>
        <w:tc>
          <w:tcPr>
            <w:tcW w:w="11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文件柜</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Times New Roman" w:hAnsi="Times New Roman" w:cs="Times New Roman"/>
                <w:color w:val="000000"/>
                <w:sz w:val="20"/>
                <w:szCs w:val="20"/>
              </w:rPr>
            </w:pP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Times New Roman" w:hAnsi="Times New Roman" w:cs="Times New Roman"/>
                <w:color w:val="000000"/>
                <w:sz w:val="20"/>
                <w:szCs w:val="20"/>
              </w:rPr>
            </w:pP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640</w:t>
            </w:r>
            <w:r>
              <w:rPr>
                <w:rFonts w:hint="eastAsia" w:ascii="Times New Roman" w:hAnsi="Times New Roman" w:cs="Times New Roman"/>
                <w:color w:val="000000"/>
                <w:kern w:val="0"/>
                <w:sz w:val="20"/>
                <w:szCs w:val="20"/>
                <w:lang w:bidi="ar"/>
              </w:rPr>
              <w:t>.00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640</w:t>
            </w:r>
            <w:r>
              <w:rPr>
                <w:rFonts w:hint="eastAsia" w:ascii="Times New Roman" w:hAnsi="Times New Roman" w:cs="Times New Roman"/>
                <w:color w:val="000000"/>
                <w:kern w:val="0"/>
                <w:sz w:val="20"/>
                <w:szCs w:val="20"/>
                <w:lang w:bidi="ar"/>
              </w:rPr>
              <w:t>.00</w:t>
            </w:r>
          </w:p>
        </w:tc>
      </w:tr>
      <w:tr>
        <w:tblPrEx>
          <w:tblCellMar>
            <w:top w:w="0" w:type="dxa"/>
            <w:left w:w="108" w:type="dxa"/>
            <w:bottom w:w="0" w:type="dxa"/>
            <w:right w:w="108" w:type="dxa"/>
          </w:tblCellMar>
        </w:tblPrEx>
        <w:trPr>
          <w:trHeight w:val="397" w:hRule="atLeast"/>
        </w:trPr>
        <w:tc>
          <w:tcPr>
            <w:tcW w:w="1855"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合计</w:t>
            </w:r>
          </w:p>
        </w:tc>
        <w:tc>
          <w:tcPr>
            <w:tcW w:w="3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47</w:t>
            </w:r>
          </w:p>
        </w:tc>
        <w:tc>
          <w:tcPr>
            <w:tcW w:w="6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285,853.00</w:t>
            </w:r>
          </w:p>
        </w:tc>
        <w:tc>
          <w:tcPr>
            <w:tcW w:w="3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9</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19,085.00</w:t>
            </w:r>
          </w:p>
        </w:tc>
        <w:tc>
          <w:tcPr>
            <w:tcW w:w="4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56</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304,938.00</w:t>
            </w:r>
          </w:p>
        </w:tc>
      </w:tr>
      <w:bookmarkEnd w:id="101"/>
      <w:bookmarkEnd w:id="102"/>
      <w:bookmarkEnd w:id="103"/>
    </w:tbl>
    <w:p>
      <w:pPr>
        <w:widowControl w:val="0"/>
        <w:spacing w:line="560" w:lineRule="exact"/>
        <w:ind w:firstLine="560" w:firstLineChars="200"/>
        <w:outlineLvl w:val="2"/>
        <w:rPr>
          <w:bCs/>
        </w:rPr>
      </w:pPr>
      <w:r>
        <w:rPr>
          <w:rFonts w:hint="eastAsia"/>
          <w:bCs/>
        </w:rPr>
        <w:t>3、部门车辆情况</w:t>
      </w:r>
    </w:p>
    <w:p>
      <w:pPr>
        <w:widowControl w:val="0"/>
        <w:spacing w:line="560" w:lineRule="exact"/>
        <w:ind w:firstLine="560" w:firstLineChars="200"/>
        <w:rPr>
          <w:bCs/>
        </w:rPr>
      </w:pPr>
      <w:r>
        <w:rPr>
          <w:rFonts w:hint="eastAsia"/>
        </w:rPr>
        <w:t>运城市住房公积金管理中心自有公务用车12辆，其中汽车9辆、三轮摩托车1辆、电动车2辆。</w:t>
      </w:r>
      <w:r>
        <w:rPr>
          <w:rFonts w:hint="eastAsia"/>
          <w:bCs/>
        </w:rPr>
        <w:t>具体情况见表1-6：</w:t>
      </w:r>
    </w:p>
    <w:p>
      <w:pPr>
        <w:widowControl w:val="0"/>
        <w:spacing w:line="540" w:lineRule="exact"/>
        <w:jc w:val="center"/>
        <w:rPr>
          <w:b/>
          <w:bCs/>
        </w:rPr>
      </w:pPr>
      <w:r>
        <w:rPr>
          <w:rFonts w:hint="eastAsia"/>
          <w:b/>
          <w:bCs/>
        </w:rPr>
        <w:t>表1-6  车辆情况表</w:t>
      </w:r>
    </w:p>
    <w:p>
      <w:pPr>
        <w:widowControl w:val="0"/>
        <w:spacing w:line="540" w:lineRule="exact"/>
        <w:jc w:val="right"/>
        <w:rPr>
          <w:sz w:val="24"/>
          <w:szCs w:val="24"/>
        </w:rPr>
      </w:pPr>
      <w:r>
        <w:rPr>
          <w:rFonts w:hint="eastAsia"/>
          <w:sz w:val="24"/>
          <w:szCs w:val="24"/>
        </w:rPr>
        <w:t>金额单位：元</w:t>
      </w:r>
    </w:p>
    <w:tbl>
      <w:tblPr>
        <w:tblStyle w:val="19"/>
        <w:tblW w:w="5000" w:type="pct"/>
        <w:tblInd w:w="0" w:type="dxa"/>
        <w:tblLayout w:type="autofit"/>
        <w:tblCellMar>
          <w:top w:w="0" w:type="dxa"/>
          <w:left w:w="108" w:type="dxa"/>
          <w:bottom w:w="0" w:type="dxa"/>
          <w:right w:w="108" w:type="dxa"/>
        </w:tblCellMar>
      </w:tblPr>
      <w:tblGrid>
        <w:gridCol w:w="645"/>
        <w:gridCol w:w="1416"/>
        <w:gridCol w:w="1161"/>
        <w:gridCol w:w="1470"/>
        <w:gridCol w:w="1307"/>
        <w:gridCol w:w="1454"/>
        <w:gridCol w:w="1267"/>
      </w:tblGrid>
      <w:tr>
        <w:tblPrEx>
          <w:tblCellMar>
            <w:top w:w="0" w:type="dxa"/>
            <w:left w:w="108" w:type="dxa"/>
            <w:bottom w:w="0" w:type="dxa"/>
            <w:right w:w="108" w:type="dxa"/>
          </w:tblCellMar>
        </w:tblPrEx>
        <w:trPr>
          <w:trHeight w:val="397" w:hRule="atLeast"/>
          <w:tblHeader/>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序号</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名称</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取得时间</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金额（元）</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车辆品牌</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车牌号</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取得方式</w:t>
            </w:r>
          </w:p>
        </w:tc>
      </w:tr>
      <w:tr>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别克</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2020/12/30</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293,076.00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别克</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晋MA0903</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调拨</w:t>
            </w:r>
          </w:p>
        </w:tc>
      </w:tr>
      <w:tr>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小型越野汽车</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2010/12/30</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258,993.00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丰田RAV4</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晋MN8081</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2009/7/29</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77,936.00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晋MZ7066</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4</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2009/7/29</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77,936.00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晋MZ7099</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5</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2008/3/5</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84,449.00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晋MZ7006</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6</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2008/3/5</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84,449.00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晋MZ7008</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7</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2007/8/20</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76,800.00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晋MZ7005</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2007/2/28</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84,449.00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桑塔纳</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晋MZ7002</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9</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本田</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2005/12/30</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214,000.00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本田</w:t>
            </w:r>
          </w:p>
        </w:tc>
        <w:tc>
          <w:tcPr>
            <w:tcW w:w="8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晋MA0506</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10</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三轮摩托车</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2017/8/29</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3,400.00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三轮摩托车</w:t>
            </w:r>
          </w:p>
        </w:tc>
        <w:tc>
          <w:tcPr>
            <w:tcW w:w="83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cs="Times New Roman"/>
                <w:color w:val="000000"/>
                <w:sz w:val="20"/>
                <w:szCs w:val="20"/>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blPrEx>
          <w:tblCellMar>
            <w:top w:w="0" w:type="dxa"/>
            <w:left w:w="108" w:type="dxa"/>
            <w:bottom w:w="0" w:type="dxa"/>
            <w:right w:w="108" w:type="dxa"/>
          </w:tblCellMar>
        </w:tblPrEx>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11</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电动车</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2011/2/28</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3,200.00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电动车</w:t>
            </w:r>
          </w:p>
        </w:tc>
        <w:tc>
          <w:tcPr>
            <w:tcW w:w="83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cs="Times New Roman"/>
                <w:color w:val="000000"/>
                <w:sz w:val="20"/>
                <w:szCs w:val="20"/>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12</w:t>
            </w: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电动车</w:t>
            </w:r>
          </w:p>
        </w:tc>
        <w:tc>
          <w:tcPr>
            <w:tcW w:w="6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2010/10/29</w:t>
            </w: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2,185.00</w:t>
            </w:r>
          </w:p>
        </w:tc>
        <w:tc>
          <w:tcPr>
            <w:tcW w:w="74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lang w:bidi="ar"/>
              </w:rPr>
              <w:t>电动车</w:t>
            </w:r>
          </w:p>
        </w:tc>
        <w:tc>
          <w:tcPr>
            <w:tcW w:w="83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cs="Times New Roman"/>
                <w:color w:val="000000"/>
                <w:sz w:val="20"/>
                <w:szCs w:val="20"/>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color w:val="000000"/>
                <w:sz w:val="20"/>
                <w:szCs w:val="20"/>
              </w:rPr>
            </w:pPr>
            <w:r>
              <w:rPr>
                <w:rFonts w:hint="eastAsia" w:ascii="Times New Roman" w:hAnsi="Times New Roman" w:cs="Times New Roman"/>
                <w:color w:val="000000"/>
                <w:sz w:val="20"/>
                <w:szCs w:val="20"/>
              </w:rPr>
              <w:t>购置</w:t>
            </w:r>
          </w:p>
        </w:tc>
      </w:tr>
      <w:tr>
        <w:trPr>
          <w:trHeight w:val="397"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0"/>
                <w:szCs w:val="20"/>
              </w:rPr>
            </w:pPr>
          </w:p>
        </w:tc>
        <w:tc>
          <w:tcPr>
            <w:tcW w:w="8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合计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0"/>
                <w:szCs w:val="20"/>
              </w:rPr>
            </w:pPr>
          </w:p>
        </w:tc>
        <w:tc>
          <w:tcPr>
            <w:tcW w:w="8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1,260,873.00</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0"/>
                <w:szCs w:val="20"/>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0"/>
                <w:szCs w:val="20"/>
              </w:rPr>
            </w:pP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0"/>
                <w:szCs w:val="20"/>
              </w:rPr>
            </w:pPr>
          </w:p>
        </w:tc>
      </w:tr>
    </w:tbl>
    <w:p>
      <w:pPr>
        <w:pStyle w:val="3"/>
        <w:spacing w:before="0" w:after="0" w:line="560" w:lineRule="exact"/>
        <w:ind w:firstLine="562" w:firstLineChars="200"/>
        <w:rPr>
          <w:rFonts w:ascii="仿宋" w:hAnsi="仿宋" w:eastAsia="仿宋"/>
          <w:sz w:val="28"/>
        </w:rPr>
      </w:pPr>
      <w:bookmarkStart w:id="104" w:name="_Toc12419"/>
      <w:r>
        <w:rPr>
          <w:rFonts w:hint="eastAsia" w:ascii="仿宋" w:hAnsi="仿宋" w:eastAsia="仿宋"/>
          <w:sz w:val="28"/>
        </w:rPr>
        <w:t>（四）2021年部门工作开展情况</w:t>
      </w:r>
      <w:bookmarkEnd w:id="104"/>
    </w:p>
    <w:p>
      <w:pPr>
        <w:widowControl w:val="0"/>
        <w:spacing w:line="560" w:lineRule="exact"/>
        <w:ind w:firstLine="560" w:firstLineChars="200"/>
        <w:rPr>
          <w:kern w:val="0"/>
        </w:rPr>
      </w:pPr>
      <w:r>
        <w:rPr>
          <w:rFonts w:hint="eastAsia"/>
          <w:kern w:val="0"/>
        </w:rPr>
        <w:t>1、房屋建筑物大型修缮</w:t>
      </w:r>
    </w:p>
    <w:p>
      <w:pPr>
        <w:widowControl w:val="0"/>
        <w:spacing w:line="560" w:lineRule="exact"/>
        <w:ind w:firstLine="560" w:firstLineChars="200"/>
        <w:rPr>
          <w:kern w:val="0"/>
        </w:rPr>
      </w:pPr>
      <w:r>
        <w:rPr>
          <w:rFonts w:hint="eastAsia"/>
          <w:kern w:val="0"/>
        </w:rPr>
        <w:t>（1）多功能会议室及食堂修缮，原有会议室吊顶下沉、主席台破损、线路老化，多功能会议室存在安全隐患，修缮内容包括:吊顶、主席台修缮、门窗修缮等；对职工食堂修缮内容包括食堂彩钢房、吊顶、墙面喷刷涂料、下水改造等。</w:t>
      </w:r>
    </w:p>
    <w:p>
      <w:pPr>
        <w:widowControl w:val="0"/>
        <w:spacing w:line="560" w:lineRule="exact"/>
        <w:ind w:firstLine="560" w:firstLineChars="200"/>
        <w:rPr>
          <w:kern w:val="0"/>
        </w:rPr>
      </w:pPr>
      <w:r>
        <w:rPr>
          <w:rFonts w:hint="eastAsia"/>
          <w:kern w:val="0"/>
        </w:rPr>
        <w:t>（</w:t>
      </w:r>
      <w:r>
        <w:rPr>
          <w:kern w:val="0"/>
        </w:rPr>
        <w:t>2</w:t>
      </w:r>
      <w:r>
        <w:rPr>
          <w:rFonts w:hint="eastAsia"/>
          <w:kern w:val="0"/>
        </w:rPr>
        <w:t>）三楼会议室修缮，主要施工内容为会议室墙体、墙板装饰工程。</w:t>
      </w:r>
    </w:p>
    <w:p>
      <w:pPr>
        <w:widowControl w:val="0"/>
        <w:spacing w:line="560" w:lineRule="exact"/>
        <w:ind w:firstLine="560" w:firstLineChars="200"/>
        <w:rPr>
          <w:kern w:val="0"/>
        </w:rPr>
      </w:pPr>
      <w:r>
        <w:rPr>
          <w:rFonts w:hint="eastAsia"/>
          <w:kern w:val="0"/>
        </w:rPr>
        <w:t>（</w:t>
      </w:r>
      <w:r>
        <w:rPr>
          <w:kern w:val="0"/>
        </w:rPr>
        <w:t>3</w:t>
      </w:r>
      <w:r>
        <w:rPr>
          <w:rFonts w:hint="eastAsia"/>
          <w:kern w:val="0"/>
        </w:rPr>
        <w:t>）永济管理部修缮，工程施工内容为一楼、二楼、楼梯、卫生间装修工程(木质门、全屋水电、木质吊顶、墙面喷刷涂料、铺设瓷砖、照明、换气等装修工程)。</w:t>
      </w:r>
    </w:p>
    <w:p>
      <w:pPr>
        <w:widowControl w:val="0"/>
        <w:spacing w:line="560" w:lineRule="exact"/>
        <w:ind w:firstLine="560" w:firstLineChars="200"/>
        <w:rPr>
          <w:kern w:val="0"/>
        </w:rPr>
      </w:pPr>
      <w:r>
        <w:rPr>
          <w:rFonts w:hint="eastAsia"/>
          <w:kern w:val="0"/>
        </w:rPr>
        <w:t>2、信息网络及软件购置更新</w:t>
      </w:r>
    </w:p>
    <w:p>
      <w:pPr>
        <w:widowControl w:val="0"/>
        <w:spacing w:line="560" w:lineRule="exact"/>
        <w:ind w:firstLine="560" w:firstLineChars="200"/>
        <w:rPr>
          <w:kern w:val="0"/>
        </w:rPr>
      </w:pPr>
      <w:r>
        <w:rPr>
          <w:rFonts w:hint="eastAsia"/>
          <w:kern w:val="0"/>
        </w:rPr>
        <w:t>（1）购入OA系统，完成搭建流程管理系统，录入基础数据（涉及24个部门、178个用户），流程数据录入15条，分为公文管理、行政管理、人事管理等内容，表单建模模块，移动app的系统测试联调及用户培训工作，以及网络安全运维服务。</w:t>
      </w:r>
    </w:p>
    <w:p>
      <w:pPr>
        <w:widowControl w:val="0"/>
        <w:spacing w:line="560" w:lineRule="exact"/>
        <w:ind w:firstLine="560" w:firstLineChars="200"/>
        <w:rPr>
          <w:kern w:val="0"/>
        </w:rPr>
      </w:pPr>
      <w:r>
        <w:rPr>
          <w:rFonts w:hint="eastAsia"/>
          <w:kern w:val="0"/>
        </w:rPr>
        <w:t>（2）经运城市政务信息管理局《关于运城市住房公积金业务软件功能升级项目》的批复，对该部门“业务软件功能”进行升级开发，办理一网通办(开发省共享平台系统接口、自动办理企业缴存登记等)，网办拓展业务(异地贷款缴存证明出具、外部转入、省内异地贷款提取、租房提取、提前还本等)。</w:t>
      </w:r>
    </w:p>
    <w:p>
      <w:pPr>
        <w:widowControl w:val="0"/>
        <w:spacing w:line="560" w:lineRule="exact"/>
        <w:ind w:firstLine="560" w:firstLineChars="200"/>
        <w:rPr>
          <w:kern w:val="0"/>
        </w:rPr>
      </w:pPr>
      <w:r>
        <w:rPr>
          <w:rFonts w:hint="eastAsia"/>
          <w:kern w:val="0"/>
        </w:rPr>
        <w:t>3、公积金归集、提取、贷款工作情况</w:t>
      </w:r>
    </w:p>
    <w:p>
      <w:pPr>
        <w:widowControl w:val="0"/>
        <w:spacing w:line="560" w:lineRule="exact"/>
        <w:ind w:firstLine="560" w:firstLineChars="200"/>
        <w:rPr>
          <w:kern w:val="0"/>
        </w:rPr>
      </w:pPr>
      <w:r>
        <w:rPr>
          <w:rFonts w:hint="eastAsia"/>
          <w:kern w:val="0"/>
        </w:rPr>
        <w:t>2021年，全市共归集住房公积金31.77亿元，办理住房公积金提取19.2亿元，发放住房公积金个人贷款9107笔34.68亿元，归集、提取、贷款额分别较上年增长了11.28%、26.15%、60.56%，截至年末，全市公积金缴存总额246.37亿元，缴存余额116.35亿元，贷款总额179.21亿元，贷款余额94.29亿元，个贷率81.04%，较年初增长12.66个百分点。</w:t>
      </w:r>
    </w:p>
    <w:p>
      <w:pPr>
        <w:pStyle w:val="3"/>
        <w:spacing w:before="0" w:after="0" w:line="560" w:lineRule="exact"/>
        <w:ind w:firstLine="562" w:firstLineChars="200"/>
        <w:rPr>
          <w:rFonts w:ascii="仿宋" w:hAnsi="仿宋" w:eastAsia="仿宋"/>
          <w:sz w:val="28"/>
        </w:rPr>
      </w:pPr>
      <w:bookmarkStart w:id="105" w:name="_Toc29044"/>
      <w:r>
        <w:rPr>
          <w:rFonts w:hint="eastAsia" w:ascii="仿宋" w:hAnsi="仿宋" w:eastAsia="仿宋"/>
          <w:sz w:val="28"/>
        </w:rPr>
        <w:t>（五）</w:t>
      </w:r>
      <w:bookmarkEnd w:id="0"/>
      <w:bookmarkEnd w:id="1"/>
      <w:bookmarkEnd w:id="2"/>
      <w:bookmarkEnd w:id="3"/>
      <w:bookmarkEnd w:id="4"/>
      <w:bookmarkEnd w:id="5"/>
      <w:bookmarkStart w:id="106" w:name="_Toc28215"/>
      <w:bookmarkStart w:id="107" w:name="_Toc4174"/>
      <w:bookmarkStart w:id="108" w:name="_Toc21115"/>
      <w:bookmarkStart w:id="109" w:name="_Toc20352"/>
      <w:r>
        <w:rPr>
          <w:rFonts w:hint="eastAsia" w:ascii="仿宋" w:hAnsi="仿宋" w:eastAsia="仿宋"/>
          <w:sz w:val="28"/>
        </w:rPr>
        <w:t>部门整体支出绩效目标</w:t>
      </w:r>
      <w:bookmarkEnd w:id="105"/>
    </w:p>
    <w:bookmarkEnd w:id="106"/>
    <w:bookmarkEnd w:id="107"/>
    <w:bookmarkEnd w:id="108"/>
    <w:bookmarkEnd w:id="109"/>
    <w:p>
      <w:pPr>
        <w:spacing w:line="560" w:lineRule="exact"/>
        <w:ind w:firstLine="560" w:firstLineChars="200"/>
      </w:pPr>
      <w:bookmarkStart w:id="110" w:name="_Hlk115160628"/>
      <w:bookmarkStart w:id="111" w:name="_Toc9381_WPSOffice_Level1"/>
      <w:bookmarkStart w:id="112" w:name="_Toc6643"/>
      <w:bookmarkStart w:id="113" w:name="_Toc15169"/>
      <w:bookmarkStart w:id="114" w:name="_Toc16752"/>
      <w:bookmarkStart w:id="115" w:name="_Toc28172"/>
      <w:bookmarkStart w:id="116" w:name="_Toc21958"/>
      <w:r>
        <w:rPr>
          <w:rFonts w:hint="eastAsia"/>
        </w:rPr>
        <w:t>因项目单位绩效管理意识薄弱，未按照规定编制详细部门绩效目标，编制和申报的部门绩效目标内容如下：</w:t>
      </w:r>
    </w:p>
    <w:p>
      <w:pPr>
        <w:spacing w:line="560" w:lineRule="exact"/>
        <w:ind w:firstLine="560" w:firstLineChars="200"/>
      </w:pPr>
      <w:r>
        <w:rPr>
          <w:rFonts w:hint="eastAsia"/>
        </w:rPr>
        <w:t>1、总体目标</w:t>
      </w:r>
    </w:p>
    <w:p>
      <w:pPr>
        <w:spacing w:line="560" w:lineRule="exact"/>
        <w:ind w:firstLine="560" w:firstLineChars="200"/>
      </w:pPr>
      <w:r>
        <w:rPr>
          <w:rFonts w:hint="eastAsia"/>
        </w:rPr>
        <w:t>全面贯彻党的各项方针、政策，围绕全市高质量发展大局，认真落实市委市政府、市住房公积金管委会的工作要求和决策部署。</w:t>
      </w:r>
    </w:p>
    <w:p>
      <w:pPr>
        <w:spacing w:line="560" w:lineRule="exact"/>
        <w:ind w:firstLine="560" w:firstLineChars="200"/>
      </w:pPr>
      <w:r>
        <w:rPr>
          <w:rFonts w:hint="eastAsia"/>
        </w:rPr>
        <w:t>2、2021年度目标</w:t>
      </w:r>
    </w:p>
    <w:p>
      <w:pPr>
        <w:spacing w:line="560" w:lineRule="exact"/>
        <w:ind w:firstLine="560" w:firstLineChars="200"/>
      </w:pPr>
      <w:r>
        <w:rPr>
          <w:rFonts w:hint="eastAsia"/>
        </w:rPr>
        <w:t>（1）落实住房公积金相关政策，扩大住房公积金覆盖面，以提高个贷率为抓手，细化责任分解，强化归集扩面，优化使用政策，推动业务全面发展；</w:t>
      </w:r>
    </w:p>
    <w:p>
      <w:pPr>
        <w:spacing w:line="560" w:lineRule="exact"/>
        <w:ind w:firstLine="560" w:firstLineChars="200"/>
      </w:pPr>
      <w:r>
        <w:rPr>
          <w:rFonts w:hint="eastAsia"/>
        </w:rPr>
        <w:t>（2）打造智慧服务平台，不断推进住房公积金业务简办流程，增加公积金业务网办功能，推动公积金业务“网上办”、“掌上办”业务；</w:t>
      </w:r>
    </w:p>
    <w:p>
      <w:pPr>
        <w:spacing w:line="560" w:lineRule="exact"/>
        <w:ind w:firstLine="560" w:firstLineChars="200"/>
      </w:pPr>
      <w:r>
        <w:rPr>
          <w:rFonts w:hint="eastAsia"/>
        </w:rPr>
        <w:t>（3）编制、执行住房公积金的归集、使用计划和报告，负责记载职工住房公积金的缴存、提取、使用等情况；</w:t>
      </w:r>
    </w:p>
    <w:p>
      <w:pPr>
        <w:spacing w:line="560" w:lineRule="exact"/>
        <w:ind w:firstLine="560" w:firstLineChars="200"/>
      </w:pPr>
      <w:r>
        <w:rPr>
          <w:rFonts w:hint="eastAsia"/>
        </w:rPr>
        <w:t>（4）审批住房公积金的提取、使用，负责住房公积金的保值和归还。</w:t>
      </w:r>
    </w:p>
    <w:bookmarkEnd w:id="110"/>
    <w:p>
      <w:pPr>
        <w:pStyle w:val="2"/>
        <w:spacing w:before="0" w:after="0" w:line="560" w:lineRule="exact"/>
        <w:ind w:firstLine="562" w:firstLineChars="200"/>
        <w:rPr>
          <w:sz w:val="28"/>
        </w:rPr>
      </w:pPr>
      <w:bookmarkStart w:id="117" w:name="_Toc13342"/>
      <w:r>
        <w:rPr>
          <w:rFonts w:hint="eastAsia"/>
          <w:sz w:val="28"/>
        </w:rPr>
        <w:t>二、绩效评价</w:t>
      </w:r>
      <w:bookmarkEnd w:id="111"/>
      <w:bookmarkEnd w:id="112"/>
      <w:bookmarkStart w:id="118" w:name="_Toc8672_WPSOffice_Level2"/>
      <w:bookmarkStart w:id="119" w:name="_Toc664_WPSOffice_Level2"/>
      <w:bookmarkStart w:id="120" w:name="_Toc23969_WPSOffice_Level2"/>
      <w:bookmarkStart w:id="121" w:name="_Toc9883_WPSOffice_Level2"/>
      <w:bookmarkStart w:id="122" w:name="_Toc3613_WPSOffice_Level2"/>
      <w:r>
        <w:rPr>
          <w:rFonts w:hint="eastAsia"/>
          <w:sz w:val="28"/>
        </w:rPr>
        <w:t>工作开展情况</w:t>
      </w:r>
      <w:bookmarkEnd w:id="113"/>
      <w:bookmarkEnd w:id="114"/>
      <w:bookmarkEnd w:id="115"/>
      <w:bookmarkEnd w:id="116"/>
      <w:bookmarkEnd w:id="117"/>
    </w:p>
    <w:p>
      <w:pPr>
        <w:pStyle w:val="3"/>
        <w:spacing w:before="0" w:after="0" w:line="560" w:lineRule="exact"/>
        <w:ind w:firstLine="562" w:firstLineChars="200"/>
        <w:rPr>
          <w:rFonts w:ascii="仿宋" w:hAnsi="仿宋" w:eastAsia="仿宋"/>
          <w:sz w:val="28"/>
        </w:rPr>
      </w:pPr>
      <w:bookmarkStart w:id="123" w:name="_Toc12676"/>
      <w:bookmarkStart w:id="124" w:name="_Toc30921"/>
      <w:bookmarkStart w:id="125" w:name="_Toc1927"/>
      <w:bookmarkStart w:id="126" w:name="_Toc7984"/>
      <w:bookmarkStart w:id="127" w:name="_Toc16289"/>
      <w:bookmarkStart w:id="128" w:name="_Toc15385"/>
      <w:r>
        <w:rPr>
          <w:rFonts w:hint="eastAsia" w:ascii="仿宋" w:hAnsi="仿宋" w:eastAsia="仿宋"/>
          <w:sz w:val="28"/>
        </w:rPr>
        <w:t>（一）绩效评价的目的和依据</w:t>
      </w:r>
      <w:bookmarkEnd w:id="118"/>
      <w:bookmarkEnd w:id="119"/>
      <w:bookmarkEnd w:id="120"/>
      <w:bookmarkEnd w:id="121"/>
      <w:bookmarkEnd w:id="122"/>
      <w:bookmarkEnd w:id="123"/>
      <w:bookmarkEnd w:id="124"/>
      <w:bookmarkEnd w:id="125"/>
      <w:bookmarkEnd w:id="126"/>
      <w:bookmarkEnd w:id="127"/>
      <w:bookmarkEnd w:id="128"/>
    </w:p>
    <w:p>
      <w:pPr>
        <w:pStyle w:val="7"/>
        <w:widowControl w:val="0"/>
        <w:spacing w:line="560" w:lineRule="exact"/>
        <w:ind w:firstLine="560" w:firstLineChars="200"/>
        <w:outlineLvl w:val="2"/>
        <w:rPr>
          <w:rFonts w:ascii="仿宋" w:eastAsia="仿宋"/>
          <w:bCs/>
          <w:sz w:val="28"/>
        </w:rPr>
      </w:pPr>
      <w:bookmarkStart w:id="129" w:name="_Toc15395"/>
      <w:bookmarkStart w:id="130" w:name="_Toc25956"/>
      <w:bookmarkStart w:id="131" w:name="_Toc14754"/>
      <w:bookmarkStart w:id="132" w:name="_Toc1749"/>
      <w:r>
        <w:rPr>
          <w:rFonts w:hint="eastAsia" w:ascii="仿宋" w:eastAsia="仿宋"/>
          <w:bCs/>
          <w:sz w:val="28"/>
        </w:rPr>
        <w:t>1、绩效评价的目的</w:t>
      </w:r>
      <w:bookmarkEnd w:id="129"/>
      <w:bookmarkEnd w:id="130"/>
      <w:bookmarkEnd w:id="131"/>
      <w:bookmarkEnd w:id="132"/>
    </w:p>
    <w:p>
      <w:pPr>
        <w:spacing w:line="560" w:lineRule="exact"/>
        <w:ind w:firstLine="560" w:firstLineChars="200"/>
        <w:rPr>
          <w:bCs/>
        </w:rPr>
      </w:pPr>
      <w:r>
        <w:rPr>
          <w:rFonts w:hint="eastAsia"/>
          <w:bCs/>
        </w:rPr>
        <w:t>部门整体财政支出绩效评价旨在改善预算部门的财政支出管理，优化资源配置，提高公共服务水平。本次绩效评价是根据设定的绩效目标，运用科学、合理的绩效评价指标、评价标准和评价方法，对部门整体财政资金使用情况、财务管理状况进行检查；同时检查项目单位为加强管理所制定的相关制度、采取的措施是否得到有效执行等；评价绩效目标预定产出和效益的实现程度，总结部门工作开展过程的经验和主要做法，查找部门业务开展过程中存在的问题，对以后年度部门预算资金安排和监管提出建议。</w:t>
      </w:r>
    </w:p>
    <w:p>
      <w:pPr>
        <w:widowControl w:val="0"/>
        <w:spacing w:line="560" w:lineRule="exact"/>
        <w:ind w:firstLine="560" w:firstLineChars="200"/>
        <w:outlineLvl w:val="2"/>
        <w:rPr>
          <w:bCs/>
        </w:rPr>
      </w:pPr>
      <w:bookmarkStart w:id="133" w:name="_Toc16989"/>
      <w:bookmarkStart w:id="134" w:name="_Toc1931"/>
      <w:bookmarkStart w:id="135" w:name="_Toc18363"/>
      <w:bookmarkStart w:id="136" w:name="_Toc25305"/>
      <w:r>
        <w:rPr>
          <w:rFonts w:hint="eastAsia"/>
          <w:bCs/>
        </w:rPr>
        <w:t>2、绩效评价依据</w:t>
      </w:r>
      <w:bookmarkEnd w:id="133"/>
      <w:bookmarkEnd w:id="134"/>
      <w:bookmarkEnd w:id="135"/>
      <w:bookmarkEnd w:id="136"/>
    </w:p>
    <w:p>
      <w:pPr>
        <w:widowControl w:val="0"/>
        <w:spacing w:line="560" w:lineRule="exact"/>
        <w:ind w:firstLine="560" w:firstLineChars="200"/>
        <w:outlineLvl w:val="3"/>
      </w:pPr>
      <w:bookmarkStart w:id="137" w:name="_Toc4672_WPSOffice_Level2"/>
      <w:bookmarkStart w:id="138" w:name="_Toc18487"/>
      <w:bookmarkStart w:id="139" w:name="_Toc4101"/>
      <w:bookmarkStart w:id="140" w:name="_Toc19807"/>
      <w:bookmarkStart w:id="141" w:name="_Toc30515"/>
      <w:bookmarkStart w:id="142" w:name="_Toc4125_WPSOffice_Level2"/>
      <w:bookmarkStart w:id="143" w:name="_Toc7737"/>
      <w:bookmarkStart w:id="144" w:name="_Toc2248_WPSOffice_Level2"/>
      <w:bookmarkStart w:id="145" w:name="_Toc61_WPSOffice_Level2"/>
      <w:bookmarkStart w:id="146" w:name="_Toc21066_WPSOffice_Level2"/>
      <w:bookmarkStart w:id="147" w:name="_Toc11172_WPSOffice_Level2"/>
      <w:bookmarkStart w:id="148" w:name="_Toc341_WPSOffice_Level2"/>
      <w:bookmarkStart w:id="149" w:name="_Toc27934_WPSOffice_Level2"/>
      <w:bookmarkStart w:id="150" w:name="_Toc25990_WPSOffice_Level2"/>
      <w:bookmarkStart w:id="151" w:name="_Toc19084_WPSOffice_Level2"/>
      <w:bookmarkStart w:id="152" w:name="_Toc21223_WPSOffice_Level2"/>
      <w:bookmarkStart w:id="153" w:name="_Toc15003_WPSOffice_Level1"/>
      <w:bookmarkStart w:id="154" w:name="_Toc26397_WPSOffice_Level1"/>
      <w:r>
        <w:rPr>
          <w:rFonts w:hint="eastAsia"/>
        </w:rPr>
        <w:t>（1）《中华人民共和国预算法》2018年第二次修正</w:t>
      </w:r>
    </w:p>
    <w:p>
      <w:pPr>
        <w:widowControl w:val="0"/>
        <w:spacing w:line="560" w:lineRule="exact"/>
        <w:ind w:firstLine="560" w:firstLineChars="200"/>
        <w:outlineLvl w:val="3"/>
      </w:pPr>
      <w:r>
        <w:rPr>
          <w:rFonts w:hint="eastAsia"/>
        </w:rPr>
        <w:t>（2）《中共中央国务院关于全面实施预算绩效管理的意见》（中发〔2018〕34号）</w:t>
      </w:r>
    </w:p>
    <w:p>
      <w:pPr>
        <w:spacing w:line="560" w:lineRule="exact"/>
        <w:ind w:firstLine="560" w:firstLineChars="200"/>
      </w:pPr>
      <w:r>
        <w:rPr>
          <w:rFonts w:hint="eastAsia"/>
        </w:rPr>
        <w:t>（3）《项目支出绩效评价管理办法》（财预〔2020〕10号）</w:t>
      </w:r>
    </w:p>
    <w:p>
      <w:pPr>
        <w:spacing w:line="560" w:lineRule="exact"/>
        <w:ind w:firstLine="560" w:firstLineChars="200"/>
      </w:pPr>
      <w:r>
        <w:rPr>
          <w:rFonts w:hint="eastAsia"/>
        </w:rPr>
        <w:t>（4）《中共山西省委 山西省人民政府关于全面实施预算绩效管理的实施意见》（晋发〔2018〕39号）</w:t>
      </w:r>
    </w:p>
    <w:p>
      <w:pPr>
        <w:widowControl w:val="0"/>
        <w:spacing w:line="560" w:lineRule="exact"/>
        <w:ind w:firstLine="560" w:firstLineChars="200"/>
        <w:outlineLvl w:val="3"/>
      </w:pPr>
      <w:r>
        <w:rPr>
          <w:rFonts w:hint="eastAsia"/>
        </w:rPr>
        <w:t>（5）</w:t>
      </w:r>
      <w:r>
        <w:rPr>
          <w:rFonts w:hint="eastAsia"/>
          <w:bCs/>
        </w:rPr>
        <w:t>《第三方机构预算绩效评价业务监督管理暂行办法（ 财监</w:t>
      </w:r>
      <w:r>
        <w:rPr>
          <w:rFonts w:hint="eastAsia"/>
        </w:rPr>
        <w:t>〔2021〕4号）</w:t>
      </w:r>
    </w:p>
    <w:p>
      <w:pPr>
        <w:spacing w:line="560" w:lineRule="exact"/>
        <w:ind w:firstLine="560" w:firstLineChars="200"/>
      </w:pPr>
      <w:r>
        <w:rPr>
          <w:rFonts w:hint="eastAsia"/>
        </w:rPr>
        <w:t>（6）《运城市财政局2022年预算绩效评价实施方案》（运财监〔2022〕6号）</w:t>
      </w:r>
    </w:p>
    <w:p>
      <w:pPr>
        <w:spacing w:line="560" w:lineRule="exact"/>
        <w:ind w:firstLine="560" w:firstLineChars="200"/>
      </w:pPr>
      <w:r>
        <w:rPr>
          <w:rFonts w:hint="eastAsia"/>
        </w:rPr>
        <w:t>（7）被评价单位财务及管理制度、预决算报表、财务及业务资料、单位工作承诺及总结等</w:t>
      </w:r>
    </w:p>
    <w:p>
      <w:pPr>
        <w:spacing w:line="560" w:lineRule="exact"/>
        <w:ind w:firstLine="560" w:firstLineChars="200"/>
      </w:pPr>
      <w:bookmarkStart w:id="155" w:name="_Toc6835"/>
      <w:r>
        <w:rPr>
          <w:rFonts w:hint="eastAsia"/>
        </w:rPr>
        <w:t>（8）其他有关的法律、法规、规章及政策文件</w:t>
      </w:r>
      <w:bookmarkEnd w:id="155"/>
    </w:p>
    <w:p>
      <w:pPr>
        <w:pStyle w:val="3"/>
        <w:spacing w:before="0" w:after="0" w:line="560" w:lineRule="exact"/>
        <w:ind w:firstLine="562" w:firstLineChars="200"/>
        <w:rPr>
          <w:rFonts w:ascii="仿宋" w:hAnsi="仿宋" w:eastAsia="仿宋"/>
          <w:sz w:val="28"/>
        </w:rPr>
      </w:pPr>
      <w:bookmarkStart w:id="156" w:name="_Toc21234"/>
      <w:r>
        <w:rPr>
          <w:rFonts w:hint="eastAsia" w:ascii="仿宋" w:hAnsi="仿宋" w:eastAsia="仿宋"/>
          <w:sz w:val="28"/>
        </w:rPr>
        <w:t>（二）绩效评价的对象和范围</w:t>
      </w:r>
      <w:bookmarkEnd w:id="137"/>
      <w:bookmarkEnd w:id="138"/>
      <w:bookmarkEnd w:id="139"/>
      <w:bookmarkEnd w:id="140"/>
      <w:bookmarkEnd w:id="141"/>
      <w:bookmarkEnd w:id="142"/>
      <w:bookmarkEnd w:id="143"/>
      <w:bookmarkEnd w:id="144"/>
      <w:bookmarkEnd w:id="145"/>
      <w:bookmarkEnd w:id="146"/>
      <w:bookmarkEnd w:id="156"/>
    </w:p>
    <w:p>
      <w:pPr>
        <w:widowControl w:val="0"/>
        <w:spacing w:line="560" w:lineRule="exact"/>
        <w:ind w:firstLine="560" w:firstLineChars="200"/>
        <w:outlineLvl w:val="2"/>
      </w:pPr>
      <w:bookmarkStart w:id="157" w:name="_Toc30136"/>
      <w:bookmarkStart w:id="158" w:name="_Toc9688"/>
      <w:bookmarkStart w:id="159" w:name="_Toc8280"/>
      <w:bookmarkStart w:id="160" w:name="_Toc21197"/>
      <w:r>
        <w:rPr>
          <w:rFonts w:hint="eastAsia"/>
        </w:rPr>
        <w:t>1、绩效评价对象</w:t>
      </w:r>
      <w:bookmarkEnd w:id="157"/>
      <w:bookmarkEnd w:id="158"/>
      <w:bookmarkEnd w:id="159"/>
      <w:bookmarkEnd w:id="160"/>
    </w:p>
    <w:p>
      <w:pPr>
        <w:widowControl w:val="0"/>
        <w:spacing w:line="560" w:lineRule="exact"/>
        <w:ind w:firstLine="560" w:firstLineChars="200"/>
        <w:rPr>
          <w:highlight w:val="yellow"/>
        </w:rPr>
      </w:pPr>
      <w:r>
        <w:rPr>
          <w:rFonts w:hint="eastAsia"/>
        </w:rPr>
        <w:t>本次绩效评价对象为运城市住房公积金管理中心2021年度部门整体支出，决算资金总额2,872.49万元，其中：基本支出1,785.75万元、财政拨款项目支出1,086.74万元。</w:t>
      </w:r>
    </w:p>
    <w:p>
      <w:pPr>
        <w:widowControl w:val="0"/>
        <w:spacing w:line="560" w:lineRule="exact"/>
        <w:ind w:firstLine="560" w:firstLineChars="200"/>
        <w:outlineLvl w:val="2"/>
      </w:pPr>
      <w:bookmarkStart w:id="161" w:name="_Toc15423"/>
      <w:bookmarkStart w:id="162" w:name="_Toc4636"/>
      <w:bookmarkStart w:id="163" w:name="_Toc23038"/>
      <w:bookmarkStart w:id="164" w:name="_Toc24699"/>
      <w:r>
        <w:rPr>
          <w:rFonts w:hint="eastAsia"/>
        </w:rPr>
        <w:t>2、绩效评价范围</w:t>
      </w:r>
      <w:bookmarkEnd w:id="161"/>
      <w:bookmarkEnd w:id="162"/>
      <w:bookmarkEnd w:id="163"/>
      <w:bookmarkEnd w:id="164"/>
    </w:p>
    <w:p>
      <w:pPr>
        <w:widowControl w:val="0"/>
        <w:spacing w:line="560" w:lineRule="exact"/>
        <w:ind w:firstLine="560" w:firstLineChars="200"/>
      </w:pPr>
      <w:r>
        <w:rPr>
          <w:rFonts w:hint="eastAsia"/>
        </w:rPr>
        <w:t>在获取运城市住房公积金管理中心整体支出目标设定、预算配置、预算执行及管理、资产管理、基本职责履行情况及效益、相关项目实施情况及后期运行情况等基本资料的基础上，通过对所收集相关资料的分析，结合相关政策文件，利用指标体系对运城市住房公积金管理中心2021年度整体支出进行绩效评价。</w:t>
      </w:r>
    </w:p>
    <w:p>
      <w:pPr>
        <w:pStyle w:val="3"/>
        <w:spacing w:before="0" w:after="0" w:line="560" w:lineRule="exact"/>
        <w:ind w:firstLine="562" w:firstLineChars="200"/>
        <w:rPr>
          <w:rFonts w:ascii="仿宋" w:hAnsi="仿宋" w:eastAsia="仿宋"/>
          <w:sz w:val="28"/>
        </w:rPr>
      </w:pPr>
      <w:bookmarkStart w:id="165" w:name="_Toc25078_WPSOffice_Level2"/>
      <w:bookmarkStart w:id="166" w:name="_Toc205_WPSOffice_Level2"/>
      <w:bookmarkStart w:id="167" w:name="_Toc24219_WPSOffice_Level2"/>
      <w:bookmarkStart w:id="168" w:name="_Toc24701"/>
      <w:bookmarkStart w:id="169" w:name="_Toc24469"/>
      <w:bookmarkStart w:id="170" w:name="_Toc10472"/>
      <w:bookmarkStart w:id="171" w:name="_Toc22145_WPSOffice_Level2"/>
      <w:bookmarkStart w:id="172" w:name="_Toc769_WPSOffice_Level2"/>
      <w:bookmarkStart w:id="173" w:name="_Toc5442_WPSOffice_Level2"/>
      <w:bookmarkStart w:id="174" w:name="_Toc29817_WPSOffice_Level2"/>
      <w:bookmarkStart w:id="175" w:name="_Toc29239"/>
      <w:bookmarkStart w:id="176" w:name="_Toc3041_WPSOffice_Level2"/>
      <w:bookmarkStart w:id="177" w:name="_Toc13943"/>
      <w:bookmarkStart w:id="178" w:name="_Toc14012_WPSOffice_Level2"/>
      <w:bookmarkStart w:id="179" w:name="_Toc26109"/>
      <w:r>
        <w:rPr>
          <w:rFonts w:hint="eastAsia" w:ascii="仿宋" w:hAnsi="仿宋" w:eastAsia="仿宋"/>
          <w:sz w:val="28"/>
        </w:rPr>
        <w:t>（三）</w:t>
      </w:r>
      <w:bookmarkEnd w:id="147"/>
      <w:bookmarkEnd w:id="148"/>
      <w:bookmarkEnd w:id="149"/>
      <w:bookmarkEnd w:id="150"/>
      <w:bookmarkEnd w:id="151"/>
      <w:bookmarkEnd w:id="15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80" w:name="_Toc2490"/>
      <w:bookmarkStart w:id="181" w:name="_Toc19943"/>
      <w:bookmarkStart w:id="182" w:name="_Toc3613_WPSOffice_Level1"/>
      <w:bookmarkStart w:id="183" w:name="_Toc28060"/>
      <w:bookmarkStart w:id="184" w:name="_Toc23547"/>
      <w:bookmarkStart w:id="185" w:name="_Toc27726"/>
      <w:bookmarkStart w:id="186" w:name="_Toc9883_WPSOffice_Level1"/>
      <w:bookmarkStart w:id="187" w:name="_Toc664_WPSOffice_Level1"/>
      <w:bookmarkStart w:id="188" w:name="_Toc28597"/>
      <w:bookmarkStart w:id="189" w:name="_Toc21165"/>
      <w:r>
        <w:rPr>
          <w:rFonts w:hint="eastAsia" w:ascii="仿宋" w:hAnsi="仿宋" w:eastAsia="仿宋"/>
          <w:sz w:val="28"/>
        </w:rPr>
        <w:t>绩效评价原则</w:t>
      </w:r>
      <w:bookmarkEnd w:id="179"/>
      <w:bookmarkEnd w:id="180"/>
      <w:bookmarkEnd w:id="181"/>
    </w:p>
    <w:p>
      <w:pPr>
        <w:widowControl w:val="0"/>
        <w:spacing w:line="560" w:lineRule="exact"/>
        <w:ind w:firstLine="560" w:firstLineChars="200"/>
        <w:outlineLvl w:val="2"/>
      </w:pPr>
      <w:bookmarkStart w:id="190" w:name="_Toc26534"/>
      <w:bookmarkStart w:id="191" w:name="_Toc23274"/>
      <w:bookmarkStart w:id="192" w:name="_Toc30027_WPSOffice_Level2"/>
      <w:bookmarkStart w:id="193" w:name="_Toc4043_WPSOffice_Level2"/>
      <w:bookmarkStart w:id="194" w:name="_Toc22409"/>
      <w:bookmarkStart w:id="195" w:name="_Toc10410_WPSOffice_Level2"/>
      <w:r>
        <w:rPr>
          <w:rFonts w:hint="eastAsia"/>
        </w:rPr>
        <w:t>1、独立原则。在委托方和被评价对象提供工作便利条件和相关资料情况下独立完成委托事项。</w:t>
      </w:r>
    </w:p>
    <w:p>
      <w:pPr>
        <w:widowControl w:val="0"/>
        <w:spacing w:line="560" w:lineRule="exact"/>
        <w:ind w:firstLine="560" w:firstLineChars="200"/>
        <w:outlineLvl w:val="2"/>
      </w:pPr>
      <w:r>
        <w:rPr>
          <w:rFonts w:hint="eastAsia"/>
        </w:rPr>
        <w:t>2、客观原则。按照协议（合同）约定事项客观公正、实事求是地开展预算绩效评价，不出具不实预算绩效评价报告。</w:t>
      </w:r>
    </w:p>
    <w:p>
      <w:pPr>
        <w:widowControl w:val="0"/>
        <w:spacing w:line="560" w:lineRule="exact"/>
        <w:ind w:firstLine="560" w:firstLineChars="200"/>
        <w:outlineLvl w:val="2"/>
      </w:pPr>
      <w:r>
        <w:rPr>
          <w:rFonts w:hint="eastAsia"/>
        </w:rPr>
        <w:t xml:space="preserve">3、规范原则。履行必要评价程序，合理选取具有代表性的样本，对原始资料进行必要的核查验证，形成结论并出具预算绩效评价报告。  </w:t>
      </w:r>
    </w:p>
    <w:p>
      <w:pPr>
        <w:pStyle w:val="3"/>
        <w:spacing w:before="0" w:after="0" w:line="560" w:lineRule="exact"/>
        <w:ind w:firstLine="562" w:firstLineChars="200"/>
        <w:rPr>
          <w:rFonts w:ascii="仿宋" w:hAnsi="仿宋" w:eastAsia="仿宋"/>
          <w:sz w:val="28"/>
        </w:rPr>
      </w:pPr>
      <w:bookmarkStart w:id="196" w:name="_Toc14919"/>
      <w:r>
        <w:rPr>
          <w:rFonts w:hint="eastAsia" w:ascii="仿宋" w:hAnsi="仿宋" w:eastAsia="仿宋"/>
          <w:sz w:val="28"/>
        </w:rPr>
        <w:t>（四）绩效评价方法</w:t>
      </w:r>
      <w:bookmarkEnd w:id="190"/>
      <w:bookmarkEnd w:id="191"/>
      <w:bookmarkEnd w:id="192"/>
      <w:bookmarkEnd w:id="193"/>
      <w:bookmarkEnd w:id="194"/>
      <w:bookmarkEnd w:id="195"/>
      <w:bookmarkEnd w:id="196"/>
    </w:p>
    <w:p>
      <w:pPr>
        <w:widowControl w:val="0"/>
        <w:spacing w:line="560" w:lineRule="exact"/>
        <w:ind w:firstLine="560" w:firstLineChars="200"/>
        <w:rPr>
          <w:kern w:val="0"/>
        </w:rPr>
      </w:pPr>
      <w:r>
        <w:rPr>
          <w:rFonts w:hint="eastAsia"/>
        </w:rPr>
        <w:t>1、</w:t>
      </w:r>
      <w:r>
        <w:rPr>
          <w:rFonts w:hint="eastAsia"/>
          <w:kern w:val="0"/>
        </w:rPr>
        <w:t>比较分析法。通过对绩效目标和实施效果、历史和当期情况、不同地区同类支出的比较，综合分析绩效目标的实现程度和效果。本次评价工作通过对资金实际绩效与目标绩效之间比较，以及项目实际状况与设定评价标准的比较等，对项目绩效进行综合评价。</w:t>
      </w:r>
    </w:p>
    <w:p>
      <w:pPr>
        <w:widowControl w:val="0"/>
        <w:spacing w:line="560" w:lineRule="exact"/>
        <w:ind w:firstLine="560" w:firstLineChars="200"/>
        <w:rPr>
          <w:kern w:val="0"/>
        </w:rPr>
      </w:pPr>
      <w:r>
        <w:rPr>
          <w:rFonts w:hint="eastAsia"/>
        </w:rPr>
        <w:t>2、</w:t>
      </w:r>
      <w:r>
        <w:rPr>
          <w:rFonts w:hint="eastAsia"/>
          <w:kern w:val="0"/>
        </w:rPr>
        <w:t>因素分析法。通过综合分析影响绩效目标实现、实施效果的内外因素，评价绩效目标实现程度。</w:t>
      </w:r>
    </w:p>
    <w:p>
      <w:pPr>
        <w:widowControl w:val="0"/>
        <w:spacing w:line="560" w:lineRule="exact"/>
        <w:ind w:firstLine="560" w:firstLineChars="200"/>
        <w:rPr>
          <w:kern w:val="0"/>
        </w:rPr>
      </w:pPr>
      <w:r>
        <w:rPr>
          <w:rFonts w:hint="eastAsia"/>
        </w:rPr>
        <w:t>3、</w:t>
      </w:r>
      <w:r>
        <w:rPr>
          <w:rFonts w:hint="eastAsia"/>
          <w:kern w:val="0"/>
        </w:rPr>
        <w:t>综合指数评价法。把各项绩效指标的实际水平，对照评价标准值，分别计算各项指标评价得分，再按照设定的各项指标权数计算出综合评价得分，分析评价绩效目标实现情况的评价方法。</w:t>
      </w:r>
    </w:p>
    <w:p>
      <w:pPr>
        <w:widowControl w:val="0"/>
        <w:spacing w:line="560" w:lineRule="exact"/>
        <w:ind w:firstLine="560" w:firstLineChars="200"/>
        <w:rPr>
          <w:kern w:val="0"/>
        </w:rPr>
      </w:pPr>
      <w:r>
        <w:rPr>
          <w:rFonts w:hint="eastAsia"/>
          <w:kern w:val="0"/>
        </w:rPr>
        <w:t>4、公众评判法。是指通过公众问卷及抽样调查等对财政支出效果进行评判，评价绩效目标实现程度。</w:t>
      </w:r>
    </w:p>
    <w:bookmarkEnd w:id="153"/>
    <w:bookmarkEnd w:id="154"/>
    <w:bookmarkEnd w:id="182"/>
    <w:bookmarkEnd w:id="183"/>
    <w:bookmarkEnd w:id="184"/>
    <w:bookmarkEnd w:id="185"/>
    <w:bookmarkEnd w:id="186"/>
    <w:bookmarkEnd w:id="187"/>
    <w:bookmarkEnd w:id="188"/>
    <w:bookmarkEnd w:id="189"/>
    <w:p>
      <w:pPr>
        <w:pStyle w:val="3"/>
        <w:spacing w:before="0" w:after="0" w:line="560" w:lineRule="exact"/>
        <w:ind w:firstLine="562" w:firstLineChars="200"/>
        <w:rPr>
          <w:rFonts w:ascii="仿宋" w:hAnsi="仿宋" w:eastAsia="仿宋"/>
          <w:sz w:val="28"/>
        </w:rPr>
      </w:pPr>
      <w:bookmarkStart w:id="197" w:name="_Toc6299"/>
      <w:bookmarkStart w:id="198" w:name="_Toc25675_WPSOffice_Level2"/>
      <w:bookmarkStart w:id="199" w:name="_Toc28553"/>
      <w:bookmarkStart w:id="200" w:name="_Toc18821"/>
      <w:bookmarkStart w:id="201" w:name="_Toc19342_WPSOffice_Level2"/>
      <w:bookmarkStart w:id="202" w:name="_Toc3954"/>
      <w:bookmarkStart w:id="203" w:name="_Toc29707_WPSOffice_Level2"/>
      <w:bookmarkStart w:id="204" w:name="_Toc15428_WPSOffice_Level2"/>
      <w:bookmarkStart w:id="205" w:name="_Toc15902"/>
      <w:bookmarkStart w:id="206" w:name="_Toc21590_WPSOffice_Level2"/>
      <w:bookmarkStart w:id="207" w:name="_Toc23754_WPSOffice_Level2"/>
      <w:bookmarkStart w:id="208" w:name="_Toc29424_WPSOffice_Level2"/>
      <w:bookmarkStart w:id="209" w:name="_Toc25773"/>
      <w:bookmarkStart w:id="210" w:name="_Toc4789"/>
      <w:bookmarkStart w:id="211" w:name="_Toc17239_WPSOffice_Level2"/>
      <w:bookmarkStart w:id="212" w:name="_Toc19793"/>
      <w:bookmarkStart w:id="213" w:name="_Toc3864"/>
      <w:bookmarkStart w:id="214" w:name="_Toc7482_WPSOffice_Level2"/>
      <w:bookmarkStart w:id="215" w:name="_Toc22551_WPSOffice_Level2"/>
      <w:r>
        <w:rPr>
          <w:rFonts w:hint="eastAsia" w:ascii="仿宋" w:hAnsi="仿宋" w:eastAsia="仿宋"/>
          <w:sz w:val="28"/>
        </w:rPr>
        <w:t>（五）绩效评价的指标体系</w:t>
      </w:r>
      <w:bookmarkEnd w:id="197"/>
      <w:bookmarkStart w:id="216" w:name="_Toc514670444"/>
      <w:bookmarkStart w:id="217" w:name="_Toc28008"/>
    </w:p>
    <w:bookmarkEnd w:id="198"/>
    <w:bookmarkEnd w:id="199"/>
    <w:bookmarkEnd w:id="200"/>
    <w:bookmarkEnd w:id="201"/>
    <w:bookmarkEnd w:id="202"/>
    <w:bookmarkEnd w:id="203"/>
    <w:bookmarkEnd w:id="216"/>
    <w:bookmarkEnd w:id="217"/>
    <w:p>
      <w:pPr>
        <w:spacing w:line="560" w:lineRule="exact"/>
        <w:ind w:firstLine="560" w:firstLineChars="200"/>
      </w:pPr>
      <w:r>
        <w:rPr>
          <w:rFonts w:hint="eastAsia"/>
          <w:kern w:val="0"/>
        </w:rPr>
        <w:t>根据</w:t>
      </w:r>
      <w:r>
        <w:rPr>
          <w:rFonts w:hint="eastAsia"/>
        </w:rPr>
        <w:t>山西省财政厅发布的部门整体绩效评价指标体系，遵循相关性、重要性、可比性、系统性、经济性原则，形成了运城市住房公积金管理中心整体工作的绩效评价指标体系。评价指标体系分为四个一级指标即履职效能、管理效率、社会效应、可持续性，对部门整体工作开展情况进行科学评价。结合部门实际情况，又细分成目标任务设定、目标任务实现情况、核心业务、基础管理、预算管理、财务管理、资产管理、其他管理、经济社会影响、社会满意、体质机制改革、干部队伍建设共12个二级指标以及目标任务设定情况、信息网络及软件购置更新工作完成情况、住房公积金缴存额增长率、预算执行管理、财务管理规范性、固定资产利用率、支持居民住房贷款需求、信息化建设工作有效性等28个三级指标，具体指标体系见下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865"/>
        <w:gridCol w:w="4549"/>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2" w:type="pct"/>
            <w:shd w:val="clear" w:color="auto" w:fill="auto"/>
            <w:vAlign w:val="center"/>
          </w:tcPr>
          <w:p>
            <w:pPr>
              <w:jc w:val="center"/>
              <w:rPr>
                <w:b/>
                <w:bCs/>
                <w:kern w:val="0"/>
                <w:sz w:val="24"/>
                <w:szCs w:val="24"/>
              </w:rPr>
            </w:pPr>
            <w:r>
              <w:rPr>
                <w:rFonts w:hint="eastAsia"/>
                <w:b/>
                <w:bCs/>
                <w:kern w:val="0"/>
                <w:sz w:val="24"/>
                <w:szCs w:val="24"/>
              </w:rPr>
              <w:t>一级指标</w:t>
            </w:r>
          </w:p>
        </w:tc>
        <w:tc>
          <w:tcPr>
            <w:tcW w:w="1069" w:type="pct"/>
            <w:shd w:val="clear" w:color="auto" w:fill="auto"/>
            <w:vAlign w:val="center"/>
          </w:tcPr>
          <w:p>
            <w:pPr>
              <w:jc w:val="center"/>
              <w:rPr>
                <w:b/>
                <w:bCs/>
                <w:kern w:val="0"/>
                <w:sz w:val="24"/>
                <w:szCs w:val="24"/>
              </w:rPr>
            </w:pPr>
            <w:r>
              <w:rPr>
                <w:rFonts w:hint="eastAsia"/>
                <w:b/>
                <w:bCs/>
                <w:kern w:val="0"/>
                <w:sz w:val="24"/>
                <w:szCs w:val="24"/>
              </w:rPr>
              <w:t>二级指标</w:t>
            </w:r>
          </w:p>
        </w:tc>
        <w:tc>
          <w:tcPr>
            <w:tcW w:w="2608" w:type="pct"/>
            <w:shd w:val="clear" w:color="auto" w:fill="auto"/>
            <w:vAlign w:val="center"/>
          </w:tcPr>
          <w:p>
            <w:pPr>
              <w:jc w:val="center"/>
              <w:rPr>
                <w:b/>
                <w:bCs/>
                <w:kern w:val="0"/>
                <w:sz w:val="24"/>
                <w:szCs w:val="24"/>
              </w:rPr>
            </w:pPr>
            <w:r>
              <w:rPr>
                <w:rFonts w:hint="eastAsia"/>
                <w:b/>
                <w:bCs/>
                <w:kern w:val="0"/>
                <w:sz w:val="24"/>
                <w:szCs w:val="24"/>
              </w:rPr>
              <w:t>三级指标</w:t>
            </w:r>
          </w:p>
        </w:tc>
        <w:tc>
          <w:tcPr>
            <w:tcW w:w="528" w:type="pct"/>
            <w:shd w:val="clear" w:color="auto" w:fill="auto"/>
            <w:vAlign w:val="center"/>
          </w:tcPr>
          <w:p>
            <w:pPr>
              <w:jc w:val="center"/>
              <w:rPr>
                <w:b/>
                <w:bCs/>
                <w:kern w:val="0"/>
                <w:sz w:val="24"/>
                <w:szCs w:val="24"/>
              </w:rPr>
            </w:pPr>
            <w:r>
              <w:rPr>
                <w:rFonts w:hint="eastAsia"/>
                <w:b/>
                <w:bCs/>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restart"/>
            <w:shd w:val="clear" w:color="auto" w:fill="auto"/>
            <w:vAlign w:val="center"/>
          </w:tcPr>
          <w:p>
            <w:pPr>
              <w:jc w:val="center"/>
              <w:rPr>
                <w:kern w:val="0"/>
                <w:sz w:val="24"/>
                <w:szCs w:val="24"/>
              </w:rPr>
            </w:pPr>
            <w:r>
              <w:rPr>
                <w:rFonts w:hint="eastAsia"/>
                <w:kern w:val="0"/>
                <w:sz w:val="24"/>
                <w:szCs w:val="24"/>
              </w:rPr>
              <w:t>履职效能</w:t>
            </w:r>
          </w:p>
          <w:p>
            <w:pPr>
              <w:jc w:val="center"/>
              <w:rPr>
                <w:kern w:val="0"/>
                <w:sz w:val="24"/>
                <w:szCs w:val="24"/>
              </w:rPr>
            </w:pPr>
            <w:r>
              <w:rPr>
                <w:rFonts w:hint="eastAsia"/>
                <w:kern w:val="0"/>
                <w:sz w:val="24"/>
                <w:szCs w:val="24"/>
              </w:rPr>
              <w:t>A（40）</w:t>
            </w:r>
          </w:p>
        </w:tc>
        <w:tc>
          <w:tcPr>
            <w:tcW w:w="1069" w:type="pct"/>
            <w:shd w:val="clear" w:color="auto" w:fill="auto"/>
            <w:vAlign w:val="center"/>
          </w:tcPr>
          <w:p>
            <w:pPr>
              <w:jc w:val="center"/>
              <w:rPr>
                <w:kern w:val="0"/>
                <w:sz w:val="24"/>
                <w:szCs w:val="24"/>
              </w:rPr>
            </w:pPr>
            <w:r>
              <w:rPr>
                <w:rFonts w:hint="eastAsia"/>
                <w:kern w:val="0"/>
                <w:sz w:val="24"/>
                <w:szCs w:val="24"/>
              </w:rPr>
              <w:t>目标任务设定A1(3)</w:t>
            </w:r>
          </w:p>
        </w:tc>
        <w:tc>
          <w:tcPr>
            <w:tcW w:w="2608" w:type="pct"/>
            <w:shd w:val="clear" w:color="auto" w:fill="auto"/>
            <w:vAlign w:val="center"/>
          </w:tcPr>
          <w:p>
            <w:pPr>
              <w:jc w:val="left"/>
              <w:rPr>
                <w:kern w:val="0"/>
                <w:sz w:val="24"/>
                <w:szCs w:val="24"/>
              </w:rPr>
            </w:pPr>
            <w:r>
              <w:rPr>
                <w:rFonts w:hint="eastAsia"/>
                <w:kern w:val="0"/>
                <w:sz w:val="24"/>
                <w:szCs w:val="24"/>
              </w:rPr>
              <w:t>目标任务设定情况A1-1</w:t>
            </w:r>
          </w:p>
        </w:tc>
        <w:tc>
          <w:tcPr>
            <w:tcW w:w="528" w:type="pct"/>
            <w:shd w:val="clear" w:color="auto" w:fill="auto"/>
            <w:vAlign w:val="center"/>
          </w:tcPr>
          <w:p>
            <w:pPr>
              <w:jc w:val="center"/>
              <w:rPr>
                <w:kern w:val="0"/>
                <w:sz w:val="24"/>
                <w:szCs w:val="24"/>
              </w:rPr>
            </w:pPr>
            <w:r>
              <w:rPr>
                <w:rFonts w:hint="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shd w:val="clear" w:color="auto" w:fill="auto"/>
            <w:vAlign w:val="center"/>
          </w:tcPr>
          <w:p>
            <w:pPr>
              <w:jc w:val="center"/>
              <w:rPr>
                <w:kern w:val="0"/>
                <w:sz w:val="24"/>
                <w:szCs w:val="24"/>
              </w:rPr>
            </w:pPr>
            <w:r>
              <w:rPr>
                <w:rFonts w:hint="eastAsia"/>
                <w:kern w:val="0"/>
                <w:sz w:val="24"/>
                <w:szCs w:val="24"/>
              </w:rPr>
              <w:t>目标任务实现情况A2(6)</w:t>
            </w:r>
          </w:p>
        </w:tc>
        <w:tc>
          <w:tcPr>
            <w:tcW w:w="2608" w:type="pct"/>
            <w:shd w:val="clear" w:color="auto" w:fill="auto"/>
            <w:vAlign w:val="center"/>
          </w:tcPr>
          <w:p>
            <w:pPr>
              <w:jc w:val="left"/>
              <w:rPr>
                <w:kern w:val="0"/>
                <w:sz w:val="24"/>
                <w:szCs w:val="24"/>
              </w:rPr>
            </w:pPr>
            <w:r>
              <w:rPr>
                <w:rFonts w:hint="eastAsia"/>
                <w:kern w:val="0"/>
                <w:sz w:val="24"/>
                <w:szCs w:val="24"/>
              </w:rPr>
              <w:t>信息网络及软件购置更新工作完成情况A2-1</w:t>
            </w:r>
          </w:p>
        </w:tc>
        <w:tc>
          <w:tcPr>
            <w:tcW w:w="528" w:type="pct"/>
            <w:shd w:val="clear" w:color="auto" w:fill="auto"/>
            <w:vAlign w:val="center"/>
          </w:tcPr>
          <w:p>
            <w:pPr>
              <w:jc w:val="center"/>
              <w:rPr>
                <w:kern w:val="0"/>
                <w:sz w:val="24"/>
                <w:szCs w:val="24"/>
              </w:rPr>
            </w:pPr>
            <w:r>
              <w:rPr>
                <w:rFonts w:hint="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sz w:val="24"/>
                <w:szCs w:val="24"/>
              </w:rPr>
            </w:pPr>
          </w:p>
        </w:tc>
        <w:tc>
          <w:tcPr>
            <w:tcW w:w="1069" w:type="pct"/>
            <w:vMerge w:val="continue"/>
            <w:shd w:val="clear" w:color="auto" w:fill="auto"/>
            <w:vAlign w:val="center"/>
          </w:tcPr>
          <w:p>
            <w:pPr>
              <w:jc w:val="center"/>
              <w:rPr>
                <w:sz w:val="24"/>
                <w:szCs w:val="24"/>
              </w:rPr>
            </w:pPr>
          </w:p>
        </w:tc>
        <w:tc>
          <w:tcPr>
            <w:tcW w:w="2608" w:type="pct"/>
            <w:shd w:val="clear" w:color="auto" w:fill="auto"/>
            <w:vAlign w:val="center"/>
          </w:tcPr>
          <w:p>
            <w:pPr>
              <w:rPr>
                <w:kern w:val="0"/>
                <w:sz w:val="24"/>
                <w:szCs w:val="24"/>
              </w:rPr>
            </w:pPr>
            <w:r>
              <w:rPr>
                <w:rFonts w:hint="eastAsia"/>
                <w:kern w:val="0"/>
                <w:sz w:val="24"/>
                <w:szCs w:val="24"/>
              </w:rPr>
              <w:t>房屋建筑物修缮工作完成情况A2-2</w:t>
            </w:r>
          </w:p>
        </w:tc>
        <w:tc>
          <w:tcPr>
            <w:tcW w:w="528" w:type="pct"/>
            <w:shd w:val="clear" w:color="auto" w:fill="auto"/>
            <w:vAlign w:val="center"/>
          </w:tcPr>
          <w:p>
            <w:pPr>
              <w:jc w:val="center"/>
              <w:rPr>
                <w:kern w:val="0"/>
                <w:sz w:val="24"/>
                <w:szCs w:val="24"/>
              </w:rPr>
            </w:pPr>
            <w:r>
              <w:rPr>
                <w:rFonts w:hint="eastAsia"/>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shd w:val="clear" w:color="auto" w:fill="auto"/>
            <w:vAlign w:val="center"/>
          </w:tcPr>
          <w:p>
            <w:pPr>
              <w:jc w:val="center"/>
              <w:rPr>
                <w:kern w:val="0"/>
                <w:sz w:val="24"/>
                <w:szCs w:val="24"/>
              </w:rPr>
            </w:pPr>
            <w:r>
              <w:rPr>
                <w:rFonts w:hint="eastAsia"/>
                <w:kern w:val="0"/>
                <w:sz w:val="24"/>
                <w:szCs w:val="24"/>
              </w:rPr>
              <w:t>核心业务A3(</w:t>
            </w:r>
            <w:r>
              <w:rPr>
                <w:rFonts w:hint="eastAsia"/>
                <w:kern w:val="0"/>
                <w:sz w:val="24"/>
                <w:szCs w:val="24"/>
                <w:lang w:val="en-US" w:eastAsia="zh-CN"/>
              </w:rPr>
              <w:t>24</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住房公积金缴存额增长率A3-1</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住房公积金个人贷款增长率A3-2</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住房公积金贷款风险准备金提取率A3-3</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公积金增值收益增值率A3-4</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住房公积金个贷率A3-5</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住房公积金个人贷款逾期率A3-6</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shd w:val="clear" w:color="auto" w:fill="auto"/>
            <w:vAlign w:val="center"/>
          </w:tcPr>
          <w:p>
            <w:pPr>
              <w:jc w:val="center"/>
              <w:rPr>
                <w:kern w:val="0"/>
                <w:sz w:val="24"/>
                <w:szCs w:val="24"/>
              </w:rPr>
            </w:pPr>
            <w:r>
              <w:rPr>
                <w:rFonts w:hint="eastAsia"/>
                <w:kern w:val="0"/>
                <w:sz w:val="24"/>
                <w:szCs w:val="24"/>
              </w:rPr>
              <w:t>基础管理A4(</w:t>
            </w:r>
            <w:r>
              <w:rPr>
                <w:rFonts w:hint="eastAsia"/>
                <w:kern w:val="0"/>
                <w:sz w:val="24"/>
                <w:szCs w:val="24"/>
                <w:lang w:val="en-US" w:eastAsia="zh-CN"/>
              </w:rPr>
              <w:t>7</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依法行政A4-1</w:t>
            </w:r>
          </w:p>
        </w:tc>
        <w:tc>
          <w:tcPr>
            <w:tcW w:w="528" w:type="pct"/>
            <w:shd w:val="clear" w:color="auto" w:fill="auto"/>
            <w:vAlign w:val="center"/>
          </w:tcPr>
          <w:p>
            <w:pPr>
              <w:jc w:val="center"/>
              <w:rPr>
                <w:kern w:val="0"/>
                <w:sz w:val="24"/>
                <w:szCs w:val="24"/>
              </w:rPr>
            </w:pPr>
            <w:r>
              <w:rPr>
                <w:rFonts w:hint="eastAsia"/>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管理制度健全性A4-2</w:t>
            </w:r>
          </w:p>
        </w:tc>
        <w:tc>
          <w:tcPr>
            <w:tcW w:w="528" w:type="pct"/>
            <w:shd w:val="clear" w:color="auto" w:fill="auto"/>
            <w:vAlign w:val="center"/>
          </w:tcPr>
          <w:p>
            <w:pPr>
              <w:jc w:val="center"/>
              <w:rPr>
                <w:kern w:val="0"/>
                <w:sz w:val="24"/>
                <w:szCs w:val="24"/>
              </w:rPr>
            </w:pPr>
            <w:r>
              <w:rPr>
                <w:rFonts w:hint="eastAsia"/>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制度执行有效性A4-3</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restart"/>
            <w:shd w:val="clear" w:color="auto" w:fill="auto"/>
            <w:vAlign w:val="center"/>
          </w:tcPr>
          <w:p>
            <w:pPr>
              <w:jc w:val="center"/>
              <w:rPr>
                <w:kern w:val="0"/>
                <w:sz w:val="24"/>
                <w:szCs w:val="24"/>
              </w:rPr>
            </w:pPr>
            <w:r>
              <w:rPr>
                <w:rFonts w:hint="eastAsia"/>
                <w:kern w:val="0"/>
                <w:sz w:val="24"/>
                <w:szCs w:val="24"/>
              </w:rPr>
              <w:t>管理效率</w:t>
            </w:r>
          </w:p>
          <w:p>
            <w:pPr>
              <w:jc w:val="center"/>
              <w:rPr>
                <w:kern w:val="0"/>
                <w:sz w:val="24"/>
                <w:szCs w:val="24"/>
              </w:rPr>
            </w:pPr>
            <w:r>
              <w:rPr>
                <w:rFonts w:hint="eastAsia"/>
                <w:kern w:val="0"/>
                <w:sz w:val="24"/>
                <w:szCs w:val="24"/>
              </w:rPr>
              <w:t>B（30）</w:t>
            </w:r>
          </w:p>
        </w:tc>
        <w:tc>
          <w:tcPr>
            <w:tcW w:w="1069" w:type="pct"/>
            <w:vMerge w:val="restart"/>
            <w:shd w:val="clear" w:color="auto" w:fill="auto"/>
            <w:vAlign w:val="center"/>
          </w:tcPr>
          <w:p>
            <w:pPr>
              <w:jc w:val="center"/>
              <w:rPr>
                <w:kern w:val="0"/>
                <w:sz w:val="24"/>
                <w:szCs w:val="24"/>
              </w:rPr>
            </w:pPr>
            <w:r>
              <w:rPr>
                <w:rFonts w:hint="eastAsia"/>
                <w:kern w:val="0"/>
                <w:sz w:val="24"/>
                <w:szCs w:val="24"/>
              </w:rPr>
              <w:t>预算管理B1(</w:t>
            </w:r>
            <w:r>
              <w:rPr>
                <w:rFonts w:hint="eastAsia"/>
                <w:kern w:val="0"/>
                <w:sz w:val="24"/>
                <w:szCs w:val="24"/>
                <w:lang w:val="en-US" w:eastAsia="zh-CN"/>
              </w:rPr>
              <w:t>16</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预算编制管理B1-1</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预算执行管理B1-2</w:t>
            </w:r>
          </w:p>
        </w:tc>
        <w:tc>
          <w:tcPr>
            <w:tcW w:w="528" w:type="pct"/>
            <w:shd w:val="clear" w:color="auto" w:fill="auto"/>
            <w:vAlign w:val="center"/>
          </w:tcPr>
          <w:p>
            <w:pPr>
              <w:jc w:val="center"/>
              <w:rPr>
                <w:kern w:val="0"/>
                <w:sz w:val="24"/>
                <w:szCs w:val="24"/>
              </w:rPr>
            </w:pPr>
            <w:r>
              <w:rPr>
                <w:rFonts w:hint="eastAsia"/>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预算监督管理B1-3</w:t>
            </w:r>
          </w:p>
        </w:tc>
        <w:tc>
          <w:tcPr>
            <w:tcW w:w="528" w:type="pct"/>
            <w:shd w:val="clear" w:color="auto" w:fill="auto"/>
            <w:vAlign w:val="center"/>
          </w:tcPr>
          <w:p>
            <w:pPr>
              <w:jc w:val="center"/>
              <w:rPr>
                <w:kern w:val="0"/>
                <w:sz w:val="24"/>
                <w:szCs w:val="24"/>
              </w:rPr>
            </w:pPr>
            <w:r>
              <w:rPr>
                <w:rFonts w:hint="eastAsia"/>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预算绩效管理B1-4</w:t>
            </w:r>
          </w:p>
        </w:tc>
        <w:tc>
          <w:tcPr>
            <w:tcW w:w="528" w:type="pct"/>
            <w:shd w:val="clear" w:color="auto" w:fill="auto"/>
            <w:vAlign w:val="center"/>
          </w:tcPr>
          <w:p>
            <w:pPr>
              <w:jc w:val="center"/>
              <w:rPr>
                <w:rFonts w:hint="eastAsia" w:eastAsia="仿宋"/>
                <w:kern w:val="0"/>
                <w:sz w:val="24"/>
                <w:szCs w:val="24"/>
                <w:lang w:eastAsia="zh-CN"/>
              </w:rPr>
            </w:pPr>
            <w:r>
              <w:rPr>
                <w:rFonts w:hint="eastAsia"/>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shd w:val="clear" w:color="auto" w:fill="auto"/>
            <w:vAlign w:val="center"/>
          </w:tcPr>
          <w:p>
            <w:pPr>
              <w:jc w:val="center"/>
              <w:rPr>
                <w:kern w:val="0"/>
                <w:sz w:val="24"/>
                <w:szCs w:val="24"/>
              </w:rPr>
            </w:pPr>
            <w:r>
              <w:rPr>
                <w:rFonts w:hint="eastAsia"/>
                <w:kern w:val="0"/>
                <w:sz w:val="24"/>
                <w:szCs w:val="24"/>
              </w:rPr>
              <w:t>财务管理B2(</w:t>
            </w:r>
            <w:r>
              <w:rPr>
                <w:rFonts w:hint="eastAsia"/>
                <w:kern w:val="0"/>
                <w:sz w:val="24"/>
                <w:szCs w:val="24"/>
                <w:lang w:val="en-US" w:eastAsia="zh-CN"/>
              </w:rPr>
              <w:t>6</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财务管理规范性B2-1</w:t>
            </w:r>
          </w:p>
        </w:tc>
        <w:tc>
          <w:tcPr>
            <w:tcW w:w="528" w:type="pct"/>
            <w:shd w:val="clear" w:color="auto" w:fill="auto"/>
            <w:vAlign w:val="center"/>
          </w:tcPr>
          <w:p>
            <w:pPr>
              <w:jc w:val="center"/>
              <w:rPr>
                <w:kern w:val="0"/>
                <w:sz w:val="24"/>
                <w:szCs w:val="24"/>
              </w:rPr>
            </w:pPr>
            <w:r>
              <w:rPr>
                <w:rFonts w:hint="eastAsia"/>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shd w:val="clear" w:color="auto" w:fill="auto"/>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财务管理有效性B2-2</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shd w:val="clear" w:color="auto" w:fill="auto"/>
            <w:vAlign w:val="center"/>
          </w:tcPr>
          <w:p>
            <w:pPr>
              <w:jc w:val="center"/>
              <w:rPr>
                <w:kern w:val="0"/>
                <w:sz w:val="24"/>
                <w:szCs w:val="24"/>
              </w:rPr>
            </w:pPr>
            <w:r>
              <w:rPr>
                <w:rFonts w:hint="eastAsia"/>
                <w:kern w:val="0"/>
                <w:sz w:val="24"/>
                <w:szCs w:val="24"/>
              </w:rPr>
              <w:t>资产管理B3(</w:t>
            </w:r>
            <w:r>
              <w:rPr>
                <w:rFonts w:hint="eastAsia"/>
                <w:kern w:val="0"/>
                <w:sz w:val="24"/>
                <w:szCs w:val="24"/>
                <w:lang w:val="en-US" w:eastAsia="zh-CN"/>
              </w:rPr>
              <w:t>6</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资产管理规范性B3-1</w:t>
            </w:r>
          </w:p>
        </w:tc>
        <w:tc>
          <w:tcPr>
            <w:tcW w:w="528" w:type="pct"/>
            <w:shd w:val="clear" w:color="auto" w:fill="auto"/>
            <w:vAlign w:val="center"/>
          </w:tcPr>
          <w:p>
            <w:pPr>
              <w:jc w:val="center"/>
              <w:rPr>
                <w:kern w:val="0"/>
                <w:sz w:val="24"/>
                <w:szCs w:val="24"/>
              </w:rPr>
            </w:pPr>
            <w:r>
              <w:rPr>
                <w:rFonts w:hint="eastAsia"/>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固定资产利用率B3-2</w:t>
            </w:r>
          </w:p>
        </w:tc>
        <w:tc>
          <w:tcPr>
            <w:tcW w:w="528" w:type="pct"/>
            <w:shd w:val="clear" w:color="auto" w:fill="auto"/>
            <w:vAlign w:val="center"/>
          </w:tcPr>
          <w:p>
            <w:pPr>
              <w:jc w:val="center"/>
              <w:rPr>
                <w:rFonts w:hint="eastAsia" w:eastAsia="仿宋"/>
                <w:kern w:val="0"/>
                <w:sz w:val="24"/>
                <w:szCs w:val="24"/>
                <w:lang w:eastAsia="zh-CN"/>
              </w:rPr>
            </w:pPr>
            <w:r>
              <w:rPr>
                <w:rFonts w:hint="eastAsia"/>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vAlign w:val="center"/>
          </w:tcPr>
          <w:p>
            <w:pPr>
              <w:jc w:val="center"/>
              <w:rPr>
                <w:kern w:val="0"/>
                <w:sz w:val="24"/>
                <w:szCs w:val="24"/>
              </w:rPr>
            </w:pPr>
            <w:r>
              <w:rPr>
                <w:rFonts w:hint="eastAsia"/>
                <w:kern w:val="0"/>
                <w:sz w:val="24"/>
                <w:szCs w:val="24"/>
              </w:rPr>
              <w:t>其他管理B4(</w:t>
            </w:r>
            <w:r>
              <w:rPr>
                <w:rFonts w:hint="eastAsia"/>
                <w:kern w:val="0"/>
                <w:sz w:val="24"/>
                <w:szCs w:val="24"/>
                <w:lang w:val="en-US" w:eastAsia="zh-CN"/>
              </w:rPr>
              <w:t>2</w:t>
            </w:r>
            <w:r>
              <w:rPr>
                <w:rFonts w:hint="eastAsia"/>
                <w:kern w:val="0"/>
                <w:sz w:val="24"/>
                <w:szCs w:val="24"/>
              </w:rPr>
              <w:t>)</w:t>
            </w:r>
          </w:p>
        </w:tc>
        <w:tc>
          <w:tcPr>
            <w:tcW w:w="2608" w:type="pct"/>
            <w:shd w:val="clear" w:color="auto" w:fill="auto"/>
            <w:vAlign w:val="center"/>
          </w:tcPr>
          <w:p>
            <w:pPr>
              <w:jc w:val="left"/>
              <w:rPr>
                <w:kern w:val="0"/>
                <w:sz w:val="24"/>
                <w:szCs w:val="24"/>
              </w:rPr>
            </w:pPr>
            <w:r>
              <w:rPr>
                <w:rFonts w:hint="eastAsia"/>
                <w:kern w:val="0"/>
                <w:sz w:val="24"/>
                <w:szCs w:val="24"/>
              </w:rPr>
              <w:t>政府采购管理B4-1</w:t>
            </w:r>
          </w:p>
        </w:tc>
        <w:tc>
          <w:tcPr>
            <w:tcW w:w="528" w:type="pct"/>
            <w:shd w:val="clear" w:color="auto" w:fill="auto"/>
            <w:vAlign w:val="center"/>
          </w:tcPr>
          <w:p>
            <w:pPr>
              <w:jc w:val="center"/>
              <w:rPr>
                <w:kern w:val="0"/>
                <w:sz w:val="24"/>
                <w:szCs w:val="24"/>
              </w:rPr>
            </w:pPr>
            <w:r>
              <w:rPr>
                <w:rFonts w:hint="eastAsia"/>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预算信息公开B4-2</w:t>
            </w:r>
          </w:p>
        </w:tc>
        <w:tc>
          <w:tcPr>
            <w:tcW w:w="528" w:type="pct"/>
            <w:shd w:val="clear" w:color="auto" w:fill="auto"/>
            <w:vAlign w:val="center"/>
          </w:tcPr>
          <w:p>
            <w:pPr>
              <w:jc w:val="center"/>
              <w:rPr>
                <w:kern w:val="0"/>
                <w:sz w:val="24"/>
                <w:szCs w:val="24"/>
              </w:rPr>
            </w:pPr>
            <w:r>
              <w:rPr>
                <w:rFonts w:hint="eastAsia"/>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restart"/>
            <w:shd w:val="clear" w:color="auto" w:fill="auto"/>
            <w:vAlign w:val="center"/>
          </w:tcPr>
          <w:p>
            <w:pPr>
              <w:jc w:val="center"/>
              <w:rPr>
                <w:kern w:val="0"/>
                <w:sz w:val="24"/>
                <w:szCs w:val="24"/>
              </w:rPr>
            </w:pPr>
            <w:r>
              <w:rPr>
                <w:rFonts w:hint="eastAsia"/>
                <w:kern w:val="0"/>
                <w:sz w:val="24"/>
                <w:szCs w:val="24"/>
              </w:rPr>
              <w:t>社会效益C(20)</w:t>
            </w:r>
          </w:p>
        </w:tc>
        <w:tc>
          <w:tcPr>
            <w:tcW w:w="1069" w:type="pct"/>
            <w:vMerge w:val="restart"/>
            <w:shd w:val="clear" w:color="auto" w:fill="auto"/>
            <w:vAlign w:val="center"/>
          </w:tcPr>
          <w:p>
            <w:pPr>
              <w:jc w:val="center"/>
              <w:rPr>
                <w:kern w:val="0"/>
                <w:sz w:val="24"/>
                <w:szCs w:val="24"/>
              </w:rPr>
            </w:pPr>
            <w:r>
              <w:rPr>
                <w:rFonts w:hint="eastAsia"/>
                <w:kern w:val="0"/>
                <w:sz w:val="24"/>
                <w:szCs w:val="24"/>
              </w:rPr>
              <w:t>经济社会影响C1(12)</w:t>
            </w:r>
          </w:p>
        </w:tc>
        <w:tc>
          <w:tcPr>
            <w:tcW w:w="2608" w:type="pct"/>
            <w:shd w:val="clear" w:color="auto" w:fill="auto"/>
            <w:vAlign w:val="center"/>
          </w:tcPr>
          <w:p>
            <w:pPr>
              <w:jc w:val="left"/>
              <w:rPr>
                <w:kern w:val="0"/>
                <w:sz w:val="24"/>
                <w:szCs w:val="24"/>
              </w:rPr>
            </w:pPr>
            <w:r>
              <w:rPr>
                <w:rFonts w:hint="eastAsia"/>
                <w:kern w:val="0"/>
                <w:sz w:val="24"/>
                <w:szCs w:val="24"/>
              </w:rPr>
              <w:t>提高便民服务程度C1-1</w:t>
            </w:r>
          </w:p>
        </w:tc>
        <w:tc>
          <w:tcPr>
            <w:tcW w:w="528" w:type="pct"/>
            <w:shd w:val="clear" w:color="auto" w:fill="auto"/>
            <w:vAlign w:val="center"/>
          </w:tcPr>
          <w:p>
            <w:pPr>
              <w:jc w:val="center"/>
              <w:rPr>
                <w:kern w:val="0"/>
                <w:sz w:val="24"/>
                <w:szCs w:val="24"/>
              </w:rPr>
            </w:pPr>
            <w:r>
              <w:rPr>
                <w:rFonts w:hint="eastAsia"/>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支持居民住房贷款需求C1-2</w:t>
            </w:r>
          </w:p>
        </w:tc>
        <w:tc>
          <w:tcPr>
            <w:tcW w:w="528" w:type="pct"/>
            <w:shd w:val="clear" w:color="auto" w:fill="auto"/>
            <w:vAlign w:val="center"/>
          </w:tcPr>
          <w:p>
            <w:pPr>
              <w:jc w:val="center"/>
              <w:rPr>
                <w:kern w:val="0"/>
                <w:sz w:val="24"/>
                <w:szCs w:val="24"/>
              </w:rPr>
            </w:pPr>
            <w:r>
              <w:rPr>
                <w:rFonts w:hint="eastAsia"/>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restart"/>
            <w:vAlign w:val="center"/>
          </w:tcPr>
          <w:p>
            <w:pPr>
              <w:jc w:val="center"/>
              <w:rPr>
                <w:kern w:val="0"/>
                <w:sz w:val="24"/>
                <w:szCs w:val="24"/>
              </w:rPr>
            </w:pPr>
            <w:r>
              <w:rPr>
                <w:rFonts w:hint="eastAsia"/>
                <w:kern w:val="0"/>
                <w:sz w:val="24"/>
                <w:szCs w:val="24"/>
              </w:rPr>
              <w:t>社会满意C2(8)</w:t>
            </w:r>
          </w:p>
        </w:tc>
        <w:tc>
          <w:tcPr>
            <w:tcW w:w="2608" w:type="pct"/>
            <w:shd w:val="clear" w:color="auto" w:fill="auto"/>
            <w:vAlign w:val="center"/>
          </w:tcPr>
          <w:p>
            <w:pPr>
              <w:jc w:val="left"/>
              <w:rPr>
                <w:kern w:val="0"/>
                <w:sz w:val="24"/>
                <w:szCs w:val="24"/>
              </w:rPr>
            </w:pPr>
            <w:r>
              <w:rPr>
                <w:rFonts w:hint="eastAsia"/>
                <w:kern w:val="0"/>
                <w:sz w:val="24"/>
                <w:szCs w:val="24"/>
              </w:rPr>
              <w:t>服务对象满意度C2-1</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Merge w:val="continue"/>
            <w:vAlign w:val="center"/>
          </w:tcPr>
          <w:p>
            <w:pPr>
              <w:jc w:val="center"/>
              <w:rPr>
                <w:kern w:val="0"/>
                <w:sz w:val="24"/>
                <w:szCs w:val="24"/>
              </w:rPr>
            </w:pPr>
          </w:p>
        </w:tc>
        <w:tc>
          <w:tcPr>
            <w:tcW w:w="2608" w:type="pct"/>
            <w:shd w:val="clear" w:color="auto" w:fill="auto"/>
            <w:vAlign w:val="center"/>
          </w:tcPr>
          <w:p>
            <w:pPr>
              <w:jc w:val="left"/>
              <w:rPr>
                <w:kern w:val="0"/>
                <w:sz w:val="24"/>
                <w:szCs w:val="24"/>
              </w:rPr>
            </w:pPr>
            <w:r>
              <w:rPr>
                <w:rFonts w:hint="eastAsia"/>
                <w:kern w:val="0"/>
                <w:sz w:val="24"/>
                <w:szCs w:val="24"/>
              </w:rPr>
              <w:t>管理对象满意度C2-2</w:t>
            </w:r>
          </w:p>
        </w:tc>
        <w:tc>
          <w:tcPr>
            <w:tcW w:w="528" w:type="pct"/>
            <w:shd w:val="clear" w:color="auto" w:fill="auto"/>
            <w:vAlign w:val="center"/>
          </w:tcPr>
          <w:p>
            <w:pPr>
              <w:jc w:val="center"/>
              <w:rPr>
                <w:kern w:val="0"/>
                <w:sz w:val="24"/>
                <w:szCs w:val="24"/>
              </w:rPr>
            </w:pPr>
            <w:r>
              <w:rPr>
                <w:rFonts w:hint="eastAsia"/>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restart"/>
            <w:shd w:val="clear" w:color="auto" w:fill="auto"/>
            <w:vAlign w:val="center"/>
          </w:tcPr>
          <w:p>
            <w:pPr>
              <w:jc w:val="center"/>
              <w:rPr>
                <w:kern w:val="0"/>
                <w:sz w:val="24"/>
                <w:szCs w:val="24"/>
              </w:rPr>
            </w:pPr>
            <w:r>
              <w:rPr>
                <w:rFonts w:hint="eastAsia"/>
                <w:kern w:val="0"/>
                <w:sz w:val="24"/>
                <w:szCs w:val="24"/>
              </w:rPr>
              <w:t>可持续性D(10)</w:t>
            </w:r>
          </w:p>
        </w:tc>
        <w:tc>
          <w:tcPr>
            <w:tcW w:w="1069" w:type="pct"/>
            <w:shd w:val="clear" w:color="auto" w:fill="auto"/>
            <w:vAlign w:val="center"/>
          </w:tcPr>
          <w:p>
            <w:pPr>
              <w:jc w:val="center"/>
              <w:rPr>
                <w:kern w:val="0"/>
                <w:sz w:val="24"/>
                <w:szCs w:val="24"/>
              </w:rPr>
            </w:pPr>
            <w:r>
              <w:rPr>
                <w:rFonts w:hint="eastAsia"/>
                <w:kern w:val="0"/>
                <w:sz w:val="24"/>
                <w:szCs w:val="24"/>
              </w:rPr>
              <w:t>体制机制改革D1(5)</w:t>
            </w:r>
          </w:p>
        </w:tc>
        <w:tc>
          <w:tcPr>
            <w:tcW w:w="2608" w:type="pct"/>
            <w:shd w:val="clear" w:color="auto" w:fill="auto"/>
            <w:vAlign w:val="center"/>
          </w:tcPr>
          <w:p>
            <w:pPr>
              <w:jc w:val="left"/>
              <w:rPr>
                <w:kern w:val="0"/>
                <w:sz w:val="24"/>
                <w:szCs w:val="24"/>
              </w:rPr>
            </w:pPr>
            <w:r>
              <w:rPr>
                <w:rFonts w:hint="eastAsia"/>
                <w:kern w:val="0"/>
                <w:sz w:val="24"/>
                <w:szCs w:val="24"/>
              </w:rPr>
              <w:t>信息化建设工作有效性D1-1</w:t>
            </w:r>
          </w:p>
        </w:tc>
        <w:tc>
          <w:tcPr>
            <w:tcW w:w="528" w:type="pct"/>
            <w:shd w:val="clear" w:color="auto" w:fill="auto"/>
            <w:vAlign w:val="center"/>
          </w:tcPr>
          <w:p>
            <w:pPr>
              <w:jc w:val="center"/>
              <w:rPr>
                <w:kern w:val="0"/>
                <w:sz w:val="24"/>
                <w:szCs w:val="24"/>
              </w:rPr>
            </w:pPr>
            <w:r>
              <w:rPr>
                <w:rFonts w:hint="eastAsia"/>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pct"/>
            <w:vMerge w:val="continue"/>
            <w:vAlign w:val="center"/>
          </w:tcPr>
          <w:p>
            <w:pPr>
              <w:jc w:val="center"/>
              <w:rPr>
                <w:kern w:val="0"/>
                <w:sz w:val="24"/>
                <w:szCs w:val="24"/>
              </w:rPr>
            </w:pPr>
          </w:p>
        </w:tc>
        <w:tc>
          <w:tcPr>
            <w:tcW w:w="1069" w:type="pct"/>
            <w:vAlign w:val="center"/>
          </w:tcPr>
          <w:p>
            <w:pPr>
              <w:jc w:val="center"/>
              <w:rPr>
                <w:kern w:val="0"/>
                <w:sz w:val="24"/>
                <w:szCs w:val="24"/>
              </w:rPr>
            </w:pPr>
            <w:r>
              <w:rPr>
                <w:rFonts w:hint="eastAsia"/>
                <w:kern w:val="0"/>
                <w:sz w:val="24"/>
                <w:szCs w:val="24"/>
              </w:rPr>
              <w:t>干部队伍建设D2(5)</w:t>
            </w:r>
          </w:p>
        </w:tc>
        <w:tc>
          <w:tcPr>
            <w:tcW w:w="2608" w:type="pct"/>
            <w:shd w:val="clear" w:color="auto" w:fill="auto"/>
            <w:vAlign w:val="center"/>
          </w:tcPr>
          <w:p>
            <w:pPr>
              <w:jc w:val="left"/>
              <w:rPr>
                <w:kern w:val="0"/>
                <w:sz w:val="24"/>
                <w:szCs w:val="24"/>
              </w:rPr>
            </w:pPr>
            <w:r>
              <w:rPr>
                <w:rFonts w:hint="eastAsia"/>
                <w:kern w:val="0"/>
                <w:sz w:val="24"/>
                <w:szCs w:val="24"/>
              </w:rPr>
              <w:t>人力资源建设保障程度D2-1</w:t>
            </w:r>
          </w:p>
        </w:tc>
        <w:tc>
          <w:tcPr>
            <w:tcW w:w="528" w:type="pct"/>
            <w:shd w:val="clear" w:color="auto" w:fill="auto"/>
            <w:vAlign w:val="center"/>
          </w:tcPr>
          <w:p>
            <w:pPr>
              <w:jc w:val="center"/>
              <w:rPr>
                <w:kern w:val="0"/>
                <w:sz w:val="24"/>
                <w:szCs w:val="24"/>
              </w:rPr>
            </w:pPr>
            <w:r>
              <w:rPr>
                <w:rFonts w:hint="eastAsia"/>
                <w:kern w:val="0"/>
                <w:sz w:val="24"/>
                <w:szCs w:val="24"/>
              </w:rPr>
              <w:t>5</w:t>
            </w:r>
          </w:p>
        </w:tc>
      </w:tr>
    </w:tbl>
    <w:p>
      <w:pPr>
        <w:pStyle w:val="3"/>
        <w:spacing w:before="0" w:after="0" w:line="560" w:lineRule="exact"/>
        <w:ind w:firstLine="562" w:firstLineChars="200"/>
        <w:rPr>
          <w:rFonts w:ascii="仿宋" w:hAnsi="仿宋" w:eastAsia="仿宋"/>
          <w:sz w:val="28"/>
        </w:rPr>
      </w:pPr>
      <w:bookmarkStart w:id="218" w:name="_Toc8634"/>
      <w:r>
        <w:rPr>
          <w:rFonts w:hint="eastAsia" w:ascii="仿宋" w:hAnsi="仿宋" w:eastAsia="仿宋"/>
          <w:sz w:val="28"/>
        </w:rPr>
        <w:t>（六）绩效评价工作组及人员分工</w:t>
      </w:r>
      <w:bookmarkEnd w:id="218"/>
    </w:p>
    <w:p>
      <w:pPr>
        <w:widowControl w:val="0"/>
        <w:spacing w:line="560" w:lineRule="exact"/>
        <w:ind w:firstLine="560" w:firstLineChars="200"/>
        <w:rPr>
          <w:color w:val="000000"/>
        </w:rPr>
      </w:pPr>
      <w:r>
        <w:rPr>
          <w:rFonts w:hint="eastAsia"/>
          <w:color w:val="000000"/>
        </w:rPr>
        <w:t>项目组分为领导组和工作组。领导组主要负责评价方案的制定，评价人员的组织培训、实施过程的组织协调和督导、报告的复核等。具体人员及分工见下表：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031"/>
        <w:gridCol w:w="1543"/>
        <w:gridCol w:w="1631"/>
        <w:gridCol w:w="3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47" w:type="pct"/>
            <w:vAlign w:val="center"/>
          </w:tcPr>
          <w:p>
            <w:pPr>
              <w:jc w:val="left"/>
              <w:rPr>
                <w:rFonts w:cs="宋体"/>
                <w:kern w:val="0"/>
                <w:sz w:val="24"/>
                <w:szCs w:val="24"/>
              </w:rPr>
            </w:pPr>
            <w:r>
              <w:rPr>
                <w:rFonts w:hint="eastAsia" w:cs="宋体"/>
                <w:kern w:val="0"/>
                <w:sz w:val="24"/>
                <w:szCs w:val="24"/>
              </w:rPr>
              <w:t>　项目</w:t>
            </w:r>
          </w:p>
        </w:tc>
        <w:tc>
          <w:tcPr>
            <w:tcW w:w="591" w:type="pct"/>
            <w:vAlign w:val="center"/>
          </w:tcPr>
          <w:p>
            <w:pPr>
              <w:jc w:val="center"/>
              <w:rPr>
                <w:rFonts w:cs="宋体"/>
                <w:kern w:val="0"/>
                <w:sz w:val="24"/>
                <w:szCs w:val="24"/>
              </w:rPr>
            </w:pPr>
            <w:r>
              <w:rPr>
                <w:rFonts w:hint="eastAsia" w:cs="宋体"/>
                <w:kern w:val="0"/>
                <w:sz w:val="24"/>
                <w:szCs w:val="24"/>
              </w:rPr>
              <w:t>姓名</w:t>
            </w:r>
          </w:p>
        </w:tc>
        <w:tc>
          <w:tcPr>
            <w:tcW w:w="885" w:type="pct"/>
            <w:vAlign w:val="center"/>
          </w:tcPr>
          <w:p>
            <w:pPr>
              <w:jc w:val="center"/>
              <w:rPr>
                <w:rFonts w:cs="宋体"/>
                <w:kern w:val="0"/>
                <w:sz w:val="24"/>
                <w:szCs w:val="24"/>
              </w:rPr>
            </w:pPr>
            <w:r>
              <w:rPr>
                <w:rFonts w:hint="eastAsia" w:cs="宋体"/>
                <w:kern w:val="0"/>
                <w:sz w:val="24"/>
                <w:szCs w:val="24"/>
              </w:rPr>
              <w:t>职务</w:t>
            </w:r>
          </w:p>
        </w:tc>
        <w:tc>
          <w:tcPr>
            <w:tcW w:w="935" w:type="pct"/>
            <w:vAlign w:val="center"/>
          </w:tcPr>
          <w:p>
            <w:pPr>
              <w:jc w:val="center"/>
              <w:rPr>
                <w:rFonts w:cs="宋体"/>
                <w:kern w:val="0"/>
                <w:sz w:val="24"/>
                <w:szCs w:val="24"/>
              </w:rPr>
            </w:pPr>
            <w:r>
              <w:rPr>
                <w:rFonts w:hint="eastAsia" w:cs="宋体"/>
                <w:kern w:val="0"/>
                <w:sz w:val="24"/>
                <w:szCs w:val="24"/>
              </w:rPr>
              <w:t>职称</w:t>
            </w:r>
          </w:p>
        </w:tc>
        <w:tc>
          <w:tcPr>
            <w:tcW w:w="1943" w:type="pct"/>
            <w:vAlign w:val="center"/>
          </w:tcPr>
          <w:p>
            <w:pPr>
              <w:jc w:val="center"/>
              <w:rPr>
                <w:rFonts w:cs="宋体"/>
                <w:kern w:val="0"/>
                <w:sz w:val="24"/>
                <w:szCs w:val="24"/>
              </w:rPr>
            </w:pPr>
            <w:r>
              <w:rPr>
                <w:rFonts w:hint="eastAsia" w:cs="宋体"/>
                <w:kern w:val="0"/>
                <w:sz w:val="24"/>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pPr>
              <w:jc w:val="center"/>
              <w:rPr>
                <w:rFonts w:cs="宋体"/>
                <w:kern w:val="0"/>
                <w:sz w:val="24"/>
                <w:szCs w:val="24"/>
              </w:rPr>
            </w:pPr>
            <w:r>
              <w:rPr>
                <w:rFonts w:hint="eastAsia" w:cs="宋体"/>
                <w:kern w:val="0"/>
                <w:sz w:val="24"/>
                <w:szCs w:val="24"/>
              </w:rPr>
              <w:t>组长/主评人</w:t>
            </w:r>
          </w:p>
        </w:tc>
        <w:tc>
          <w:tcPr>
            <w:tcW w:w="591" w:type="pct"/>
            <w:vAlign w:val="center"/>
          </w:tcPr>
          <w:p>
            <w:pPr>
              <w:jc w:val="left"/>
              <w:rPr>
                <w:rFonts w:cs="宋体"/>
                <w:kern w:val="0"/>
                <w:sz w:val="24"/>
                <w:szCs w:val="24"/>
              </w:rPr>
            </w:pPr>
            <w:r>
              <w:rPr>
                <w:rFonts w:hint="eastAsia" w:cs="宋体"/>
                <w:kern w:val="0"/>
                <w:sz w:val="24"/>
                <w:szCs w:val="24"/>
              </w:rPr>
              <w:t>李建岭</w:t>
            </w:r>
          </w:p>
        </w:tc>
        <w:tc>
          <w:tcPr>
            <w:tcW w:w="885" w:type="pct"/>
            <w:vAlign w:val="center"/>
          </w:tcPr>
          <w:p>
            <w:pPr>
              <w:jc w:val="left"/>
              <w:rPr>
                <w:rFonts w:cs="宋体"/>
                <w:kern w:val="0"/>
                <w:sz w:val="24"/>
                <w:szCs w:val="24"/>
              </w:rPr>
            </w:pPr>
            <w:r>
              <w:rPr>
                <w:rFonts w:hint="eastAsia" w:cs="宋体"/>
                <w:kern w:val="0"/>
                <w:sz w:val="24"/>
                <w:szCs w:val="24"/>
              </w:rPr>
              <w:t>事务所所长</w:t>
            </w:r>
          </w:p>
        </w:tc>
        <w:tc>
          <w:tcPr>
            <w:tcW w:w="935" w:type="pct"/>
            <w:vAlign w:val="center"/>
          </w:tcPr>
          <w:p>
            <w:pPr>
              <w:jc w:val="center"/>
              <w:rPr>
                <w:rFonts w:cs="宋体"/>
                <w:kern w:val="0"/>
                <w:sz w:val="24"/>
                <w:szCs w:val="24"/>
              </w:rPr>
            </w:pPr>
            <w:r>
              <w:rPr>
                <w:rFonts w:hint="eastAsia" w:cs="宋体"/>
                <w:kern w:val="0"/>
                <w:sz w:val="24"/>
                <w:szCs w:val="24"/>
              </w:rPr>
              <w:t>注册会计师</w:t>
            </w:r>
          </w:p>
        </w:tc>
        <w:tc>
          <w:tcPr>
            <w:tcW w:w="1943" w:type="pct"/>
            <w:vAlign w:val="center"/>
          </w:tcPr>
          <w:p>
            <w:pPr>
              <w:jc w:val="left"/>
              <w:rPr>
                <w:rFonts w:cs="宋体"/>
                <w:kern w:val="0"/>
                <w:sz w:val="24"/>
                <w:szCs w:val="24"/>
              </w:rPr>
            </w:pPr>
            <w:r>
              <w:rPr>
                <w:rFonts w:hint="eastAsia" w:cs="宋体"/>
                <w:kern w:val="0"/>
                <w:sz w:val="24"/>
                <w:szCs w:val="24"/>
              </w:rPr>
              <w:t>负责统筹协调，对主要绩效评价指标及评价情况进行复核。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pPr>
              <w:jc w:val="center"/>
              <w:rPr>
                <w:rFonts w:cs="宋体"/>
                <w:kern w:val="0"/>
                <w:sz w:val="24"/>
                <w:szCs w:val="24"/>
              </w:rPr>
            </w:pPr>
            <w:r>
              <w:rPr>
                <w:rFonts w:hint="eastAsia" w:cs="宋体"/>
                <w:kern w:val="0"/>
                <w:sz w:val="24"/>
                <w:szCs w:val="24"/>
              </w:rPr>
              <w:t>副组长</w:t>
            </w:r>
          </w:p>
        </w:tc>
        <w:tc>
          <w:tcPr>
            <w:tcW w:w="591" w:type="pct"/>
            <w:vAlign w:val="center"/>
          </w:tcPr>
          <w:p>
            <w:pPr>
              <w:jc w:val="left"/>
              <w:rPr>
                <w:rFonts w:cs="宋体"/>
                <w:kern w:val="0"/>
                <w:sz w:val="24"/>
                <w:szCs w:val="24"/>
              </w:rPr>
            </w:pPr>
            <w:r>
              <w:rPr>
                <w:rFonts w:hint="eastAsia" w:cs="宋体"/>
                <w:kern w:val="0"/>
                <w:sz w:val="24"/>
                <w:szCs w:val="24"/>
              </w:rPr>
              <w:t>杨霞</w:t>
            </w:r>
          </w:p>
        </w:tc>
        <w:tc>
          <w:tcPr>
            <w:tcW w:w="885" w:type="pct"/>
            <w:vAlign w:val="center"/>
          </w:tcPr>
          <w:p>
            <w:pPr>
              <w:jc w:val="left"/>
              <w:rPr>
                <w:rFonts w:cs="宋体"/>
                <w:kern w:val="0"/>
                <w:sz w:val="24"/>
                <w:szCs w:val="24"/>
              </w:rPr>
            </w:pPr>
            <w:r>
              <w:rPr>
                <w:rFonts w:hint="eastAsia" w:cs="宋体"/>
                <w:kern w:val="0"/>
                <w:sz w:val="24"/>
                <w:szCs w:val="24"/>
              </w:rPr>
              <w:t>事务所副所长</w:t>
            </w:r>
          </w:p>
        </w:tc>
        <w:tc>
          <w:tcPr>
            <w:tcW w:w="935" w:type="pct"/>
            <w:vAlign w:val="center"/>
          </w:tcPr>
          <w:p>
            <w:pPr>
              <w:jc w:val="left"/>
              <w:rPr>
                <w:rFonts w:cs="宋体"/>
                <w:kern w:val="0"/>
                <w:sz w:val="24"/>
                <w:szCs w:val="24"/>
              </w:rPr>
            </w:pPr>
            <w:r>
              <w:rPr>
                <w:rFonts w:hint="eastAsia" w:cs="宋体"/>
                <w:kern w:val="0"/>
                <w:sz w:val="24"/>
                <w:szCs w:val="24"/>
              </w:rPr>
              <w:t>注册会计师、注册评估师</w:t>
            </w:r>
          </w:p>
        </w:tc>
        <w:tc>
          <w:tcPr>
            <w:tcW w:w="1943" w:type="pct"/>
            <w:vAlign w:val="center"/>
          </w:tcPr>
          <w:p>
            <w:pPr>
              <w:jc w:val="left"/>
              <w:rPr>
                <w:rFonts w:cs="宋体"/>
                <w:kern w:val="0"/>
                <w:sz w:val="24"/>
                <w:szCs w:val="24"/>
              </w:rPr>
            </w:pPr>
            <w:r>
              <w:rPr>
                <w:rFonts w:hint="eastAsia" w:cs="宋体"/>
                <w:kern w:val="0"/>
                <w:sz w:val="24"/>
                <w:szCs w:val="24"/>
              </w:rPr>
              <w:t>负责绩效评价项目的组织实施、报告复核，对绩效评价工作质量负责</w:t>
            </w:r>
          </w:p>
        </w:tc>
      </w:tr>
    </w:tbl>
    <w:p>
      <w:pPr>
        <w:spacing w:line="560" w:lineRule="exact"/>
        <w:ind w:firstLine="560" w:firstLineChars="200"/>
        <w:rPr>
          <w:color w:val="000000"/>
        </w:rPr>
      </w:pPr>
      <w:r>
        <w:rPr>
          <w:rFonts w:hint="eastAsia"/>
          <w:color w:val="000000"/>
        </w:rPr>
        <w:t>工作组主要负责现场检查及报告编写，包括收集部门的制度文件、业务开展资料、检查财务资料，开展问卷调查等工作。具体人员及分工见下表：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77"/>
        <w:gridCol w:w="1306"/>
        <w:gridCol w:w="1697"/>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7" w:type="pct"/>
            <w:vAlign w:val="center"/>
          </w:tcPr>
          <w:p>
            <w:pPr>
              <w:jc w:val="left"/>
              <w:rPr>
                <w:rFonts w:cs="宋体"/>
                <w:kern w:val="0"/>
                <w:sz w:val="24"/>
                <w:szCs w:val="24"/>
              </w:rPr>
            </w:pPr>
            <w:r>
              <w:rPr>
                <w:rFonts w:hint="eastAsia" w:cs="宋体"/>
                <w:kern w:val="0"/>
                <w:sz w:val="24"/>
                <w:szCs w:val="24"/>
              </w:rPr>
              <w:t>　项目</w:t>
            </w:r>
          </w:p>
        </w:tc>
        <w:tc>
          <w:tcPr>
            <w:tcW w:w="675" w:type="pct"/>
            <w:vAlign w:val="center"/>
          </w:tcPr>
          <w:p>
            <w:pPr>
              <w:jc w:val="center"/>
              <w:rPr>
                <w:rFonts w:cs="宋体"/>
                <w:kern w:val="0"/>
                <w:sz w:val="24"/>
                <w:szCs w:val="24"/>
              </w:rPr>
            </w:pPr>
            <w:r>
              <w:rPr>
                <w:rFonts w:hint="eastAsia" w:cs="宋体"/>
                <w:kern w:val="0"/>
                <w:sz w:val="24"/>
                <w:szCs w:val="24"/>
              </w:rPr>
              <w:t>姓名</w:t>
            </w:r>
          </w:p>
        </w:tc>
        <w:tc>
          <w:tcPr>
            <w:tcW w:w="749" w:type="pct"/>
            <w:vAlign w:val="center"/>
          </w:tcPr>
          <w:p>
            <w:pPr>
              <w:jc w:val="center"/>
              <w:rPr>
                <w:rFonts w:cs="宋体"/>
                <w:kern w:val="0"/>
                <w:sz w:val="24"/>
                <w:szCs w:val="24"/>
              </w:rPr>
            </w:pPr>
            <w:r>
              <w:rPr>
                <w:rFonts w:hint="eastAsia" w:cs="宋体"/>
                <w:kern w:val="0"/>
                <w:sz w:val="24"/>
                <w:szCs w:val="24"/>
              </w:rPr>
              <w:t>资格</w:t>
            </w:r>
          </w:p>
        </w:tc>
        <w:tc>
          <w:tcPr>
            <w:tcW w:w="973" w:type="pct"/>
            <w:vAlign w:val="center"/>
          </w:tcPr>
          <w:p>
            <w:pPr>
              <w:jc w:val="center"/>
              <w:rPr>
                <w:rFonts w:cs="宋体"/>
                <w:kern w:val="0"/>
                <w:sz w:val="24"/>
                <w:szCs w:val="24"/>
              </w:rPr>
            </w:pPr>
            <w:r>
              <w:rPr>
                <w:rFonts w:hint="eastAsia" w:cs="宋体"/>
                <w:kern w:val="0"/>
                <w:sz w:val="24"/>
                <w:szCs w:val="24"/>
              </w:rPr>
              <w:t>职称</w:t>
            </w:r>
          </w:p>
        </w:tc>
        <w:tc>
          <w:tcPr>
            <w:tcW w:w="1946" w:type="pct"/>
            <w:vAlign w:val="center"/>
          </w:tcPr>
          <w:p>
            <w:pPr>
              <w:jc w:val="center"/>
              <w:rPr>
                <w:rFonts w:cs="宋体"/>
                <w:kern w:val="0"/>
                <w:sz w:val="24"/>
                <w:szCs w:val="24"/>
              </w:rPr>
            </w:pPr>
            <w:r>
              <w:rPr>
                <w:rFonts w:hint="eastAsia" w:cs="宋体"/>
                <w:kern w:val="0"/>
                <w:sz w:val="24"/>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7" w:type="pct"/>
            <w:vAlign w:val="center"/>
          </w:tcPr>
          <w:p>
            <w:pPr>
              <w:jc w:val="center"/>
              <w:rPr>
                <w:rFonts w:cs="宋体"/>
                <w:kern w:val="0"/>
                <w:sz w:val="24"/>
                <w:szCs w:val="24"/>
              </w:rPr>
            </w:pPr>
            <w:r>
              <w:rPr>
                <w:rFonts w:hint="eastAsia" w:cs="宋体"/>
                <w:kern w:val="0"/>
                <w:sz w:val="24"/>
                <w:szCs w:val="24"/>
              </w:rPr>
              <w:t>主评人助理</w:t>
            </w:r>
          </w:p>
        </w:tc>
        <w:tc>
          <w:tcPr>
            <w:tcW w:w="675" w:type="pct"/>
            <w:vAlign w:val="center"/>
          </w:tcPr>
          <w:p>
            <w:pPr>
              <w:jc w:val="left"/>
              <w:rPr>
                <w:rFonts w:cs="宋体"/>
                <w:kern w:val="0"/>
                <w:sz w:val="24"/>
                <w:szCs w:val="24"/>
              </w:rPr>
            </w:pPr>
            <w:r>
              <w:rPr>
                <w:rFonts w:hint="eastAsia" w:cs="宋体"/>
                <w:kern w:val="0"/>
                <w:sz w:val="24"/>
                <w:szCs w:val="24"/>
              </w:rPr>
              <w:t>程海潮</w:t>
            </w:r>
          </w:p>
        </w:tc>
        <w:tc>
          <w:tcPr>
            <w:tcW w:w="749" w:type="pct"/>
            <w:vAlign w:val="center"/>
          </w:tcPr>
          <w:p>
            <w:pPr>
              <w:rPr>
                <w:rFonts w:cs="宋体"/>
                <w:kern w:val="0"/>
                <w:sz w:val="24"/>
                <w:szCs w:val="24"/>
              </w:rPr>
            </w:pPr>
            <w:r>
              <w:rPr>
                <w:rFonts w:hint="eastAsia" w:cs="宋体"/>
                <w:kern w:val="0"/>
                <w:sz w:val="24"/>
                <w:szCs w:val="24"/>
              </w:rPr>
              <w:t>项目经理</w:t>
            </w:r>
          </w:p>
        </w:tc>
        <w:tc>
          <w:tcPr>
            <w:tcW w:w="973" w:type="pct"/>
            <w:vAlign w:val="center"/>
          </w:tcPr>
          <w:p>
            <w:pPr>
              <w:jc w:val="left"/>
              <w:rPr>
                <w:rFonts w:cs="宋体"/>
                <w:kern w:val="0"/>
                <w:sz w:val="24"/>
                <w:szCs w:val="24"/>
              </w:rPr>
            </w:pPr>
            <w:r>
              <w:rPr>
                <w:rFonts w:hint="eastAsia" w:cs="宋体"/>
                <w:kern w:val="0"/>
                <w:sz w:val="24"/>
                <w:szCs w:val="24"/>
              </w:rPr>
              <w:t>注册会计师</w:t>
            </w:r>
          </w:p>
        </w:tc>
        <w:tc>
          <w:tcPr>
            <w:tcW w:w="1946" w:type="pct"/>
            <w:vAlign w:val="center"/>
          </w:tcPr>
          <w:p>
            <w:pPr>
              <w:jc w:val="left"/>
              <w:rPr>
                <w:rFonts w:cs="宋体"/>
                <w:kern w:val="0"/>
                <w:sz w:val="24"/>
                <w:szCs w:val="24"/>
              </w:rPr>
            </w:pPr>
            <w:r>
              <w:rPr>
                <w:rFonts w:hint="eastAsia" w:cs="宋体"/>
                <w:kern w:val="0"/>
                <w:sz w:val="24"/>
                <w:szCs w:val="24"/>
              </w:rPr>
              <w:t>负责绩效评价报告初步编写、指导助理人员完成绩效工作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7" w:type="pct"/>
            <w:vAlign w:val="center"/>
          </w:tcPr>
          <w:p>
            <w:pPr>
              <w:jc w:val="center"/>
              <w:rPr>
                <w:rFonts w:cs="宋体"/>
                <w:kern w:val="0"/>
                <w:sz w:val="24"/>
                <w:szCs w:val="24"/>
              </w:rPr>
            </w:pPr>
            <w:r>
              <w:rPr>
                <w:rFonts w:hint="eastAsia" w:cs="宋体"/>
                <w:kern w:val="0"/>
                <w:sz w:val="24"/>
                <w:szCs w:val="24"/>
              </w:rPr>
              <w:t>成员</w:t>
            </w:r>
          </w:p>
        </w:tc>
        <w:tc>
          <w:tcPr>
            <w:tcW w:w="675" w:type="pct"/>
            <w:vAlign w:val="center"/>
          </w:tcPr>
          <w:p>
            <w:pPr>
              <w:jc w:val="left"/>
              <w:rPr>
                <w:rFonts w:cs="宋体"/>
                <w:kern w:val="0"/>
                <w:sz w:val="24"/>
                <w:szCs w:val="24"/>
              </w:rPr>
            </w:pPr>
            <w:r>
              <w:rPr>
                <w:rFonts w:hint="eastAsia" w:cs="宋体"/>
                <w:kern w:val="0"/>
                <w:sz w:val="24"/>
                <w:szCs w:val="24"/>
              </w:rPr>
              <w:t>王建卫</w:t>
            </w:r>
          </w:p>
        </w:tc>
        <w:tc>
          <w:tcPr>
            <w:tcW w:w="749" w:type="pct"/>
            <w:vAlign w:val="center"/>
          </w:tcPr>
          <w:p>
            <w:pPr>
              <w:rPr>
                <w:rFonts w:cs="宋体"/>
                <w:kern w:val="0"/>
                <w:sz w:val="24"/>
                <w:szCs w:val="24"/>
              </w:rPr>
            </w:pPr>
            <w:r>
              <w:rPr>
                <w:rFonts w:hint="eastAsia" w:cs="宋体"/>
                <w:kern w:val="0"/>
                <w:sz w:val="24"/>
                <w:szCs w:val="24"/>
              </w:rPr>
              <w:t>助理人员</w:t>
            </w:r>
          </w:p>
        </w:tc>
        <w:tc>
          <w:tcPr>
            <w:tcW w:w="973" w:type="pct"/>
            <w:vAlign w:val="center"/>
          </w:tcPr>
          <w:p>
            <w:pPr>
              <w:jc w:val="left"/>
              <w:rPr>
                <w:rFonts w:cs="宋体"/>
                <w:kern w:val="0"/>
                <w:sz w:val="24"/>
                <w:szCs w:val="24"/>
              </w:rPr>
            </w:pPr>
            <w:r>
              <w:rPr>
                <w:rFonts w:hint="eastAsia" w:cs="宋体"/>
                <w:kern w:val="0"/>
                <w:sz w:val="24"/>
                <w:szCs w:val="24"/>
              </w:rPr>
              <w:t>注册会计师、中级会计师</w:t>
            </w:r>
          </w:p>
        </w:tc>
        <w:tc>
          <w:tcPr>
            <w:tcW w:w="1946" w:type="pct"/>
            <w:vAlign w:val="center"/>
          </w:tcPr>
          <w:p>
            <w:pPr>
              <w:jc w:val="left"/>
              <w:rPr>
                <w:rFonts w:cs="宋体"/>
                <w:kern w:val="0"/>
                <w:sz w:val="24"/>
                <w:szCs w:val="24"/>
              </w:rPr>
            </w:pPr>
            <w:r>
              <w:rPr>
                <w:rFonts w:hint="eastAsia" w:cs="宋体"/>
                <w:kern w:val="0"/>
                <w:sz w:val="24"/>
                <w:szCs w:val="24"/>
              </w:rPr>
              <w:t>协助现场负责人开展工作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7" w:type="pct"/>
            <w:vAlign w:val="center"/>
          </w:tcPr>
          <w:p>
            <w:pPr>
              <w:jc w:val="center"/>
              <w:rPr>
                <w:rFonts w:cs="宋体"/>
                <w:kern w:val="0"/>
                <w:sz w:val="24"/>
                <w:szCs w:val="24"/>
              </w:rPr>
            </w:pPr>
            <w:r>
              <w:rPr>
                <w:rFonts w:hint="eastAsia" w:cs="宋体"/>
                <w:kern w:val="0"/>
                <w:sz w:val="24"/>
                <w:szCs w:val="24"/>
              </w:rPr>
              <w:t>成员</w:t>
            </w:r>
          </w:p>
        </w:tc>
        <w:tc>
          <w:tcPr>
            <w:tcW w:w="675" w:type="pct"/>
            <w:vAlign w:val="center"/>
          </w:tcPr>
          <w:p>
            <w:pPr>
              <w:jc w:val="left"/>
              <w:rPr>
                <w:rFonts w:cs="宋体"/>
                <w:kern w:val="0"/>
                <w:sz w:val="24"/>
                <w:szCs w:val="24"/>
              </w:rPr>
            </w:pPr>
            <w:r>
              <w:rPr>
                <w:rFonts w:hint="eastAsia" w:cs="宋体"/>
                <w:kern w:val="0"/>
                <w:sz w:val="24"/>
                <w:szCs w:val="24"/>
              </w:rPr>
              <w:t>郭蓉</w:t>
            </w:r>
          </w:p>
        </w:tc>
        <w:tc>
          <w:tcPr>
            <w:tcW w:w="749" w:type="pct"/>
            <w:vAlign w:val="center"/>
          </w:tcPr>
          <w:p>
            <w:pPr>
              <w:rPr>
                <w:rFonts w:cs="宋体"/>
                <w:kern w:val="0"/>
                <w:sz w:val="24"/>
                <w:szCs w:val="24"/>
              </w:rPr>
            </w:pPr>
            <w:r>
              <w:rPr>
                <w:rFonts w:hint="eastAsia" w:cs="宋体"/>
                <w:kern w:val="0"/>
                <w:sz w:val="24"/>
                <w:szCs w:val="24"/>
              </w:rPr>
              <w:t>助理人员</w:t>
            </w:r>
          </w:p>
        </w:tc>
        <w:tc>
          <w:tcPr>
            <w:tcW w:w="973" w:type="pct"/>
            <w:vAlign w:val="center"/>
          </w:tcPr>
          <w:p>
            <w:pPr>
              <w:jc w:val="left"/>
              <w:rPr>
                <w:rFonts w:cs="宋体"/>
                <w:kern w:val="0"/>
                <w:sz w:val="24"/>
                <w:szCs w:val="24"/>
              </w:rPr>
            </w:pPr>
            <w:r>
              <w:rPr>
                <w:rFonts w:hint="eastAsia" w:cs="宋体"/>
                <w:kern w:val="0"/>
                <w:sz w:val="24"/>
                <w:szCs w:val="24"/>
              </w:rPr>
              <w:t>中级会计师</w:t>
            </w:r>
          </w:p>
        </w:tc>
        <w:tc>
          <w:tcPr>
            <w:tcW w:w="1946" w:type="pct"/>
            <w:vAlign w:val="center"/>
          </w:tcPr>
          <w:p>
            <w:pPr>
              <w:jc w:val="left"/>
              <w:rPr>
                <w:rFonts w:cs="宋体"/>
                <w:kern w:val="0"/>
                <w:sz w:val="24"/>
                <w:szCs w:val="24"/>
              </w:rPr>
            </w:pPr>
            <w:r>
              <w:rPr>
                <w:rFonts w:hint="eastAsia" w:cs="宋体"/>
                <w:kern w:val="0"/>
                <w:sz w:val="24"/>
                <w:szCs w:val="24"/>
              </w:rPr>
              <w:t>绩效评价资料收集整理、分析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7" w:type="pct"/>
            <w:vAlign w:val="center"/>
          </w:tcPr>
          <w:p>
            <w:pPr>
              <w:jc w:val="center"/>
              <w:rPr>
                <w:rFonts w:cs="宋体"/>
                <w:kern w:val="0"/>
                <w:sz w:val="24"/>
                <w:szCs w:val="24"/>
              </w:rPr>
            </w:pPr>
            <w:r>
              <w:rPr>
                <w:rFonts w:hint="eastAsia" w:cs="宋体"/>
                <w:kern w:val="0"/>
                <w:sz w:val="24"/>
                <w:szCs w:val="24"/>
              </w:rPr>
              <w:t>成员</w:t>
            </w:r>
          </w:p>
        </w:tc>
        <w:tc>
          <w:tcPr>
            <w:tcW w:w="675" w:type="pct"/>
            <w:vAlign w:val="center"/>
          </w:tcPr>
          <w:p>
            <w:pPr>
              <w:jc w:val="left"/>
              <w:rPr>
                <w:rFonts w:cs="宋体"/>
                <w:kern w:val="0"/>
                <w:sz w:val="24"/>
                <w:szCs w:val="24"/>
              </w:rPr>
            </w:pPr>
            <w:r>
              <w:rPr>
                <w:rFonts w:hint="eastAsia" w:cs="宋体"/>
                <w:kern w:val="0"/>
                <w:sz w:val="24"/>
                <w:szCs w:val="24"/>
              </w:rPr>
              <w:t>曹晓青</w:t>
            </w:r>
          </w:p>
        </w:tc>
        <w:tc>
          <w:tcPr>
            <w:tcW w:w="749" w:type="pct"/>
            <w:vAlign w:val="center"/>
          </w:tcPr>
          <w:p>
            <w:pPr>
              <w:rPr>
                <w:rFonts w:cs="宋体"/>
                <w:kern w:val="0"/>
                <w:sz w:val="24"/>
                <w:szCs w:val="24"/>
              </w:rPr>
            </w:pPr>
            <w:r>
              <w:rPr>
                <w:rFonts w:hint="eastAsia" w:cs="宋体"/>
                <w:kern w:val="0"/>
                <w:sz w:val="24"/>
                <w:szCs w:val="24"/>
              </w:rPr>
              <w:t>助理人员</w:t>
            </w:r>
          </w:p>
        </w:tc>
        <w:tc>
          <w:tcPr>
            <w:tcW w:w="973" w:type="pct"/>
            <w:vAlign w:val="center"/>
          </w:tcPr>
          <w:p>
            <w:pPr>
              <w:jc w:val="left"/>
              <w:rPr>
                <w:rFonts w:cs="宋体"/>
                <w:kern w:val="0"/>
                <w:sz w:val="24"/>
                <w:szCs w:val="24"/>
              </w:rPr>
            </w:pPr>
            <w:r>
              <w:rPr>
                <w:rFonts w:hint="eastAsia" w:cs="宋体"/>
                <w:kern w:val="0"/>
                <w:sz w:val="24"/>
                <w:szCs w:val="24"/>
              </w:rPr>
              <w:t>初级会计师</w:t>
            </w:r>
          </w:p>
        </w:tc>
        <w:tc>
          <w:tcPr>
            <w:tcW w:w="1946" w:type="pct"/>
            <w:vAlign w:val="center"/>
          </w:tcPr>
          <w:p>
            <w:pPr>
              <w:jc w:val="left"/>
              <w:rPr>
                <w:rFonts w:cs="宋体"/>
                <w:kern w:val="0"/>
                <w:sz w:val="24"/>
                <w:szCs w:val="24"/>
              </w:rPr>
            </w:pPr>
            <w:r>
              <w:rPr>
                <w:rFonts w:hint="eastAsia" w:cs="宋体"/>
                <w:kern w:val="0"/>
                <w:sz w:val="24"/>
                <w:szCs w:val="24"/>
              </w:rPr>
              <w:t>绩效评价资料收集整理、分析</w:t>
            </w:r>
          </w:p>
        </w:tc>
      </w:tr>
    </w:tbl>
    <w:p>
      <w:pPr>
        <w:pStyle w:val="3"/>
        <w:spacing w:before="0" w:after="0" w:line="560" w:lineRule="exact"/>
        <w:ind w:firstLine="562" w:firstLineChars="200"/>
        <w:rPr>
          <w:rFonts w:ascii="仿宋" w:hAnsi="仿宋" w:eastAsia="仿宋"/>
          <w:sz w:val="28"/>
        </w:rPr>
      </w:pPr>
      <w:bookmarkStart w:id="219" w:name="_Toc14587"/>
      <w:r>
        <w:rPr>
          <w:rFonts w:hint="eastAsia" w:ascii="仿宋" w:hAnsi="仿宋" w:eastAsia="仿宋"/>
          <w:sz w:val="28"/>
        </w:rPr>
        <w:t>（七）绩效评价工作过程</w:t>
      </w:r>
      <w:bookmarkEnd w:id="219"/>
    </w:p>
    <w:p>
      <w:pPr>
        <w:spacing w:line="560" w:lineRule="exact"/>
        <w:ind w:firstLine="560" w:firstLineChars="200"/>
        <w:rPr>
          <w:color w:val="000000"/>
        </w:rPr>
      </w:pPr>
      <w:r>
        <w:rPr>
          <w:rFonts w:hint="eastAsia"/>
          <w:color w:val="000000"/>
        </w:rPr>
        <w:t>本次绩效评价实施过程分为绩效评价前期准备、现场实施、绩效评价报告撰写和提交三个阶段。绩效评价工作于2022年8月5日开始，前期通过审阅有关项目资料、进行访谈等方式搜集整理资料，编制绩效评价工作方案。在此基础上，通过实施下列工作流程，完成评价工作：</w:t>
      </w:r>
    </w:p>
    <w:p>
      <w:pPr>
        <w:spacing w:line="560" w:lineRule="exact"/>
        <w:ind w:firstLine="560" w:firstLineChars="200"/>
        <w:rPr>
          <w:color w:val="000000"/>
        </w:rPr>
      </w:pPr>
      <w:r>
        <w:rPr>
          <w:rFonts w:hint="eastAsia"/>
          <w:color w:val="000000"/>
        </w:rPr>
        <w:t>1、前期准备阶段（2022年8月6日-8月20日）</w:t>
      </w:r>
    </w:p>
    <w:p>
      <w:pPr>
        <w:spacing w:line="560" w:lineRule="exact"/>
        <w:ind w:firstLine="560" w:firstLineChars="200"/>
        <w:rPr>
          <w:color w:val="000000"/>
        </w:rPr>
      </w:pPr>
      <w:r>
        <w:rPr>
          <w:rFonts w:hint="eastAsia"/>
          <w:color w:val="000000"/>
        </w:rPr>
        <w:t>本所接受运城市财政局的委托，签订绩效评价业务约定书，成立了由主任会计师李建岭担任项目负责人的绩效评价工作组。工作组对参与此次绩效评价的工作人员进行了相关知识的学习和业务培训，召开了绩效评价工作会议，明确了此次绩效评价的基本事项，包括：部门基本情况、部门绩效目标；绩效评价的对象和内容；绩效评价的目的；委托方及绩效评价报告使用者和其他重要事项等。最后工作组通过审阅有关项目资料、进行访谈等方式搜集整理资料，编制了针对本项目的绩效评价工作方案，确定了评价指标体系与实施流程。</w:t>
      </w:r>
    </w:p>
    <w:p>
      <w:pPr>
        <w:spacing w:line="560" w:lineRule="exact"/>
        <w:ind w:firstLine="560" w:firstLineChars="200"/>
        <w:rPr>
          <w:color w:val="000000"/>
        </w:rPr>
      </w:pPr>
      <w:r>
        <w:rPr>
          <w:rFonts w:hint="eastAsia"/>
          <w:color w:val="000000"/>
        </w:rPr>
        <w:t>2、绩效评价现场实施阶段（2022年8月21日-9月10日）</w:t>
      </w:r>
    </w:p>
    <w:p>
      <w:pPr>
        <w:spacing w:line="560" w:lineRule="exact"/>
        <w:ind w:firstLine="560" w:firstLineChars="200"/>
        <w:rPr>
          <w:color w:val="000000"/>
        </w:rPr>
      </w:pPr>
      <w:r>
        <w:rPr>
          <w:rFonts w:hint="eastAsia"/>
          <w:color w:val="000000"/>
        </w:rPr>
        <w:t>根据项目特点，按照绩效评价方案，通过案卷审阅、访谈、实地复核等方法收集相关评价数据，对相关文件、资料、财务数据进行甄别、汇总、分析，结合绩效评价指标、权重、标准和方法进行定量定性分析和综合评价，形成评价结论。运用定量与定性结合的方法确定分值。具体工作包括：</w:t>
      </w:r>
    </w:p>
    <w:p>
      <w:pPr>
        <w:spacing w:line="560" w:lineRule="exact"/>
        <w:ind w:firstLine="560" w:firstLineChars="200"/>
        <w:rPr>
          <w:color w:val="000000"/>
        </w:rPr>
      </w:pPr>
      <w:r>
        <w:rPr>
          <w:rFonts w:hint="eastAsia"/>
          <w:color w:val="000000"/>
        </w:rPr>
        <w:t>（1）数据采集</w:t>
      </w:r>
    </w:p>
    <w:p>
      <w:pPr>
        <w:spacing w:line="560" w:lineRule="exact"/>
        <w:ind w:firstLine="560" w:firstLineChars="200"/>
        <w:rPr>
          <w:color w:val="000000"/>
        </w:rPr>
      </w:pPr>
      <w:r>
        <w:rPr>
          <w:rFonts w:hint="eastAsia"/>
          <w:color w:val="000000"/>
        </w:rPr>
        <w:t>工作组按照计划搜集运城市住房公积金管理中心人员编制、职能、部门绩效目标、部门绩效自评报告、预决算报表、重点任务履行情况等相关的基础数据资料，并对其进行分类整理汇总、审查和分析。</w:t>
      </w:r>
    </w:p>
    <w:p>
      <w:pPr>
        <w:spacing w:line="560" w:lineRule="exact"/>
        <w:ind w:firstLine="560" w:firstLineChars="200"/>
        <w:rPr>
          <w:color w:val="000000"/>
        </w:rPr>
      </w:pPr>
      <w:r>
        <w:rPr>
          <w:rFonts w:hint="eastAsia"/>
          <w:color w:val="000000"/>
        </w:rPr>
        <w:t>（2）现场工作</w:t>
      </w:r>
    </w:p>
    <w:p>
      <w:pPr>
        <w:pStyle w:val="70"/>
        <w:spacing w:line="560" w:lineRule="exact"/>
        <w:ind w:firstLine="560"/>
        <w:rPr>
          <w:color w:val="000000"/>
        </w:rPr>
      </w:pPr>
      <w:r>
        <w:rPr>
          <w:rFonts w:hint="eastAsia"/>
          <w:color w:val="000000"/>
        </w:rPr>
        <w:t>针对所获取的案卷资料，对其部门职责履行情况进行核实，关注其在职人员数量，判断其单位对人员成本的控制程度；检查财务及预决算资料，对其预算资金使用情况进行评价（如：三公经费控制情况、资金使用合规性等），资金支付是否符合规定、是否合理等；关注信息网络及软件购置更新、大型修缮、住房公积金的缴存、个人贷款发放、个人贷款逾期管理、贷款风险准备金计提、住房公积金增值收益管理等业务开展情况，从而对运城市住房公积金管理中心的核心业务完成情况进行评价。</w:t>
      </w:r>
    </w:p>
    <w:p>
      <w:pPr>
        <w:spacing w:line="560" w:lineRule="exact"/>
        <w:ind w:firstLine="560" w:firstLineChars="200"/>
        <w:rPr>
          <w:color w:val="000000"/>
        </w:rPr>
      </w:pPr>
      <w:r>
        <w:rPr>
          <w:rFonts w:hint="eastAsia"/>
          <w:color w:val="000000"/>
        </w:rPr>
        <w:t>（3）数据统计分析</w:t>
      </w:r>
    </w:p>
    <w:p>
      <w:pPr>
        <w:spacing w:line="560" w:lineRule="exact"/>
        <w:ind w:firstLine="560" w:firstLineChars="200"/>
        <w:rPr>
          <w:color w:val="000000"/>
        </w:rPr>
      </w:pPr>
      <w:r>
        <w:rPr>
          <w:rFonts w:hint="eastAsia"/>
          <w:color w:val="000000"/>
        </w:rPr>
        <w:t>工作组根据绩效评价的原理和规定，结合项目的具体情况，根据被评价单位提供的数据和社会调查结果，对数据进行分析处理。比照绩效评价指标体系计分的标准，得出相应的分值，分析得失分的原因。</w:t>
      </w:r>
    </w:p>
    <w:p>
      <w:pPr>
        <w:spacing w:line="560" w:lineRule="exact"/>
        <w:ind w:firstLine="560" w:firstLineChars="200"/>
        <w:rPr>
          <w:color w:val="000000"/>
        </w:rPr>
      </w:pPr>
      <w:r>
        <w:rPr>
          <w:rFonts w:hint="eastAsia"/>
          <w:color w:val="000000"/>
        </w:rPr>
        <w:t>3、绩效评价报告撰写和提交阶段（2022年9月10日-9月30日）</w:t>
      </w:r>
    </w:p>
    <w:p>
      <w:pPr>
        <w:spacing w:line="560" w:lineRule="exact"/>
        <w:ind w:firstLine="560" w:firstLineChars="200"/>
        <w:rPr>
          <w:color w:val="000000"/>
        </w:rPr>
      </w:pPr>
      <w:r>
        <w:rPr>
          <w:rFonts w:hint="eastAsia"/>
          <w:color w:val="000000"/>
        </w:rPr>
        <w:t>（1）根据各指标的评价结果及整体评价结论，按绩效评价相关规定和绩效管理部门的要求撰写绩效评价报告；</w:t>
      </w:r>
    </w:p>
    <w:p>
      <w:pPr>
        <w:spacing w:line="560" w:lineRule="exact"/>
        <w:ind w:firstLine="560" w:firstLineChars="200"/>
        <w:rPr>
          <w:color w:val="000000"/>
        </w:rPr>
      </w:pPr>
      <w:r>
        <w:rPr>
          <w:rFonts w:hint="eastAsia"/>
          <w:color w:val="000000"/>
        </w:rPr>
        <w:t>（2）与被评价方就绩效评价报告进行充分沟通并交换意见；</w:t>
      </w:r>
    </w:p>
    <w:p>
      <w:pPr>
        <w:spacing w:line="560" w:lineRule="exact"/>
        <w:ind w:firstLine="560" w:firstLineChars="200"/>
        <w:rPr>
          <w:color w:val="000000"/>
        </w:rPr>
      </w:pPr>
      <w:r>
        <w:rPr>
          <w:rFonts w:hint="eastAsia"/>
          <w:color w:val="000000"/>
        </w:rPr>
        <w:t>（3）履行会计事务所内部三级复核程序；</w:t>
      </w:r>
    </w:p>
    <w:p>
      <w:pPr>
        <w:spacing w:line="560" w:lineRule="exact"/>
        <w:ind w:firstLine="560" w:firstLineChars="200"/>
        <w:rPr>
          <w:color w:val="000000"/>
        </w:rPr>
      </w:pPr>
      <w:r>
        <w:rPr>
          <w:rFonts w:hint="eastAsia"/>
          <w:color w:val="000000"/>
        </w:rPr>
        <w:t>（4）提交部门整体支出绩效评价正式报告。</w:t>
      </w:r>
    </w:p>
    <w:bookmarkEnd w:id="204"/>
    <w:bookmarkEnd w:id="205"/>
    <w:bookmarkEnd w:id="206"/>
    <w:bookmarkEnd w:id="207"/>
    <w:bookmarkEnd w:id="208"/>
    <w:bookmarkEnd w:id="209"/>
    <w:bookmarkEnd w:id="210"/>
    <w:bookmarkEnd w:id="211"/>
    <w:bookmarkEnd w:id="212"/>
    <w:bookmarkEnd w:id="213"/>
    <w:bookmarkEnd w:id="214"/>
    <w:bookmarkEnd w:id="215"/>
    <w:p>
      <w:pPr>
        <w:pStyle w:val="2"/>
        <w:spacing w:before="0" w:after="0" w:line="560" w:lineRule="exact"/>
        <w:ind w:firstLine="562" w:firstLineChars="200"/>
        <w:rPr>
          <w:sz w:val="28"/>
        </w:rPr>
      </w:pPr>
      <w:bookmarkStart w:id="220" w:name="_Toc17341_WPSOffice_Level1"/>
      <w:bookmarkStart w:id="221" w:name="_Toc2352"/>
      <w:bookmarkStart w:id="222" w:name="_Toc28462"/>
      <w:bookmarkStart w:id="223" w:name="_Toc13350_WPSOffice_Level1"/>
      <w:bookmarkStart w:id="224" w:name="_Toc3832"/>
      <w:bookmarkStart w:id="225" w:name="_Toc12001"/>
      <w:bookmarkStart w:id="226" w:name="_Toc16009"/>
      <w:bookmarkStart w:id="227" w:name="_Toc206"/>
      <w:bookmarkStart w:id="228" w:name="_Toc12743"/>
      <w:bookmarkStart w:id="229" w:name="_Toc206492829"/>
      <w:bookmarkStart w:id="230" w:name="_Toc256631237"/>
      <w:bookmarkStart w:id="231" w:name="_Toc255918133"/>
      <w:r>
        <w:rPr>
          <w:rFonts w:hint="eastAsia"/>
          <w:sz w:val="28"/>
        </w:rPr>
        <w:t>三、</w:t>
      </w:r>
      <w:bookmarkEnd w:id="220"/>
      <w:bookmarkEnd w:id="221"/>
      <w:bookmarkEnd w:id="222"/>
      <w:bookmarkEnd w:id="223"/>
      <w:r>
        <w:rPr>
          <w:rFonts w:hint="eastAsia"/>
          <w:sz w:val="28"/>
        </w:rPr>
        <w:t>绩效评价结论</w:t>
      </w:r>
      <w:bookmarkEnd w:id="224"/>
      <w:bookmarkEnd w:id="225"/>
      <w:bookmarkEnd w:id="226"/>
      <w:bookmarkEnd w:id="227"/>
      <w:bookmarkEnd w:id="228"/>
    </w:p>
    <w:p>
      <w:pPr>
        <w:pStyle w:val="3"/>
        <w:spacing w:before="0" w:after="0" w:line="560" w:lineRule="exact"/>
        <w:ind w:firstLine="562" w:firstLineChars="200"/>
        <w:rPr>
          <w:rFonts w:ascii="仿宋" w:hAnsi="仿宋" w:eastAsia="仿宋"/>
          <w:sz w:val="28"/>
        </w:rPr>
      </w:pPr>
      <w:bookmarkStart w:id="232" w:name="_Toc2707"/>
      <w:bookmarkStart w:id="233" w:name="_Toc25175"/>
      <w:bookmarkStart w:id="234" w:name="_Toc1959"/>
      <w:bookmarkStart w:id="235" w:name="_Toc510"/>
      <w:bookmarkStart w:id="236" w:name="_Toc27998"/>
      <w:bookmarkStart w:id="237" w:name="_Toc12898"/>
      <w:r>
        <w:rPr>
          <w:rFonts w:hint="eastAsia" w:ascii="仿宋" w:hAnsi="仿宋" w:eastAsia="仿宋"/>
          <w:sz w:val="28"/>
        </w:rPr>
        <w:t>(一)评价结论</w:t>
      </w:r>
      <w:bookmarkEnd w:id="232"/>
      <w:bookmarkEnd w:id="233"/>
    </w:p>
    <w:p>
      <w:pPr>
        <w:pStyle w:val="71"/>
        <w:snapToGrid w:val="0"/>
        <w:spacing w:before="0" w:after="0" w:line="560" w:lineRule="exact"/>
        <w:ind w:firstLine="560"/>
        <w:rPr>
          <w:rFonts w:ascii="仿宋" w:hAnsi="仿宋" w:eastAsia="仿宋" w:cs="宋体"/>
          <w:sz w:val="24"/>
          <w:szCs w:val="24"/>
        </w:rPr>
      </w:pPr>
      <w:r>
        <w:rPr>
          <w:rFonts w:hint="eastAsia" w:ascii="仿宋" w:hAnsi="仿宋" w:eastAsia="仿宋"/>
          <w:b w:val="0"/>
        </w:rPr>
        <w:t>绩效评价结果采用综合评分定级的方法，总分值为100分。绩效评级分“优”、“良”、“中”、“差”。最终绩效评价结果按照综合评分分级：综合评分90（含）-100分的为“优”，80（含）-90分的为“良”，60（含）-80分的为“中”，60分以下的为“差”。</w:t>
      </w:r>
    </w:p>
    <w:p>
      <w:pPr>
        <w:pStyle w:val="71"/>
        <w:snapToGrid w:val="0"/>
        <w:spacing w:before="0" w:after="0" w:line="560" w:lineRule="exact"/>
        <w:ind w:firstLine="560"/>
        <w:rPr>
          <w:rFonts w:ascii="仿宋" w:hAnsi="仿宋" w:eastAsia="仿宋"/>
          <w:b w:val="0"/>
        </w:rPr>
      </w:pPr>
      <w:r>
        <w:rPr>
          <w:rFonts w:hint="eastAsia" w:ascii="仿宋" w:hAnsi="仿宋" w:eastAsia="仿宋"/>
          <w:b w:val="0"/>
        </w:rPr>
        <w:t>项目组按照本项目绩效评价工作方案确定的绩效评价指标、评价标准和评价方法，在对评价对象的绩效情况进行定量和定性分析的基础上，经综合评价，本项目得分为</w:t>
      </w:r>
      <w:r>
        <w:rPr>
          <w:rFonts w:hint="eastAsia" w:ascii="仿宋" w:hAnsi="仿宋" w:eastAsia="仿宋"/>
          <w:b w:val="0"/>
          <w:lang w:val="en-US" w:eastAsia="zh-CN"/>
        </w:rPr>
        <w:t>89</w:t>
      </w:r>
      <w:r>
        <w:rPr>
          <w:rFonts w:hint="eastAsia" w:ascii="仿宋" w:hAnsi="仿宋" w:eastAsia="仿宋"/>
          <w:b w:val="0"/>
        </w:rPr>
        <w:t>.32分，绩效评价等级为</w:t>
      </w:r>
      <w:r>
        <w:rPr>
          <w:rFonts w:hint="eastAsia" w:ascii="仿宋" w:hAnsi="仿宋" w:eastAsia="仿宋"/>
          <w:b w:val="0"/>
          <w:lang w:val="en-US" w:eastAsia="zh-CN"/>
        </w:rPr>
        <w:t>良</w:t>
      </w:r>
      <w:r>
        <w:rPr>
          <w:rFonts w:hint="eastAsia" w:ascii="仿宋" w:hAnsi="仿宋" w:eastAsia="仿宋"/>
          <w:b w:val="0"/>
        </w:rPr>
        <w:t>。其中：履职效能类指标权重为40分，得分36分，得分率为90%；管理效率类指标权重为30分，得分为2</w:t>
      </w:r>
      <w:r>
        <w:rPr>
          <w:rFonts w:hint="eastAsia" w:ascii="仿宋" w:hAnsi="仿宋" w:eastAsia="仿宋"/>
          <w:b w:val="0"/>
          <w:lang w:val="en-US" w:eastAsia="zh-CN"/>
        </w:rPr>
        <w:t>3</w:t>
      </w:r>
      <w:r>
        <w:rPr>
          <w:rFonts w:hint="eastAsia" w:ascii="仿宋" w:hAnsi="仿宋" w:eastAsia="仿宋"/>
          <w:b w:val="0"/>
        </w:rPr>
        <w:t>.5分，得分率为</w:t>
      </w:r>
      <w:r>
        <w:rPr>
          <w:rFonts w:hint="eastAsia" w:ascii="仿宋" w:hAnsi="仿宋" w:eastAsia="仿宋"/>
          <w:b w:val="0"/>
          <w:lang w:val="en-US" w:eastAsia="zh-CN"/>
        </w:rPr>
        <w:t>78.33</w:t>
      </w:r>
      <w:r>
        <w:rPr>
          <w:rFonts w:hint="eastAsia" w:ascii="仿宋" w:hAnsi="仿宋" w:eastAsia="仿宋"/>
          <w:b w:val="0"/>
        </w:rPr>
        <w:t>%；社会效应类指标权重为20分，得分为19.82分，得分率为99.10%；可持续性类指标权重为10分，得分为10分，得分率为100%。</w:t>
      </w:r>
    </w:p>
    <w:p>
      <w:pPr>
        <w:pStyle w:val="72"/>
        <w:spacing w:line="360" w:lineRule="auto"/>
        <w:rPr>
          <w:rFonts w:ascii="仿宋" w:hAnsi="仿宋" w:eastAsia="仿宋"/>
          <w:szCs w:val="24"/>
        </w:rPr>
      </w:pPr>
      <w:r>
        <w:rPr>
          <w:rFonts w:hint="eastAsia" w:ascii="仿宋" w:hAnsi="仿宋" w:eastAsia="仿宋"/>
          <w:szCs w:val="24"/>
        </w:rPr>
        <w:t>表3-1 部门整体支出绩效评价得分表</w:t>
      </w:r>
    </w:p>
    <w:tbl>
      <w:tblPr>
        <w:tblStyle w:val="1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1185"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指标</w:t>
            </w:r>
          </w:p>
        </w:tc>
        <w:tc>
          <w:tcPr>
            <w:tcW w:w="1575"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A履职效能</w:t>
            </w:r>
          </w:p>
        </w:tc>
        <w:tc>
          <w:tcPr>
            <w:tcW w:w="1455"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B管理效率</w:t>
            </w:r>
          </w:p>
        </w:tc>
        <w:tc>
          <w:tcPr>
            <w:tcW w:w="1395"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C社会效应</w:t>
            </w:r>
          </w:p>
        </w:tc>
        <w:tc>
          <w:tcPr>
            <w:tcW w:w="1533"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D可持续性</w:t>
            </w:r>
          </w:p>
        </w:tc>
        <w:tc>
          <w:tcPr>
            <w:tcW w:w="1377" w:type="dxa"/>
            <w:tcBorders>
              <w:bottom w:val="single" w:color="auto" w:sz="4" w:space="0"/>
            </w:tcBorders>
            <w:shd w:val="clear" w:color="auto" w:fill="FFFFFF"/>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权重</w:t>
            </w:r>
          </w:p>
        </w:tc>
        <w:tc>
          <w:tcPr>
            <w:tcW w:w="157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40</w:t>
            </w:r>
          </w:p>
        </w:tc>
        <w:tc>
          <w:tcPr>
            <w:tcW w:w="145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30</w:t>
            </w:r>
          </w:p>
        </w:tc>
        <w:tc>
          <w:tcPr>
            <w:tcW w:w="139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20</w:t>
            </w:r>
          </w:p>
        </w:tc>
        <w:tc>
          <w:tcPr>
            <w:tcW w:w="1533"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w:t>
            </w:r>
          </w:p>
        </w:tc>
        <w:tc>
          <w:tcPr>
            <w:tcW w:w="1377"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分值</w:t>
            </w:r>
          </w:p>
        </w:tc>
        <w:tc>
          <w:tcPr>
            <w:tcW w:w="157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36</w:t>
            </w:r>
          </w:p>
        </w:tc>
        <w:tc>
          <w:tcPr>
            <w:tcW w:w="145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2</w:t>
            </w:r>
            <w:r>
              <w:rPr>
                <w:rFonts w:hint="eastAsia" w:ascii="仿宋" w:hAnsi="仿宋" w:eastAsia="仿宋"/>
                <w:b w:val="0"/>
                <w:szCs w:val="24"/>
                <w:lang w:val="en-US" w:eastAsia="zh-CN"/>
              </w:rPr>
              <w:t>3</w:t>
            </w:r>
            <w:r>
              <w:rPr>
                <w:rFonts w:hint="eastAsia" w:ascii="仿宋" w:hAnsi="仿宋" w:eastAsia="仿宋"/>
                <w:b w:val="0"/>
                <w:szCs w:val="24"/>
              </w:rPr>
              <w:t>.5</w:t>
            </w:r>
          </w:p>
        </w:tc>
        <w:tc>
          <w:tcPr>
            <w:tcW w:w="139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19.82</w:t>
            </w:r>
          </w:p>
        </w:tc>
        <w:tc>
          <w:tcPr>
            <w:tcW w:w="1533"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w:t>
            </w:r>
          </w:p>
        </w:tc>
        <w:tc>
          <w:tcPr>
            <w:tcW w:w="1377"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89</w:t>
            </w:r>
            <w:r>
              <w:rPr>
                <w:rFonts w:hint="eastAsia" w:ascii="仿宋" w:hAnsi="仿宋" w:eastAsia="仿宋"/>
                <w:b w:val="0"/>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jc w:val="center"/>
        </w:trPr>
        <w:tc>
          <w:tcPr>
            <w:tcW w:w="1185" w:type="dxa"/>
            <w:vAlign w:val="center"/>
          </w:tcPr>
          <w:p>
            <w:pPr>
              <w:pStyle w:val="72"/>
              <w:adjustRightInd w:val="0"/>
              <w:snapToGrid w:val="0"/>
              <w:spacing w:before="0" w:after="0"/>
              <w:rPr>
                <w:rFonts w:ascii="仿宋" w:hAnsi="仿宋" w:eastAsia="仿宋"/>
                <w:szCs w:val="24"/>
              </w:rPr>
            </w:pPr>
            <w:r>
              <w:rPr>
                <w:rFonts w:hint="eastAsia" w:ascii="仿宋" w:hAnsi="仿宋" w:eastAsia="仿宋"/>
                <w:szCs w:val="24"/>
              </w:rPr>
              <w:t>得分率</w:t>
            </w:r>
          </w:p>
        </w:tc>
        <w:tc>
          <w:tcPr>
            <w:tcW w:w="157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90%</w:t>
            </w:r>
          </w:p>
        </w:tc>
        <w:tc>
          <w:tcPr>
            <w:tcW w:w="145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78.33</w:t>
            </w:r>
            <w:r>
              <w:rPr>
                <w:rFonts w:hint="eastAsia" w:ascii="仿宋" w:hAnsi="仿宋" w:eastAsia="仿宋"/>
                <w:b w:val="0"/>
                <w:szCs w:val="24"/>
              </w:rPr>
              <w:t>%</w:t>
            </w:r>
          </w:p>
        </w:tc>
        <w:tc>
          <w:tcPr>
            <w:tcW w:w="1395"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99.10%</w:t>
            </w:r>
          </w:p>
        </w:tc>
        <w:tc>
          <w:tcPr>
            <w:tcW w:w="1533"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rPr>
              <w:t>100%</w:t>
            </w:r>
          </w:p>
        </w:tc>
        <w:tc>
          <w:tcPr>
            <w:tcW w:w="1377" w:type="dxa"/>
            <w:vAlign w:val="center"/>
          </w:tcPr>
          <w:p>
            <w:pPr>
              <w:pStyle w:val="72"/>
              <w:adjustRightInd w:val="0"/>
              <w:snapToGrid w:val="0"/>
              <w:spacing w:before="0" w:after="0"/>
              <w:rPr>
                <w:rFonts w:ascii="仿宋" w:hAnsi="仿宋" w:eastAsia="仿宋"/>
                <w:b w:val="0"/>
                <w:szCs w:val="24"/>
              </w:rPr>
            </w:pPr>
            <w:r>
              <w:rPr>
                <w:rFonts w:hint="eastAsia" w:ascii="仿宋" w:hAnsi="仿宋" w:eastAsia="仿宋"/>
                <w:b w:val="0"/>
                <w:szCs w:val="24"/>
                <w:lang w:val="en-US" w:eastAsia="zh-CN"/>
              </w:rPr>
              <w:t>89</w:t>
            </w:r>
            <w:r>
              <w:rPr>
                <w:rFonts w:hint="eastAsia" w:ascii="仿宋" w:hAnsi="仿宋" w:eastAsia="仿宋"/>
                <w:b w:val="0"/>
                <w:szCs w:val="24"/>
              </w:rPr>
              <w:t>.32%</w:t>
            </w:r>
          </w:p>
        </w:tc>
      </w:tr>
      <w:bookmarkEnd w:id="234"/>
      <w:bookmarkEnd w:id="235"/>
      <w:bookmarkEnd w:id="236"/>
      <w:bookmarkEnd w:id="237"/>
    </w:tbl>
    <w:p>
      <w:pPr>
        <w:pStyle w:val="3"/>
        <w:spacing w:before="0" w:after="0" w:line="560" w:lineRule="exact"/>
        <w:ind w:firstLine="562" w:firstLineChars="200"/>
        <w:rPr>
          <w:rFonts w:ascii="仿宋" w:hAnsi="仿宋" w:eastAsia="仿宋"/>
          <w:sz w:val="28"/>
        </w:rPr>
      </w:pPr>
      <w:bookmarkStart w:id="238" w:name="_Toc21299"/>
      <w:bookmarkStart w:id="239" w:name="_Toc8758"/>
      <w:bookmarkStart w:id="240" w:name="_Toc411503820"/>
      <w:bookmarkStart w:id="241" w:name="_Toc9936"/>
      <w:bookmarkStart w:id="242" w:name="_Toc6492"/>
      <w:bookmarkStart w:id="243" w:name="_Toc22072"/>
      <w:bookmarkStart w:id="244" w:name="_Toc28744"/>
      <w:bookmarkStart w:id="245" w:name="_Toc31220_WPSOffice_Level2"/>
      <w:bookmarkStart w:id="246" w:name="_Toc29722"/>
      <w:bookmarkStart w:id="247" w:name="_Toc16469"/>
      <w:bookmarkStart w:id="248" w:name="_Toc1313"/>
      <w:bookmarkStart w:id="249" w:name="_Toc23289"/>
      <w:bookmarkStart w:id="250" w:name="_Toc32103_WPSOffice_Level2"/>
      <w:bookmarkStart w:id="251" w:name="_Toc25524_WPSOffice_Level2"/>
      <w:bookmarkStart w:id="252" w:name="_Toc19843_WPSOffice_Level2"/>
      <w:bookmarkStart w:id="253" w:name="_Toc26873_WPSOffice_Level2"/>
      <w:bookmarkStart w:id="254" w:name="_Toc14818_WPSOffice_Level2"/>
      <w:bookmarkStart w:id="255" w:name="_Toc9198_WPSOffice_Level2"/>
      <w:bookmarkStart w:id="256" w:name="_Toc23835"/>
      <w:bookmarkStart w:id="257" w:name="_Toc28114_WPSOffice_Level2"/>
      <w:bookmarkStart w:id="258" w:name="_Toc370"/>
      <w:r>
        <w:rPr>
          <w:rFonts w:hint="eastAsia" w:ascii="仿宋" w:hAnsi="仿宋" w:eastAsia="仿宋"/>
          <w:sz w:val="28"/>
        </w:rPr>
        <w:t>（二）绩效评价指标分析</w:t>
      </w:r>
      <w:bookmarkEnd w:id="238"/>
      <w:bookmarkEnd w:id="239"/>
      <w:bookmarkEnd w:id="240"/>
      <w:bookmarkEnd w:id="241"/>
      <w:bookmarkEnd w:id="242"/>
      <w:bookmarkEnd w:id="243"/>
      <w:bookmarkEnd w:id="244"/>
    </w:p>
    <w:p>
      <w:pPr>
        <w:pStyle w:val="71"/>
        <w:snapToGrid w:val="0"/>
        <w:spacing w:before="0" w:after="0" w:line="560" w:lineRule="exact"/>
        <w:ind w:firstLine="560"/>
        <w:rPr>
          <w:rFonts w:ascii="仿宋" w:hAnsi="仿宋" w:eastAsia="仿宋"/>
          <w:b w:val="0"/>
        </w:rPr>
      </w:pPr>
      <w:r>
        <w:rPr>
          <w:rFonts w:hint="eastAsia" w:ascii="仿宋" w:hAnsi="仿宋" w:eastAsia="仿宋"/>
          <w:b w:val="0"/>
        </w:rPr>
        <w:t>1、履职效能分析</w:t>
      </w:r>
      <w:bookmarkEnd w:id="245"/>
      <w:bookmarkEnd w:id="246"/>
      <w:bookmarkEnd w:id="247"/>
      <w:bookmarkEnd w:id="248"/>
      <w:bookmarkEnd w:id="249"/>
    </w:p>
    <w:p>
      <w:pPr>
        <w:widowControl w:val="0"/>
        <w:adjustRightInd w:val="0"/>
        <w:snapToGrid w:val="0"/>
        <w:spacing w:line="560" w:lineRule="exact"/>
        <w:ind w:firstLine="560" w:firstLineChars="200"/>
      </w:pPr>
      <w:bookmarkStart w:id="259" w:name="_Toc18477"/>
      <w:r>
        <w:rPr>
          <w:rFonts w:hint="eastAsia"/>
        </w:rPr>
        <w:t>履职效能分别从“目标任务设定、目标任务实现情况、核心业务、基础管理”四个方面进行分析，共设置4个二级指标12个三级指标。履职效能指标分值40分，</w:t>
      </w:r>
      <w:bookmarkEnd w:id="259"/>
      <w:r>
        <w:rPr>
          <w:rFonts w:hint="eastAsia"/>
        </w:rPr>
        <w:t>实际得分36分，得分率90%。各分项指标得分情况如表4-1所示：</w:t>
      </w:r>
    </w:p>
    <w:p>
      <w:pPr>
        <w:widowControl w:val="0"/>
        <w:spacing w:after="76" w:afterLines="20" w:line="560" w:lineRule="exact"/>
        <w:jc w:val="center"/>
      </w:pPr>
      <w:r>
        <w:rPr>
          <w:rFonts w:hint="eastAsia"/>
          <w:b/>
          <w:bCs/>
        </w:rPr>
        <w:t>表4-1履职效能指标得分情况</w:t>
      </w:r>
    </w:p>
    <w:tbl>
      <w:tblPr>
        <w:tblStyle w:val="19"/>
        <w:tblW w:w="5000" w:type="pct"/>
        <w:tblInd w:w="0" w:type="dxa"/>
        <w:shd w:val="clear" w:color="auto" w:fill="FFFFFF" w:themeFill="background1"/>
        <w:tblLayout w:type="autofit"/>
        <w:tblCellMar>
          <w:top w:w="0" w:type="dxa"/>
          <w:left w:w="108" w:type="dxa"/>
          <w:bottom w:w="0" w:type="dxa"/>
          <w:right w:w="108" w:type="dxa"/>
        </w:tblCellMar>
      </w:tblPr>
      <w:tblGrid>
        <w:gridCol w:w="1180"/>
        <w:gridCol w:w="4837"/>
        <w:gridCol w:w="850"/>
        <w:gridCol w:w="914"/>
        <w:gridCol w:w="939"/>
      </w:tblGrid>
      <w:tr>
        <w:tblPrEx>
          <w:shd w:val="clear" w:color="auto" w:fill="FFFFFF" w:themeFill="background1"/>
          <w:tblCellMar>
            <w:top w:w="0" w:type="dxa"/>
            <w:left w:w="108" w:type="dxa"/>
            <w:bottom w:w="0" w:type="dxa"/>
            <w:right w:w="108" w:type="dxa"/>
          </w:tblCellMar>
        </w:tblPrEx>
        <w:trPr>
          <w:trHeight w:val="454" w:hRule="atLeast"/>
          <w:tblHeader/>
        </w:trPr>
        <w:tc>
          <w:tcPr>
            <w:tcW w:w="67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b/>
                <w:bCs/>
                <w:color w:val="000000"/>
                <w:sz w:val="24"/>
                <w:szCs w:val="24"/>
              </w:rPr>
            </w:pPr>
            <w:r>
              <w:rPr>
                <w:rFonts w:hint="eastAsia"/>
                <w:b/>
                <w:bCs/>
                <w:color w:val="000000"/>
                <w:kern w:val="0"/>
                <w:sz w:val="24"/>
                <w:szCs w:val="24"/>
                <w:lang w:bidi="ar"/>
              </w:rPr>
              <w:t>二级指标</w:t>
            </w: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b/>
                <w:bCs/>
                <w:color w:val="000000"/>
                <w:sz w:val="24"/>
                <w:szCs w:val="24"/>
              </w:rPr>
            </w:pPr>
            <w:r>
              <w:rPr>
                <w:rFonts w:hint="eastAsia"/>
                <w:b/>
                <w:bCs/>
                <w:color w:val="000000"/>
                <w:kern w:val="0"/>
                <w:sz w:val="24"/>
                <w:szCs w:val="24"/>
                <w:lang w:bidi="ar"/>
              </w:rPr>
              <w:t>三级指标</w:t>
            </w:r>
          </w:p>
        </w:tc>
        <w:tc>
          <w:tcPr>
            <w:tcW w:w="48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b/>
                <w:bCs/>
                <w:color w:val="000000"/>
                <w:sz w:val="24"/>
                <w:szCs w:val="24"/>
              </w:rPr>
            </w:pPr>
            <w:r>
              <w:rPr>
                <w:rFonts w:hint="eastAsia"/>
                <w:b/>
                <w:bCs/>
                <w:color w:val="000000"/>
                <w:kern w:val="0"/>
                <w:sz w:val="24"/>
                <w:szCs w:val="24"/>
                <w:lang w:bidi="ar"/>
              </w:rPr>
              <w:t>分值</w:t>
            </w:r>
          </w:p>
        </w:tc>
        <w:tc>
          <w:tcPr>
            <w:tcW w:w="524"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b/>
                <w:bCs/>
                <w:color w:val="000000"/>
                <w:sz w:val="24"/>
                <w:szCs w:val="24"/>
              </w:rPr>
            </w:pPr>
            <w:r>
              <w:rPr>
                <w:rFonts w:hint="eastAsia"/>
                <w:b/>
                <w:bCs/>
                <w:color w:val="000000"/>
                <w:kern w:val="0"/>
                <w:sz w:val="24"/>
                <w:szCs w:val="24"/>
                <w:lang w:bidi="ar"/>
              </w:rPr>
              <w:t>得分</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b/>
                <w:bCs/>
                <w:color w:val="000000"/>
                <w:kern w:val="0"/>
                <w:sz w:val="24"/>
                <w:szCs w:val="24"/>
                <w:lang w:bidi="ar"/>
              </w:rPr>
            </w:pPr>
            <w:r>
              <w:rPr>
                <w:rFonts w:hint="eastAsia"/>
                <w:b/>
                <w:bCs/>
                <w:color w:val="000000"/>
                <w:kern w:val="0"/>
                <w:sz w:val="24"/>
                <w:szCs w:val="24"/>
                <w:lang w:bidi="ar"/>
              </w:rPr>
              <w:t>得分率</w:t>
            </w:r>
          </w:p>
        </w:tc>
      </w:tr>
      <w:tr>
        <w:tblPrEx>
          <w:shd w:val="clear" w:color="auto" w:fill="FFFFFF" w:themeFill="background1"/>
          <w:tblCellMar>
            <w:top w:w="0" w:type="dxa"/>
            <w:left w:w="108" w:type="dxa"/>
            <w:bottom w:w="0" w:type="dxa"/>
            <w:right w:w="108" w:type="dxa"/>
          </w:tblCellMar>
        </w:tblPrEx>
        <w:trPr>
          <w:trHeight w:val="454" w:hRule="atLeast"/>
        </w:trPr>
        <w:tc>
          <w:tcPr>
            <w:tcW w:w="67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textAlignment w:val="center"/>
              <w:rPr>
                <w:color w:val="000000"/>
                <w:sz w:val="24"/>
                <w:szCs w:val="24"/>
              </w:rPr>
            </w:pPr>
            <w:r>
              <w:rPr>
                <w:rFonts w:hint="eastAsia"/>
                <w:color w:val="000000"/>
                <w:kern w:val="0"/>
                <w:sz w:val="24"/>
                <w:szCs w:val="24"/>
                <w:lang w:bidi="ar"/>
              </w:rPr>
              <w:t>A1目标任务设定</w:t>
            </w: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sz w:val="24"/>
                <w:szCs w:val="24"/>
              </w:rPr>
            </w:pPr>
            <w:r>
              <w:rPr>
                <w:rFonts w:hint="eastAsia"/>
                <w:color w:val="000000"/>
                <w:kern w:val="0"/>
                <w:sz w:val="24"/>
                <w:szCs w:val="24"/>
                <w:lang w:bidi="ar"/>
              </w:rPr>
              <w:t>A1-1目标任务设定情况</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color w:val="000000"/>
                <w:kern w:val="0"/>
                <w:sz w:val="24"/>
                <w:szCs w:val="24"/>
                <w:lang w:bidi="ar"/>
              </w:rPr>
              <w:t>3</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blPrEx>
          <w:shd w:val="clear" w:color="auto" w:fill="FFFFFF" w:themeFill="background1"/>
          <w:tblCellMar>
            <w:top w:w="0" w:type="dxa"/>
            <w:left w:w="108" w:type="dxa"/>
            <w:bottom w:w="0" w:type="dxa"/>
            <w:right w:w="108" w:type="dxa"/>
          </w:tblCellMar>
        </w:tblPrEx>
        <w:trPr>
          <w:trHeight w:val="454"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textAlignment w:val="center"/>
              <w:rPr>
                <w:color w:val="000000"/>
                <w:sz w:val="24"/>
                <w:szCs w:val="24"/>
              </w:rPr>
            </w:pPr>
            <w:r>
              <w:rPr>
                <w:rFonts w:hint="eastAsia"/>
                <w:color w:val="000000"/>
                <w:kern w:val="0"/>
                <w:sz w:val="24"/>
                <w:szCs w:val="24"/>
                <w:lang w:bidi="ar"/>
              </w:rPr>
              <w:t>A2目标任务实现情况</w:t>
            </w: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A2-1信息网络及软件购置更新工作完成情况</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3</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blPrEx>
          <w:shd w:val="clear" w:color="auto" w:fill="FFFFFF" w:themeFill="background1"/>
          <w:tblCellMar>
            <w:top w:w="0" w:type="dxa"/>
            <w:left w:w="108" w:type="dxa"/>
            <w:bottom w:w="0" w:type="dxa"/>
            <w:right w:w="108" w:type="dxa"/>
          </w:tblCellMar>
        </w:tblPrEx>
        <w:trPr>
          <w:trHeight w:val="454"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rPr>
                <w:color w:val="000000"/>
                <w:sz w:val="24"/>
                <w:szCs w:val="24"/>
              </w:rPr>
            </w:pP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A2-2房屋建筑物修缮工作完成情况</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3</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restart"/>
            <w:tcBorders>
              <w:top w:val="single" w:color="000000" w:sz="4" w:space="0"/>
              <w:left w:val="single" w:color="000000" w:sz="4" w:space="0"/>
              <w:right w:val="single" w:color="000000" w:sz="4" w:space="0"/>
            </w:tcBorders>
            <w:shd w:val="clear" w:color="auto" w:fill="FFFFFF" w:themeFill="background1"/>
            <w:vAlign w:val="center"/>
          </w:tcPr>
          <w:p>
            <w:pPr>
              <w:spacing w:line="300" w:lineRule="exact"/>
              <w:jc w:val="left"/>
              <w:textAlignment w:val="center"/>
              <w:rPr>
                <w:color w:val="000000"/>
                <w:sz w:val="24"/>
                <w:szCs w:val="24"/>
              </w:rPr>
            </w:pPr>
            <w:r>
              <w:rPr>
                <w:rFonts w:hint="eastAsia"/>
                <w:color w:val="000000"/>
                <w:kern w:val="0"/>
                <w:sz w:val="24"/>
                <w:szCs w:val="24"/>
                <w:lang w:bidi="ar"/>
              </w:rPr>
              <w:t>A3核心业务</w:t>
            </w: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A3-1住房公积金缴存额增长率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rPr>
          <w:trHeight w:val="454" w:hRule="atLeast"/>
        </w:trPr>
        <w:tc>
          <w:tcPr>
            <w:tcW w:w="676" w:type="pct"/>
            <w:vMerge w:val="continue"/>
            <w:tcBorders>
              <w:left w:val="single" w:color="000000" w:sz="4" w:space="0"/>
              <w:right w:val="single" w:color="000000" w:sz="4" w:space="0"/>
            </w:tcBorders>
            <w:shd w:val="clear" w:color="auto" w:fill="FFFFFF" w:themeFill="background1"/>
            <w:vAlign w:val="center"/>
          </w:tcPr>
          <w:p>
            <w:pPr>
              <w:spacing w:line="300" w:lineRule="exact"/>
              <w:jc w:val="center"/>
              <w:textAlignment w:val="center"/>
            </w:pPr>
          </w:p>
        </w:tc>
        <w:tc>
          <w:tcPr>
            <w:tcW w:w="483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kern w:val="0"/>
                <w:sz w:val="24"/>
                <w:szCs w:val="24"/>
                <w:lang w:bidi="ar"/>
              </w:rPr>
            </w:pPr>
            <w:r>
              <w:rPr>
                <w:rFonts w:hint="eastAsia"/>
                <w:color w:val="000000"/>
                <w:kern w:val="0"/>
                <w:sz w:val="24"/>
                <w:szCs w:val="24"/>
                <w:lang w:bidi="ar"/>
              </w:rPr>
              <w:t>A3-2住房公积金个人贷款增长率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kern w:val="0"/>
                <w:sz w:val="24"/>
                <w:szCs w:val="24"/>
                <w:lang w:bidi="ar"/>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continue"/>
            <w:tcBorders>
              <w:left w:val="single" w:color="000000" w:sz="4" w:space="0"/>
              <w:right w:val="single" w:color="000000" w:sz="4" w:space="0"/>
            </w:tcBorders>
            <w:shd w:val="clear" w:color="auto" w:fill="FFFFFF" w:themeFill="background1"/>
            <w:vAlign w:val="center"/>
          </w:tcPr>
          <w:p>
            <w:pPr>
              <w:spacing w:line="300" w:lineRule="exact"/>
              <w:jc w:val="center"/>
              <w:textAlignment w:val="center"/>
            </w:pPr>
          </w:p>
        </w:tc>
        <w:tc>
          <w:tcPr>
            <w:tcW w:w="483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kern w:val="0"/>
                <w:sz w:val="24"/>
                <w:szCs w:val="24"/>
                <w:lang w:bidi="ar"/>
              </w:rPr>
            </w:pPr>
            <w:r>
              <w:rPr>
                <w:rFonts w:hint="eastAsia"/>
                <w:color w:val="000000"/>
                <w:kern w:val="0"/>
                <w:sz w:val="24"/>
                <w:szCs w:val="24"/>
                <w:lang w:bidi="ar"/>
              </w:rPr>
              <w:t>A3-3住房公积金贷款风险准备金提取率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kern w:val="0"/>
                <w:sz w:val="24"/>
                <w:szCs w:val="24"/>
                <w:lang w:bidi="ar"/>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continue"/>
            <w:tcBorders>
              <w:left w:val="single" w:color="000000" w:sz="4" w:space="0"/>
              <w:right w:val="single" w:color="000000" w:sz="4" w:space="0"/>
            </w:tcBorders>
            <w:shd w:val="clear" w:color="auto" w:fill="FFFFFF" w:themeFill="background1"/>
            <w:vAlign w:val="center"/>
          </w:tcPr>
          <w:p>
            <w:pPr>
              <w:spacing w:line="300" w:lineRule="exact"/>
              <w:jc w:val="center"/>
              <w:textAlignment w:val="center"/>
            </w:pPr>
          </w:p>
        </w:tc>
        <w:tc>
          <w:tcPr>
            <w:tcW w:w="483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kern w:val="0"/>
                <w:sz w:val="24"/>
                <w:szCs w:val="24"/>
                <w:lang w:bidi="ar"/>
              </w:rPr>
            </w:pPr>
            <w:r>
              <w:rPr>
                <w:rFonts w:hint="eastAsia"/>
                <w:color w:val="000000"/>
                <w:kern w:val="0"/>
                <w:sz w:val="24"/>
                <w:szCs w:val="24"/>
                <w:lang w:bidi="ar"/>
              </w:rPr>
              <w:t>A3-4公积金增值收益增值率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kern w:val="0"/>
                <w:sz w:val="24"/>
                <w:szCs w:val="24"/>
                <w:lang w:bidi="ar"/>
              </w:rPr>
            </w:pPr>
            <w:r>
              <w:rPr>
                <w:rFonts w:hint="eastAsia"/>
                <w:color w:val="000000"/>
                <w:sz w:val="24"/>
                <w:szCs w:val="24"/>
              </w:rPr>
              <w:t>100%</w:t>
            </w:r>
          </w:p>
        </w:tc>
      </w:tr>
      <w:tr>
        <w:trPr>
          <w:trHeight w:val="454" w:hRule="atLeast"/>
        </w:trPr>
        <w:tc>
          <w:tcPr>
            <w:tcW w:w="676" w:type="pct"/>
            <w:vMerge w:val="continue"/>
            <w:tcBorders>
              <w:left w:val="single" w:color="000000" w:sz="4" w:space="0"/>
              <w:right w:val="single" w:color="000000" w:sz="4" w:space="0"/>
            </w:tcBorders>
            <w:shd w:val="clear" w:color="auto" w:fill="FFFFFF" w:themeFill="background1"/>
            <w:vAlign w:val="center"/>
          </w:tcPr>
          <w:p>
            <w:pPr>
              <w:spacing w:line="300" w:lineRule="exact"/>
              <w:jc w:val="center"/>
              <w:textAlignment w:val="center"/>
            </w:pP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kern w:val="0"/>
                <w:sz w:val="24"/>
                <w:szCs w:val="24"/>
                <w:lang w:bidi="ar"/>
              </w:rPr>
            </w:pPr>
            <w:r>
              <w:rPr>
                <w:rFonts w:hint="eastAsia"/>
                <w:color w:val="000000"/>
                <w:kern w:val="0"/>
                <w:sz w:val="24"/>
                <w:szCs w:val="24"/>
                <w:lang w:bidi="ar"/>
              </w:rPr>
              <w:t>A3-5住房公积金个贷率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kern w:val="0"/>
                <w:sz w:val="24"/>
                <w:szCs w:val="24"/>
                <w:lang w:bidi="ar"/>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continue"/>
            <w:tcBorders>
              <w:left w:val="single" w:color="000000" w:sz="4" w:space="0"/>
              <w:bottom w:val="single" w:color="000000" w:sz="4" w:space="0"/>
              <w:right w:val="single" w:color="000000" w:sz="4" w:space="0"/>
            </w:tcBorders>
            <w:shd w:val="clear" w:color="auto" w:fill="FFFFFF" w:themeFill="background1"/>
            <w:vAlign w:val="center"/>
          </w:tcPr>
          <w:p>
            <w:pPr>
              <w:spacing w:line="300" w:lineRule="exact"/>
              <w:jc w:val="center"/>
              <w:textAlignment w:val="center"/>
              <w:rPr>
                <w:color w:val="000000"/>
                <w:kern w:val="0"/>
                <w:sz w:val="24"/>
                <w:szCs w:val="24"/>
                <w:lang w:bidi="ar"/>
              </w:rPr>
            </w:pP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textAlignment w:val="center"/>
              <w:rPr>
                <w:color w:val="000000"/>
                <w:kern w:val="0"/>
                <w:sz w:val="24"/>
                <w:szCs w:val="24"/>
                <w:lang w:bidi="ar"/>
              </w:rPr>
            </w:pPr>
            <w:r>
              <w:rPr>
                <w:rFonts w:hint="eastAsia"/>
                <w:color w:val="000000"/>
                <w:kern w:val="0"/>
                <w:sz w:val="24"/>
                <w:szCs w:val="24"/>
                <w:lang w:bidi="ar"/>
              </w:rPr>
              <w:t>A3-6住房公积金个人贷款逾期率</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0</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kern w:val="0"/>
                <w:sz w:val="24"/>
                <w:szCs w:val="24"/>
                <w:lang w:bidi="ar"/>
              </w:rPr>
            </w:pPr>
            <w:r>
              <w:rPr>
                <w:rFonts w:hint="eastAsia"/>
                <w:color w:val="000000"/>
                <w:sz w:val="24"/>
                <w:szCs w:val="24"/>
              </w:rPr>
              <w:t>0%</w:t>
            </w:r>
          </w:p>
        </w:tc>
      </w:tr>
      <w:tr>
        <w:tblPrEx>
          <w:tblCellMar>
            <w:top w:w="0" w:type="dxa"/>
            <w:left w:w="108" w:type="dxa"/>
            <w:bottom w:w="0" w:type="dxa"/>
            <w:right w:w="108" w:type="dxa"/>
          </w:tblCellMar>
        </w:tblPrEx>
        <w:trPr>
          <w:trHeight w:val="454"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textAlignment w:val="center"/>
              <w:rPr>
                <w:color w:val="000000"/>
                <w:sz w:val="24"/>
                <w:szCs w:val="24"/>
              </w:rPr>
            </w:pPr>
            <w:r>
              <w:rPr>
                <w:rFonts w:hint="eastAsia"/>
                <w:color w:val="000000"/>
                <w:kern w:val="0"/>
                <w:sz w:val="24"/>
                <w:szCs w:val="24"/>
                <w:lang w:bidi="ar"/>
              </w:rPr>
              <w:t>A4基础管理</w:t>
            </w: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A4-1依法行政</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rPr>
                <w:color w:val="000000"/>
                <w:sz w:val="24"/>
                <w:szCs w:val="24"/>
              </w:rPr>
            </w:pP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A4-2管理制度健全性</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2</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r>
        <w:tblPrEx>
          <w:tblCellMar>
            <w:top w:w="0" w:type="dxa"/>
            <w:left w:w="108" w:type="dxa"/>
            <w:bottom w:w="0" w:type="dxa"/>
            <w:right w:w="108" w:type="dxa"/>
          </w:tblCellMar>
        </w:tblPrEx>
        <w:trPr>
          <w:trHeight w:val="454"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00" w:lineRule="exact"/>
              <w:jc w:val="left"/>
              <w:rPr>
                <w:color w:val="000000"/>
                <w:sz w:val="24"/>
                <w:szCs w:val="24"/>
              </w:rPr>
            </w:pPr>
          </w:p>
        </w:tc>
        <w:tc>
          <w:tcPr>
            <w:tcW w:w="277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left"/>
              <w:textAlignment w:val="center"/>
              <w:rPr>
                <w:color w:val="000000"/>
                <w:sz w:val="24"/>
                <w:szCs w:val="24"/>
              </w:rPr>
            </w:pPr>
            <w:r>
              <w:rPr>
                <w:rFonts w:hint="eastAsia"/>
                <w:color w:val="000000"/>
                <w:kern w:val="0"/>
                <w:sz w:val="24"/>
                <w:szCs w:val="24"/>
                <w:lang w:bidi="ar"/>
              </w:rPr>
              <w:t>A4-3制度执行有效性</w:t>
            </w:r>
          </w:p>
        </w:tc>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color w:val="000000"/>
                <w:kern w:val="0"/>
                <w:sz w:val="24"/>
                <w:szCs w:val="24"/>
                <w:lang w:bidi="ar"/>
              </w:rPr>
            </w:pPr>
            <w:r>
              <w:rPr>
                <w:rFonts w:hint="eastAsia"/>
                <w:color w:val="000000"/>
                <w:kern w:val="0"/>
                <w:sz w:val="24"/>
                <w:szCs w:val="24"/>
                <w:lang w:bidi="ar"/>
              </w:rPr>
              <w:t>4</w:t>
            </w:r>
          </w:p>
        </w:tc>
        <w:tc>
          <w:tcPr>
            <w:tcW w:w="53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spacing w:line="300" w:lineRule="exact"/>
              <w:jc w:val="center"/>
              <w:textAlignment w:val="center"/>
              <w:rPr>
                <w:color w:val="000000"/>
                <w:sz w:val="24"/>
                <w:szCs w:val="24"/>
              </w:rPr>
            </w:pPr>
            <w:r>
              <w:rPr>
                <w:rFonts w:hint="eastAsia"/>
                <w:color w:val="000000"/>
                <w:sz w:val="24"/>
                <w:szCs w:val="24"/>
              </w:rPr>
              <w:t>100%</w:t>
            </w:r>
          </w:p>
        </w:tc>
      </w:tr>
    </w:tbl>
    <w:p>
      <w:pPr>
        <w:widowControl w:val="0"/>
        <w:spacing w:line="560" w:lineRule="exact"/>
        <w:ind w:firstLine="562" w:firstLineChars="200"/>
        <w:outlineLvl w:val="3"/>
        <w:rPr>
          <w:b/>
        </w:rPr>
      </w:pPr>
      <w:r>
        <w:rPr>
          <w:rFonts w:hint="eastAsia"/>
          <w:b/>
        </w:rPr>
        <w:t>A1-1目标任务设定情况</w:t>
      </w:r>
    </w:p>
    <w:p>
      <w:pPr>
        <w:widowControl w:val="0"/>
        <w:spacing w:line="560" w:lineRule="exact"/>
        <w:ind w:firstLine="560" w:firstLineChars="200"/>
      </w:pPr>
      <w:r>
        <w:rPr>
          <w:rFonts w:hint="eastAsia"/>
        </w:rPr>
        <w:t>山西省住房和城乡建设厅于2</w:t>
      </w:r>
      <w:r>
        <w:t>021</w:t>
      </w:r>
      <w:r>
        <w:rPr>
          <w:rFonts w:hint="eastAsia"/>
        </w:rPr>
        <w:t>年4月2</w:t>
      </w:r>
      <w:r>
        <w:t>0</w:t>
      </w:r>
      <w:r>
        <w:rPr>
          <w:rFonts w:hint="eastAsia"/>
        </w:rPr>
        <w:t>日向运城市住房公积金管理中心下发《202</w:t>
      </w:r>
      <w:r>
        <w:t>1</w:t>
      </w:r>
      <w:r>
        <w:rPr>
          <w:rFonts w:hint="eastAsia"/>
        </w:rPr>
        <w:t>年住房和城乡建设工作目标任务书》，共分为资金使用管理、服务效能、宣传创新、党建和精神文明工作、法制建设、维护稳定工作等7方面13项工作目标任务，公积金中心根据工作目标任务申报绩效目标，并报运城市财政局审批。</w:t>
      </w:r>
      <w:r>
        <w:t xml:space="preserve"> </w:t>
      </w:r>
    </w:p>
    <w:p>
      <w:pPr>
        <w:pStyle w:val="7"/>
        <w:widowControl w:val="0"/>
        <w:spacing w:line="560" w:lineRule="exact"/>
        <w:ind w:firstLine="560" w:firstLineChars="200"/>
        <w:rPr>
          <w:rFonts w:ascii="仿宋" w:eastAsia="仿宋"/>
          <w:sz w:val="28"/>
        </w:rPr>
      </w:pPr>
      <w:r>
        <w:rPr>
          <w:rFonts w:hint="eastAsia" w:ascii="仿宋" w:eastAsia="仿宋"/>
          <w:sz w:val="28"/>
        </w:rPr>
        <w:t>运城市住房公积金管理中心绩效目标和年度工作任务符合国家法律法规、国民经济和社会发展总体规划，符合部门“三定”方案确定的职责，符合部门制定年度工作任务与长期规划。</w:t>
      </w:r>
    </w:p>
    <w:p>
      <w:pPr>
        <w:pStyle w:val="7"/>
        <w:widowControl w:val="0"/>
        <w:spacing w:line="560" w:lineRule="exact"/>
        <w:ind w:left="560" w:leftChars="200"/>
        <w:rPr>
          <w:rFonts w:ascii="仿宋" w:eastAsia="仿宋"/>
          <w:sz w:val="28"/>
        </w:rPr>
      </w:pPr>
      <w:r>
        <w:rPr>
          <w:rFonts w:hint="eastAsia" w:ascii="仿宋" w:eastAsia="仿宋"/>
          <w:bCs/>
          <w:kern w:val="0"/>
          <w:sz w:val="28"/>
        </w:rPr>
        <w:t>满分</w:t>
      </w:r>
      <w:r>
        <w:rPr>
          <w:rFonts w:hint="eastAsia"/>
          <w:bCs/>
          <w:kern w:val="0"/>
          <w:sz w:val="28"/>
        </w:rPr>
        <w:t>3</w:t>
      </w:r>
      <w:r>
        <w:rPr>
          <w:rFonts w:hint="eastAsia" w:ascii="仿宋" w:eastAsia="仿宋"/>
          <w:bCs/>
          <w:kern w:val="0"/>
          <w:sz w:val="28"/>
        </w:rPr>
        <w:t>分，根据绩效评价指标，本指标得分</w:t>
      </w:r>
      <w:r>
        <w:rPr>
          <w:rFonts w:hint="eastAsia" w:eastAsia="仿宋"/>
          <w:bCs/>
          <w:kern w:val="0"/>
          <w:sz w:val="28"/>
        </w:rPr>
        <w:t>3</w:t>
      </w:r>
      <w:r>
        <w:rPr>
          <w:rFonts w:hint="eastAsia" w:ascii="仿宋" w:eastAsia="仿宋"/>
          <w:bCs/>
          <w:kern w:val="0"/>
          <w:sz w:val="28"/>
        </w:rPr>
        <w:t>分，得分率</w:t>
      </w:r>
      <w:r>
        <w:rPr>
          <w:rFonts w:hint="eastAsia" w:eastAsia="仿宋"/>
          <w:bCs/>
          <w:kern w:val="0"/>
          <w:sz w:val="28"/>
        </w:rPr>
        <w:t>100</w:t>
      </w:r>
      <w:r>
        <w:rPr>
          <w:rFonts w:hint="eastAsia" w:ascii="仿宋" w:eastAsia="仿宋"/>
          <w:bCs/>
          <w:kern w:val="0"/>
          <w:sz w:val="28"/>
        </w:rPr>
        <w:t>%。</w:t>
      </w:r>
      <w:r>
        <w:rPr>
          <w:rFonts w:hint="eastAsia" w:ascii="仿宋" w:eastAsia="仿宋"/>
          <w:b/>
          <w:bCs/>
          <w:sz w:val="28"/>
        </w:rPr>
        <w:t>A2-1</w:t>
      </w:r>
      <w:r>
        <w:rPr>
          <w:rFonts w:hint="eastAsia" w:ascii="仿宋" w:eastAsia="仿宋"/>
          <w:b/>
          <w:sz w:val="28"/>
        </w:rPr>
        <w:t>信息网络及软件购置更新工作完成情况</w:t>
      </w:r>
    </w:p>
    <w:p>
      <w:pPr>
        <w:adjustRightInd w:val="0"/>
        <w:snapToGrid w:val="0"/>
        <w:spacing w:line="560" w:lineRule="exact"/>
        <w:ind w:firstLine="560" w:firstLineChars="200"/>
      </w:pPr>
      <w:r>
        <w:rPr>
          <w:rFonts w:hint="eastAsia"/>
          <w:bCs/>
        </w:rPr>
        <w:t>经核实，</w:t>
      </w:r>
      <w:r>
        <w:rPr>
          <w:rFonts w:hint="eastAsia"/>
        </w:rPr>
        <w:t>项目单位按计划完成信息网络及软件购置更新工作，</w:t>
      </w:r>
      <w:r>
        <w:rPr>
          <w:rFonts w:hint="eastAsia"/>
          <w:bCs/>
        </w:rPr>
        <w:t>具体为：</w:t>
      </w:r>
    </w:p>
    <w:p>
      <w:pPr>
        <w:pStyle w:val="7"/>
        <w:widowControl w:val="0"/>
        <w:numPr>
          <w:ilvl w:val="0"/>
          <w:numId w:val="2"/>
        </w:numPr>
        <w:spacing w:line="560" w:lineRule="exact"/>
        <w:ind w:firstLine="560" w:firstLineChars="200"/>
        <w:rPr>
          <w:rFonts w:ascii="仿宋" w:eastAsia="仿宋"/>
          <w:sz w:val="28"/>
        </w:rPr>
      </w:pPr>
      <w:r>
        <w:rPr>
          <w:rFonts w:hint="eastAsia" w:ascii="仿宋" w:eastAsia="仿宋"/>
          <w:bCs/>
          <w:sz w:val="28"/>
        </w:rPr>
        <w:t>按计划完成办公OA系统项目，具体为：①搭建流程管理系统；②基础数据录入24个部门、178个用户；③流程数据录入15条，分为公文管理、行政管理、人事管理3大类；④表单建模搭建1个模块（考核管理）；⑤移动app：178个用户，系统测试联调和用户培训工作完成后，于2021年8月5日进行验收工作。</w:t>
      </w:r>
    </w:p>
    <w:p>
      <w:pPr>
        <w:adjustRightInd w:val="0"/>
        <w:snapToGrid w:val="0"/>
        <w:spacing w:line="560" w:lineRule="exact"/>
        <w:ind w:firstLine="560" w:firstLineChars="200"/>
        <w:rPr>
          <w:bCs/>
          <w:kern w:val="0"/>
        </w:rPr>
      </w:pPr>
      <w:r>
        <w:rPr>
          <w:rFonts w:hint="eastAsia"/>
          <w:bCs/>
          <w:kern w:val="0"/>
        </w:rPr>
        <w:t>（2）按计划完成运城市住房公积金管理信息系统业务软件功能升级，具体为：一网通办（开发省共享平台系统接口、系统自动办理企业缴存登记等），网办扩展业务（异地贷款缴存证明、外部转入、省内异地贷款提取、租房提取、提前还本等）。</w:t>
      </w:r>
    </w:p>
    <w:p>
      <w:pPr>
        <w:adjustRightInd w:val="0"/>
        <w:snapToGrid w:val="0"/>
        <w:spacing w:line="560" w:lineRule="exact"/>
        <w:ind w:firstLine="560" w:firstLineChars="200"/>
        <w:rPr>
          <w:bCs/>
        </w:rPr>
      </w:pPr>
      <w:r>
        <w:rPr>
          <w:rFonts w:hint="eastAsia"/>
          <w:bCs/>
          <w:kern w:val="0"/>
        </w:rPr>
        <w:t>满分3分，根据绩效评价指标，本指标得分3分，得分率100%。</w:t>
      </w:r>
    </w:p>
    <w:p>
      <w:pPr>
        <w:pStyle w:val="7"/>
        <w:widowControl w:val="0"/>
        <w:spacing w:line="560" w:lineRule="exact"/>
        <w:ind w:firstLine="562" w:firstLineChars="200"/>
        <w:outlineLvl w:val="3"/>
        <w:rPr>
          <w:rFonts w:ascii="仿宋" w:eastAsia="仿宋"/>
          <w:b/>
          <w:sz w:val="28"/>
        </w:rPr>
      </w:pPr>
      <w:r>
        <w:rPr>
          <w:rFonts w:hint="eastAsia" w:ascii="仿宋" w:eastAsia="仿宋"/>
          <w:b/>
          <w:sz w:val="28"/>
        </w:rPr>
        <w:t>A2-2房屋建筑物修缮工作完成情况</w:t>
      </w:r>
    </w:p>
    <w:p>
      <w:pPr>
        <w:adjustRightInd w:val="0"/>
        <w:snapToGrid w:val="0"/>
        <w:spacing w:line="560" w:lineRule="exact"/>
        <w:ind w:firstLine="560" w:firstLineChars="200"/>
        <w:rPr>
          <w:bCs/>
        </w:rPr>
      </w:pPr>
      <w:r>
        <w:rPr>
          <w:rFonts w:hint="eastAsia"/>
          <w:bCs/>
        </w:rPr>
        <w:t>经核实，</w:t>
      </w:r>
      <w:r>
        <w:rPr>
          <w:rFonts w:hint="eastAsia"/>
        </w:rPr>
        <w:t>项目单位按计划完成</w:t>
      </w:r>
      <w:r>
        <w:rPr>
          <w:rFonts w:hint="eastAsia"/>
          <w:bCs/>
        </w:rPr>
        <w:t>多功能会议室及职工食堂修缮、永济管理部装修工作，具体为：</w:t>
      </w:r>
    </w:p>
    <w:p>
      <w:pPr>
        <w:adjustRightInd w:val="0"/>
        <w:snapToGrid w:val="0"/>
        <w:spacing w:line="560" w:lineRule="exact"/>
        <w:ind w:firstLine="560" w:firstLineChars="200"/>
      </w:pPr>
      <w:r>
        <w:rPr>
          <w:rFonts w:hint="eastAsia"/>
        </w:rPr>
        <w:t>（1）</w:t>
      </w:r>
      <w:r>
        <w:rPr>
          <w:rFonts w:hint="eastAsia"/>
          <w:bCs/>
        </w:rPr>
        <w:t>多功能会议室及职工食堂修</w:t>
      </w:r>
    </w:p>
    <w:p>
      <w:pPr>
        <w:adjustRightInd w:val="0"/>
        <w:snapToGrid w:val="0"/>
        <w:spacing w:line="560" w:lineRule="exact"/>
        <w:ind w:firstLine="560" w:firstLineChars="200"/>
        <w:rPr>
          <w:bCs/>
          <w:highlight w:val="yellow"/>
        </w:rPr>
      </w:pPr>
      <w:r>
        <w:rPr>
          <w:rFonts w:hint="eastAsia"/>
        </w:rPr>
        <w:t>由于原有会议室吊顶下沉、主席台破损、线路老化，会议室存在安全隐患和功能局限，需对</w:t>
      </w:r>
      <w:r>
        <w:rPr>
          <w:rFonts w:hint="eastAsia"/>
          <w:bCs/>
        </w:rPr>
        <w:t>多功能会议室及职工食堂进行修缮。该</w:t>
      </w:r>
      <w:r>
        <w:rPr>
          <w:bCs/>
        </w:rPr>
        <w:t>工程</w:t>
      </w:r>
      <w:r>
        <w:rPr>
          <w:rFonts w:hint="eastAsia"/>
          <w:bCs/>
        </w:rPr>
        <w:t>于2021年9月13日开工，2021年10月25日完工，多功能会议室修缮工程包括会议室吊顶、主席台修缮、会议室门窗；职工食堂修缮工程包括食堂彩钢房、吊顶、</w:t>
      </w:r>
      <w:r>
        <w:rPr>
          <w:rFonts w:hint="eastAsia"/>
        </w:rPr>
        <w:t>墙面喷刷涂料</w:t>
      </w:r>
      <w:r>
        <w:rPr>
          <w:rFonts w:hint="eastAsia"/>
          <w:bCs/>
        </w:rPr>
        <w:t>、下水改造等。</w:t>
      </w:r>
    </w:p>
    <w:p>
      <w:pPr>
        <w:adjustRightInd w:val="0"/>
        <w:snapToGrid w:val="0"/>
        <w:spacing w:line="560" w:lineRule="exact"/>
        <w:ind w:firstLine="560" w:firstLineChars="200"/>
      </w:pPr>
      <w:r>
        <w:rPr>
          <w:rFonts w:hint="eastAsia"/>
        </w:rPr>
        <w:t>（2）永济管理部装修工程：该工程</w:t>
      </w:r>
      <w:r>
        <w:rPr>
          <w:rFonts w:hint="eastAsia"/>
          <w:bCs/>
        </w:rPr>
        <w:t>于</w:t>
      </w:r>
      <w:r>
        <w:rPr>
          <w:rFonts w:hint="eastAsia"/>
        </w:rPr>
        <w:t>2021年11月开工，</w:t>
      </w:r>
      <w:r>
        <w:rPr>
          <w:rFonts w:hint="eastAsia"/>
          <w:bCs/>
        </w:rPr>
        <w:t>2021年12月完工，对</w:t>
      </w:r>
      <w:r>
        <w:rPr>
          <w:rFonts w:hint="eastAsia"/>
        </w:rPr>
        <w:t>一、二楼进行装修，包括木质门、全屋水电、插座灯具、木质吊顶、墙面喷刷涂料、铺设瓷砖、楼梯石材及扶手、卫生间防水、照明、换气等。</w:t>
      </w:r>
    </w:p>
    <w:p>
      <w:pPr>
        <w:adjustRightInd w:val="0"/>
        <w:snapToGrid w:val="0"/>
        <w:spacing w:line="560" w:lineRule="exact"/>
        <w:ind w:firstLine="560" w:firstLineChars="200"/>
      </w:pPr>
      <w:r>
        <w:rPr>
          <w:rFonts w:hint="eastAsia"/>
        </w:rPr>
        <w:t>（3）三楼会议室修缮，该工程</w:t>
      </w:r>
      <w:r>
        <w:rPr>
          <w:rFonts w:hint="eastAsia"/>
          <w:bCs/>
        </w:rPr>
        <w:t>于</w:t>
      </w:r>
      <w:r>
        <w:rPr>
          <w:rFonts w:hint="eastAsia"/>
        </w:rPr>
        <w:t>2021年12月完工并验收</w:t>
      </w:r>
      <w:r>
        <w:rPr>
          <w:rFonts w:hint="eastAsia"/>
          <w:bCs/>
        </w:rPr>
        <w:t>，</w:t>
      </w:r>
      <w:r>
        <w:rPr>
          <w:rFonts w:hint="eastAsia"/>
        </w:rPr>
        <w:t>主要施工内容为会议室墙体、墙板装饰。</w:t>
      </w:r>
    </w:p>
    <w:p>
      <w:pPr>
        <w:adjustRightInd w:val="0"/>
        <w:snapToGrid w:val="0"/>
        <w:spacing w:line="560" w:lineRule="exact"/>
        <w:ind w:firstLine="560" w:firstLineChars="200"/>
        <w:rPr>
          <w:bCs/>
        </w:rPr>
      </w:pPr>
      <w:r>
        <w:rPr>
          <w:rFonts w:hint="eastAsia"/>
        </w:rPr>
        <w:t>满分</w:t>
      </w:r>
      <w:r>
        <w:rPr>
          <w:rFonts w:hint="eastAsia"/>
          <w:bCs/>
          <w:kern w:val="0"/>
        </w:rPr>
        <w:t>3分，根据绩效评价指标，本指标得分3分，得分率100%。</w:t>
      </w:r>
    </w:p>
    <w:p>
      <w:pPr>
        <w:pStyle w:val="7"/>
        <w:widowControl w:val="0"/>
        <w:spacing w:line="560" w:lineRule="exact"/>
        <w:ind w:firstLine="562" w:firstLineChars="200"/>
        <w:outlineLvl w:val="3"/>
        <w:rPr>
          <w:rFonts w:ascii="仿宋" w:eastAsia="仿宋"/>
          <w:b/>
          <w:sz w:val="28"/>
        </w:rPr>
      </w:pPr>
      <w:r>
        <w:rPr>
          <w:rFonts w:hint="eastAsia" w:ascii="仿宋" w:eastAsia="仿宋"/>
          <w:b/>
          <w:sz w:val="28"/>
        </w:rPr>
        <w:t>A3-1住房公积金缴存额增长率</w:t>
      </w:r>
    </w:p>
    <w:p>
      <w:pPr>
        <w:adjustRightInd w:val="0"/>
        <w:snapToGrid w:val="0"/>
        <w:spacing w:line="560" w:lineRule="exact"/>
        <w:ind w:firstLine="560" w:firstLineChars="200"/>
        <w:rPr>
          <w:kern w:val="0"/>
        </w:rPr>
      </w:pPr>
      <w:r>
        <w:rPr>
          <w:rFonts w:hint="eastAsia"/>
          <w:bCs/>
        </w:rPr>
        <w:t>经核实，</w:t>
      </w:r>
      <w:r>
        <w:rPr>
          <w:rFonts w:hint="eastAsia"/>
          <w:kern w:val="0"/>
        </w:rPr>
        <w:t>运城市住房公积金管理中心2021年新增缴存人数28088人、缴存总额31.77亿元，2020年缴存总额28.55亿元，住房公积金缴存额增长率为11.28%，项目单位按计划完成年初住房公积金归集任务（2021年年初计划缴存29亿元）。</w:t>
      </w:r>
    </w:p>
    <w:p>
      <w:pPr>
        <w:widowControl w:val="0"/>
        <w:spacing w:line="560" w:lineRule="exact"/>
        <w:ind w:firstLine="560" w:firstLineChars="200"/>
        <w:rPr>
          <w:b/>
        </w:rPr>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p>
      <w:pPr>
        <w:pStyle w:val="15"/>
        <w:widowControl w:val="0"/>
        <w:spacing w:after="0" w:line="560" w:lineRule="exact"/>
        <w:ind w:left="0" w:leftChars="0" w:firstLine="562" w:firstLineChars="200"/>
        <w:rPr>
          <w:b/>
          <w:sz w:val="28"/>
        </w:rPr>
      </w:pPr>
      <w:r>
        <w:rPr>
          <w:rFonts w:hint="eastAsia"/>
          <w:b/>
          <w:sz w:val="28"/>
        </w:rPr>
        <w:t>A3-2住房公积金个人贷款增长率</w:t>
      </w:r>
    </w:p>
    <w:p>
      <w:pPr>
        <w:widowControl w:val="0"/>
        <w:spacing w:line="560" w:lineRule="exact"/>
        <w:ind w:firstLine="560" w:firstLineChars="200"/>
        <w:rPr>
          <w:kern w:val="0"/>
        </w:rPr>
      </w:pPr>
      <w:r>
        <w:rPr>
          <w:rFonts w:hint="eastAsia"/>
          <w:bCs/>
        </w:rPr>
        <w:t>经核实，</w:t>
      </w:r>
      <w:r>
        <w:rPr>
          <w:rFonts w:hint="eastAsia"/>
          <w:kern w:val="0"/>
        </w:rPr>
        <w:t>运城市住房公积金管理中心按年初计划完成住个人贷款发放任务，2021年年初计划发放21.60亿元，实际发放34.68亿元，增长率为60.56%，具体为：</w:t>
      </w:r>
    </w:p>
    <w:p>
      <w:pPr>
        <w:widowControl w:val="0"/>
        <w:spacing w:line="560" w:lineRule="exact"/>
        <w:ind w:firstLine="560" w:firstLineChars="200"/>
        <w:rPr>
          <w:kern w:val="0"/>
        </w:rPr>
      </w:pPr>
      <w:r>
        <w:rPr>
          <w:rFonts w:hint="eastAsia"/>
          <w:kern w:val="0"/>
        </w:rPr>
        <w:t>2021年度累计发放个人贷款9107笔，贷款发放金额34.68亿元，人均贷款3</w:t>
      </w:r>
      <w:r>
        <w:rPr>
          <w:kern w:val="0"/>
        </w:rPr>
        <w:t>8</w:t>
      </w:r>
      <w:r>
        <w:rPr>
          <w:rFonts w:hint="eastAsia"/>
          <w:kern w:val="0"/>
        </w:rPr>
        <w:t>.</w:t>
      </w:r>
      <w:r>
        <w:rPr>
          <w:kern w:val="0"/>
        </w:rPr>
        <w:t>08</w:t>
      </w:r>
      <w:r>
        <w:rPr>
          <w:rFonts w:hint="eastAsia"/>
          <w:kern w:val="0"/>
        </w:rPr>
        <w:t>万元；2020年累计发放个人贷款5915笔，贷款发放金额21.60亿元，人均贷款</w:t>
      </w:r>
      <w:r>
        <w:rPr>
          <w:kern w:val="0"/>
        </w:rPr>
        <w:t>36</w:t>
      </w:r>
      <w:r>
        <w:rPr>
          <w:rFonts w:hint="eastAsia"/>
          <w:kern w:val="0"/>
        </w:rPr>
        <w:t>.</w:t>
      </w:r>
      <w:r>
        <w:rPr>
          <w:kern w:val="0"/>
        </w:rPr>
        <w:t>52</w:t>
      </w:r>
      <w:r>
        <w:rPr>
          <w:rFonts w:hint="eastAsia"/>
          <w:kern w:val="0"/>
        </w:rPr>
        <w:t>万元。</w:t>
      </w:r>
    </w:p>
    <w:p>
      <w:pPr>
        <w:widowControl w:val="0"/>
        <w:spacing w:line="560" w:lineRule="exact"/>
        <w:ind w:firstLine="560" w:firstLineChars="200"/>
        <w:rPr>
          <w:bCs/>
        </w:rPr>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p>
      <w:pPr>
        <w:pStyle w:val="15"/>
        <w:widowControl w:val="0"/>
        <w:spacing w:after="0" w:line="560" w:lineRule="exact"/>
        <w:ind w:left="0" w:leftChars="0" w:firstLine="562" w:firstLineChars="200"/>
        <w:rPr>
          <w:b/>
          <w:sz w:val="28"/>
        </w:rPr>
      </w:pPr>
      <w:r>
        <w:rPr>
          <w:rFonts w:hint="eastAsia"/>
          <w:b/>
          <w:sz w:val="28"/>
        </w:rPr>
        <w:t>A3-3住房公积金贷款风险准备金充足率</w:t>
      </w:r>
    </w:p>
    <w:p>
      <w:pPr>
        <w:widowControl w:val="0"/>
        <w:spacing w:line="560" w:lineRule="exact"/>
        <w:ind w:firstLine="560" w:firstLineChars="200"/>
        <w:rPr>
          <w:kern w:val="0"/>
        </w:rPr>
      </w:pPr>
      <w:r>
        <w:rPr>
          <w:rFonts w:hint="eastAsia"/>
          <w:kern w:val="0"/>
        </w:rPr>
        <w:t>经核实，中心贷款风险准备金计提充足，符合相关规定，具体为：</w:t>
      </w:r>
    </w:p>
    <w:p>
      <w:pPr>
        <w:widowControl w:val="0"/>
        <w:spacing w:line="560" w:lineRule="exact"/>
        <w:ind w:firstLine="560" w:firstLineChars="200"/>
        <w:rPr>
          <w:kern w:val="0"/>
        </w:rPr>
      </w:pPr>
      <w:r>
        <w:rPr>
          <w:rFonts w:hint="eastAsia"/>
          <w:kern w:val="0"/>
        </w:rPr>
        <w:t>按照《财政部关于住房公积金财务管理补充规定的通知》（财综字〔1999〕149号）规定,建立住房公积金贷款风险准备金的比例，可按不低于住房公积金增值收益60%核定，或按不低于年度住房公积金贷款余额的1%核定。</w:t>
      </w:r>
    </w:p>
    <w:p>
      <w:pPr>
        <w:widowControl w:val="0"/>
        <w:spacing w:line="560" w:lineRule="exact"/>
        <w:ind w:firstLine="560" w:firstLineChars="200"/>
        <w:rPr>
          <w:kern w:val="0"/>
        </w:rPr>
      </w:pPr>
      <w:r>
        <w:rPr>
          <w:rFonts w:hint="eastAsia"/>
          <w:bCs/>
        </w:rPr>
        <w:t>经核实，</w:t>
      </w:r>
      <w:r>
        <w:rPr>
          <w:rFonts w:hint="eastAsia"/>
          <w:kern w:val="0"/>
        </w:rPr>
        <w:t>项目单位2021年末贷款余额94.29亿元，2021年度提取贷款风险准备金1.13亿元，实际提取比例1.2%，住房公积金贷款风险准备金提取符合相关规定。</w:t>
      </w:r>
    </w:p>
    <w:p>
      <w:pPr>
        <w:widowControl w:val="0"/>
        <w:spacing w:line="560" w:lineRule="exact"/>
        <w:ind w:firstLine="560" w:firstLineChars="200"/>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p>
      <w:pPr>
        <w:adjustRightInd w:val="0"/>
        <w:snapToGrid w:val="0"/>
        <w:spacing w:line="560" w:lineRule="exact"/>
        <w:ind w:firstLine="562" w:firstLineChars="200"/>
        <w:rPr>
          <w:b/>
        </w:rPr>
      </w:pPr>
      <w:r>
        <w:rPr>
          <w:rFonts w:hint="eastAsia"/>
          <w:b/>
        </w:rPr>
        <w:t>A3-4公积金增值收益完成情况</w:t>
      </w:r>
    </w:p>
    <w:p>
      <w:pPr>
        <w:adjustRightInd w:val="0"/>
        <w:snapToGrid w:val="0"/>
        <w:spacing w:line="560" w:lineRule="exact"/>
        <w:ind w:firstLine="560" w:firstLineChars="200"/>
        <w:rPr>
          <w:bCs/>
          <w:kern w:val="0"/>
          <w:highlight w:val="yellow"/>
        </w:rPr>
      </w:pPr>
      <w:r>
        <w:rPr>
          <w:rFonts w:hint="eastAsia"/>
          <w:bCs/>
        </w:rPr>
        <w:t>经核实，</w:t>
      </w:r>
      <w:r>
        <w:rPr>
          <w:rFonts w:hint="eastAsia"/>
          <w:kern w:val="0"/>
        </w:rPr>
        <w:t>运城市住房公积金管理中心</w:t>
      </w:r>
      <w:r>
        <w:rPr>
          <w:rFonts w:hint="eastAsia"/>
          <w:bCs/>
        </w:rPr>
        <w:t>公积金增值收益任务完成情况为：</w:t>
      </w:r>
      <w:r>
        <w:rPr>
          <w:rFonts w:hint="eastAsia"/>
          <w:kern w:val="0"/>
        </w:rPr>
        <w:t>运城市住房公积金管理中心2021年度实现增值收益2.29亿元，2020年实现增值收益1.93亿元，比上年增加0.36亿元，公积金增值收益增值率6.95%</w:t>
      </w:r>
      <w:r>
        <w:rPr>
          <w:rFonts w:hint="eastAsia"/>
          <w:bCs/>
          <w:kern w:val="0"/>
        </w:rPr>
        <w:t>。</w:t>
      </w:r>
    </w:p>
    <w:p>
      <w:pPr>
        <w:adjustRightInd w:val="0"/>
        <w:snapToGrid w:val="0"/>
        <w:spacing w:line="560" w:lineRule="exact"/>
        <w:ind w:firstLine="560" w:firstLineChars="200"/>
        <w:rPr>
          <w:b/>
        </w:rPr>
      </w:pPr>
      <w:r>
        <w:rPr>
          <w:rFonts w:hint="eastAsia"/>
          <w:bCs/>
          <w:kern w:val="0"/>
        </w:rPr>
        <w:t>满分4分，根据绩效评价指标，本指标得分4分，得分率100%。</w:t>
      </w:r>
    </w:p>
    <w:p>
      <w:pPr>
        <w:pStyle w:val="15"/>
        <w:widowControl w:val="0"/>
        <w:spacing w:after="0" w:line="560" w:lineRule="exact"/>
        <w:ind w:left="0" w:leftChars="0" w:firstLine="562" w:firstLineChars="200"/>
      </w:pPr>
      <w:r>
        <w:rPr>
          <w:rFonts w:hint="eastAsia"/>
          <w:b/>
          <w:sz w:val="28"/>
        </w:rPr>
        <w:t>A3-5住房公积金个贷率</w:t>
      </w:r>
    </w:p>
    <w:p>
      <w:pPr>
        <w:widowControl w:val="0"/>
        <w:spacing w:line="560" w:lineRule="exact"/>
        <w:ind w:firstLine="560" w:firstLineChars="200"/>
        <w:rPr>
          <w:kern w:val="0"/>
        </w:rPr>
      </w:pPr>
      <w:r>
        <w:rPr>
          <w:rFonts w:hint="eastAsia"/>
          <w:kern w:val="0"/>
        </w:rPr>
        <w:t>经核实，运城市住房公积金管理中心按计划完成住房公积金个贷率任务，年初计划保持在80%-85%合理水平，实际个贷率为81.04%，具体为：</w:t>
      </w:r>
    </w:p>
    <w:p>
      <w:pPr>
        <w:widowControl w:val="0"/>
        <w:spacing w:line="560" w:lineRule="exact"/>
        <w:ind w:firstLine="560" w:firstLineChars="200"/>
        <w:rPr>
          <w:kern w:val="0"/>
        </w:rPr>
      </w:pPr>
      <w:r>
        <w:rPr>
          <w:rFonts w:hint="eastAsia"/>
          <w:kern w:val="0"/>
        </w:rPr>
        <w:t>根据《2021年全省住房城乡建设工作目标任务书》规定：住房公积金个贷率力争保持在80%-85%合理水平，项目单位2021年末个人住房贷款余额94.29亿元，期末缴存余额116.35亿元，个人住房贷款率81.04%。</w:t>
      </w:r>
    </w:p>
    <w:p>
      <w:pPr>
        <w:widowControl w:val="0"/>
        <w:spacing w:line="560" w:lineRule="exact"/>
        <w:ind w:firstLine="560" w:firstLineChars="200"/>
        <w:rPr>
          <w:bCs/>
        </w:rPr>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p>
      <w:pPr>
        <w:pStyle w:val="7"/>
        <w:widowControl w:val="0"/>
        <w:spacing w:line="560" w:lineRule="exact"/>
        <w:ind w:firstLine="562" w:firstLineChars="200"/>
        <w:outlineLvl w:val="3"/>
        <w:rPr>
          <w:rFonts w:ascii="仿宋" w:eastAsia="仿宋"/>
          <w:b/>
          <w:bCs/>
          <w:kern w:val="0"/>
          <w:sz w:val="28"/>
        </w:rPr>
      </w:pPr>
      <w:r>
        <w:rPr>
          <w:rFonts w:hint="eastAsia" w:ascii="仿宋" w:eastAsia="仿宋"/>
          <w:b/>
          <w:bCs/>
          <w:kern w:val="0"/>
          <w:sz w:val="28"/>
        </w:rPr>
        <w:t>A3-6住房公积金个人贷款逾期率</w:t>
      </w:r>
    </w:p>
    <w:p>
      <w:pPr>
        <w:pStyle w:val="28"/>
        <w:spacing w:after="0" w:line="560" w:lineRule="exact"/>
        <w:ind w:firstLine="560" w:firstLineChars="200"/>
        <w:rPr>
          <w:kern w:val="0"/>
        </w:rPr>
      </w:pPr>
      <w:r>
        <w:rPr>
          <w:rFonts w:hint="eastAsia"/>
          <w:kern w:val="0"/>
        </w:rPr>
        <w:t>经核实，运城市住房公积金管理中心未按规定完成年初住房公积金个人贷款逾期率控制指标，年初任务为贷款逾期率降至0.</w:t>
      </w:r>
      <w:r>
        <w:rPr>
          <w:kern w:val="0"/>
        </w:rPr>
        <w:t>02</w:t>
      </w:r>
      <w:r>
        <w:rPr>
          <w:rFonts w:hint="eastAsia"/>
          <w:kern w:val="0"/>
        </w:rPr>
        <w:t>%以下，实际贷款逾期率为0.</w:t>
      </w:r>
      <w:r>
        <w:rPr>
          <w:kern w:val="0"/>
        </w:rPr>
        <w:t>12</w:t>
      </w:r>
      <w:r>
        <w:rPr>
          <w:rFonts w:hint="eastAsia"/>
          <w:kern w:val="0"/>
        </w:rPr>
        <w:t>%， 具体为：</w:t>
      </w:r>
    </w:p>
    <w:p>
      <w:pPr>
        <w:pStyle w:val="28"/>
        <w:spacing w:after="0" w:line="560" w:lineRule="exact"/>
        <w:ind w:firstLine="560" w:firstLineChars="200"/>
        <w:rPr>
          <w:kern w:val="0"/>
        </w:rPr>
      </w:pPr>
      <w:r>
        <w:rPr>
          <w:rFonts w:hint="eastAsia"/>
          <w:kern w:val="0"/>
        </w:rPr>
        <w:t>根据《2021年全省住房城乡建设工作目标任务书》中规定：个人贷款逾期率降至0.02%以下。</w:t>
      </w:r>
    </w:p>
    <w:p>
      <w:pPr>
        <w:pStyle w:val="28"/>
        <w:spacing w:after="0" w:line="560" w:lineRule="exact"/>
        <w:ind w:firstLine="560" w:firstLineChars="200"/>
        <w:rPr>
          <w:kern w:val="0"/>
        </w:rPr>
      </w:pPr>
      <w:r>
        <w:rPr>
          <w:rFonts w:hint="eastAsia"/>
          <w:kern w:val="0"/>
        </w:rPr>
        <w:t>经核实，项目单位通过电话催收、上门催收、划扣公积金、媒体公告、法律诉讼、法院执行、公安协助等手段和措施，开展逾期贷款清收工作，2021年末公积金个人贷款余额为94.29亿元，期末逾期贷款额1,107.84万元（逾期3-5期贷款额2.34万元，逾期6期及以上贷款额1,105.50万元），2021年末个贷逾期率为0.12%，较2020年（个贷逾期率0.22%）相比下降0.10%，个贷逾期额从1,547.57万元下降至1,107.84万元，但仍未完成目标任务。</w:t>
      </w:r>
    </w:p>
    <w:p>
      <w:pPr>
        <w:pStyle w:val="28"/>
        <w:spacing w:after="0" w:line="560" w:lineRule="exact"/>
        <w:ind w:firstLine="560" w:firstLineChars="200"/>
        <w:rPr>
          <w:kern w:val="0"/>
        </w:rPr>
      </w:pPr>
      <w:r>
        <w:rPr>
          <w:rFonts w:hint="eastAsia"/>
          <w:kern w:val="0"/>
        </w:rPr>
        <w:t>满分4分，根据绩效评价指标，本指标得分0分，得分率0%。</w:t>
      </w:r>
    </w:p>
    <w:p>
      <w:pPr>
        <w:pStyle w:val="7"/>
        <w:widowControl w:val="0"/>
        <w:spacing w:line="560" w:lineRule="exact"/>
        <w:ind w:firstLine="562" w:firstLineChars="200"/>
        <w:outlineLvl w:val="3"/>
        <w:rPr>
          <w:rFonts w:ascii="仿宋" w:eastAsia="仿宋"/>
          <w:b/>
          <w:bCs/>
          <w:kern w:val="0"/>
          <w:sz w:val="28"/>
        </w:rPr>
      </w:pPr>
      <w:r>
        <w:rPr>
          <w:rFonts w:hint="eastAsia" w:ascii="仿宋" w:eastAsia="仿宋"/>
          <w:b/>
          <w:bCs/>
          <w:kern w:val="0"/>
          <w:sz w:val="28"/>
        </w:rPr>
        <w:t>A4-1依法行政</w:t>
      </w:r>
    </w:p>
    <w:p>
      <w:pPr>
        <w:pStyle w:val="28"/>
        <w:spacing w:after="0" w:line="560" w:lineRule="exact"/>
        <w:ind w:firstLine="560" w:firstLineChars="200"/>
        <w:rPr>
          <w:kern w:val="0"/>
        </w:rPr>
      </w:pPr>
      <w:r>
        <w:rPr>
          <w:rFonts w:hint="eastAsia"/>
          <w:kern w:val="0"/>
        </w:rPr>
        <w:t>项目单位按照相关政策文件依法行政，业务执行方面的政策文件包括国家相关政策文件5项、省市相关政策文件13项、市住房公积金管理中心业务政策规定13项，内部管理方面的规章制度共27项。</w:t>
      </w:r>
    </w:p>
    <w:p>
      <w:pPr>
        <w:pStyle w:val="28"/>
        <w:spacing w:after="0" w:line="560" w:lineRule="exact"/>
        <w:ind w:firstLine="560" w:firstLineChars="200"/>
        <w:rPr>
          <w:kern w:val="0"/>
        </w:rPr>
      </w:pPr>
      <w:r>
        <w:rPr>
          <w:rFonts w:hint="eastAsia"/>
          <w:kern w:val="0"/>
        </w:rPr>
        <w:t>市直、盐湖区和各县公积金业务窗口，统一进驻政务服务中心现场办公；项目单位完善公积金服务管理制度，包括首问责任制度、一次性告知制度、限期办结制、责任追究制度等，如：住房公积金贷款，手续齐全、真实、符合贷款条件的，即时受理，审核时限不超5个工作日；公积金缴存业务办理，符合相关规定，资料齐全、真实的，即时即办；</w:t>
      </w:r>
    </w:p>
    <w:p>
      <w:pPr>
        <w:pStyle w:val="28"/>
        <w:spacing w:after="0" w:line="560" w:lineRule="exact"/>
        <w:ind w:firstLine="560" w:firstLineChars="200"/>
      </w:pPr>
      <w:r>
        <w:rPr>
          <w:rFonts w:hint="eastAsia"/>
          <w:kern w:val="0"/>
        </w:rPr>
        <w:t>项目单位制定行政执法相关制度，成立监督管理部门，负责组织和协调市直和各县开展执法工作，对单位和职工违反公积金相关规定行为进行查处，处理听证、行政复议及行政诉讼案件。</w:t>
      </w:r>
    </w:p>
    <w:p>
      <w:pPr>
        <w:widowControl w:val="0"/>
        <w:spacing w:line="560" w:lineRule="exact"/>
        <w:ind w:firstLine="560" w:firstLineChars="200"/>
        <w:rPr>
          <w:bCs/>
        </w:rPr>
      </w:pPr>
      <w:r>
        <w:rPr>
          <w:rFonts w:hint="eastAsia"/>
          <w:bCs/>
        </w:rPr>
        <w:t>满分1分，</w:t>
      </w:r>
      <w:r>
        <w:rPr>
          <w:rFonts w:hint="eastAsia"/>
          <w:kern w:val="0"/>
        </w:rPr>
        <w:t>根据绩效评价指标，本指标</w:t>
      </w:r>
      <w:r>
        <w:rPr>
          <w:rFonts w:hint="eastAsia"/>
          <w:bCs/>
        </w:rPr>
        <w:t>得分1分</w:t>
      </w:r>
      <w:r>
        <w:rPr>
          <w:rFonts w:hint="eastAsia"/>
          <w:kern w:val="0"/>
        </w:rPr>
        <w:t>，得分率100%</w:t>
      </w:r>
      <w:r>
        <w:rPr>
          <w:rFonts w:hint="eastAsia"/>
          <w:bCs/>
        </w:rPr>
        <w:t>。</w:t>
      </w:r>
    </w:p>
    <w:p>
      <w:pPr>
        <w:pStyle w:val="7"/>
        <w:widowControl w:val="0"/>
        <w:spacing w:line="560" w:lineRule="exact"/>
        <w:ind w:firstLine="562" w:firstLineChars="200"/>
        <w:outlineLvl w:val="3"/>
        <w:rPr>
          <w:rFonts w:ascii="仿宋" w:eastAsia="仿宋"/>
          <w:b/>
          <w:bCs/>
          <w:kern w:val="0"/>
          <w:sz w:val="28"/>
        </w:rPr>
      </w:pPr>
      <w:r>
        <w:rPr>
          <w:rFonts w:hint="eastAsia" w:ascii="仿宋" w:eastAsia="仿宋"/>
          <w:b/>
          <w:bCs/>
          <w:kern w:val="0"/>
          <w:sz w:val="28"/>
        </w:rPr>
        <w:t>A4-2管理制度健全性</w:t>
      </w:r>
    </w:p>
    <w:p>
      <w:pPr>
        <w:pStyle w:val="7"/>
        <w:widowControl w:val="0"/>
        <w:spacing w:line="560" w:lineRule="exact"/>
        <w:ind w:firstLine="560" w:firstLineChars="200"/>
        <w:rPr>
          <w:rFonts w:ascii="仿宋" w:eastAsia="仿宋"/>
          <w:kern w:val="0"/>
          <w:sz w:val="28"/>
        </w:rPr>
      </w:pPr>
      <w:r>
        <w:rPr>
          <w:rFonts w:hint="eastAsia"/>
          <w:kern w:val="0"/>
          <w:sz w:val="28"/>
        </w:rPr>
        <w:t>经核实，中心管理制度较为健全，</w:t>
      </w:r>
      <w:r>
        <w:rPr>
          <w:rFonts w:hint="eastAsia" w:ascii="仿宋" w:eastAsia="仿宋"/>
          <w:kern w:val="0"/>
          <w:sz w:val="28"/>
        </w:rPr>
        <w:t>主要包括公积金业务层面、内部规章制度两个部分，具体为：</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公积金业务层面包括国家相关政策文件、省市相关政策文件、管理中心业务政策规定，主要包括运城市住房公积金缴存管理办法、缴存操作规范、提取管理办法、个人贷款管理办法、贷款风险防控管理办法、公积金财务制度、资金流动性风险预警机制实施意见、内部审计制度等，涵盖了该部门主要经济活动内容。</w:t>
      </w:r>
    </w:p>
    <w:p>
      <w:pPr>
        <w:pStyle w:val="7"/>
        <w:widowControl w:val="0"/>
        <w:spacing w:line="560" w:lineRule="exact"/>
        <w:ind w:firstLine="560" w:firstLineChars="200"/>
        <w:rPr>
          <w:rFonts w:ascii="仿宋" w:eastAsia="仿宋"/>
          <w:kern w:val="0"/>
          <w:sz w:val="28"/>
          <w:highlight w:val="yellow"/>
        </w:rPr>
      </w:pPr>
      <w:r>
        <w:rPr>
          <w:rFonts w:hint="eastAsia" w:ascii="仿宋" w:eastAsia="仿宋"/>
          <w:kern w:val="0"/>
          <w:sz w:val="28"/>
        </w:rPr>
        <w:t>内部规章制度主要包括“三重一大”集体决策制度实施办法、管理费用财务管理制度、AB岗工作制度、办公用品管理制度、采购管理制度、固定资产管理规定等，业务管理制度和流程合法、合规、完整。</w:t>
      </w:r>
    </w:p>
    <w:p>
      <w:pPr>
        <w:widowControl w:val="0"/>
        <w:spacing w:line="560" w:lineRule="exact"/>
        <w:ind w:firstLine="560" w:firstLineChars="200"/>
        <w:rPr>
          <w:bCs/>
        </w:rPr>
      </w:pPr>
      <w:r>
        <w:rPr>
          <w:rFonts w:hint="eastAsia"/>
          <w:bCs/>
        </w:rPr>
        <w:t>满分2分，</w:t>
      </w:r>
      <w:r>
        <w:rPr>
          <w:rFonts w:hint="eastAsia"/>
          <w:kern w:val="0"/>
        </w:rPr>
        <w:t>根据绩效评价指标，本指标</w:t>
      </w:r>
      <w:r>
        <w:rPr>
          <w:rFonts w:hint="eastAsia"/>
          <w:bCs/>
        </w:rPr>
        <w:t>得分2分</w:t>
      </w:r>
      <w:r>
        <w:rPr>
          <w:rFonts w:hint="eastAsia"/>
          <w:kern w:val="0"/>
        </w:rPr>
        <w:t>，得分率100%</w:t>
      </w:r>
      <w:r>
        <w:rPr>
          <w:rFonts w:hint="eastAsia"/>
          <w:bCs/>
        </w:rPr>
        <w:t>。</w:t>
      </w:r>
    </w:p>
    <w:p>
      <w:pPr>
        <w:pStyle w:val="7"/>
        <w:widowControl w:val="0"/>
        <w:spacing w:line="560" w:lineRule="exact"/>
        <w:ind w:firstLine="562" w:firstLineChars="200"/>
        <w:outlineLvl w:val="3"/>
        <w:rPr>
          <w:rFonts w:ascii="仿宋" w:eastAsia="仿宋"/>
          <w:b/>
          <w:bCs/>
          <w:kern w:val="0"/>
          <w:sz w:val="28"/>
        </w:rPr>
      </w:pPr>
      <w:r>
        <w:rPr>
          <w:rFonts w:hint="eastAsia" w:ascii="仿宋" w:eastAsia="仿宋"/>
          <w:b/>
          <w:bCs/>
          <w:kern w:val="0"/>
          <w:sz w:val="28"/>
        </w:rPr>
        <w:t>A4-3制度执行有效性</w:t>
      </w:r>
    </w:p>
    <w:p>
      <w:pPr>
        <w:widowControl w:val="0"/>
        <w:spacing w:line="560" w:lineRule="exact"/>
        <w:ind w:firstLine="560" w:firstLineChars="200"/>
        <w:rPr>
          <w:kern w:val="0"/>
        </w:rPr>
      </w:pPr>
      <w:r>
        <w:rPr>
          <w:rFonts w:hint="eastAsia"/>
          <w:kern w:val="0"/>
        </w:rPr>
        <w:t>经评价组核实，在项目建设过程中制度执行较为有效，项目资金申请及批复、验收等实施资料齐全并及时归档，项目实施人员条件、场地设备等均落实到位；在业务办理过程中按照相关政策文件执行，缴存、提取和贷款业务有相应审批流程，监督管理部门按照法定程序对住房公积金缴存、使用等情况进行行政检查，安排专人负责住房公积金监管服务平台工作，利用电子稽查工具集中排查风险隐患疑点并进行整改，行政执法工作有效运行。</w:t>
      </w:r>
    </w:p>
    <w:p>
      <w:pPr>
        <w:widowControl w:val="0"/>
        <w:spacing w:line="560" w:lineRule="exact"/>
        <w:ind w:firstLine="560" w:firstLineChars="200"/>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bookmarkEnd w:id="250"/>
    <w:bookmarkEnd w:id="251"/>
    <w:bookmarkEnd w:id="252"/>
    <w:bookmarkEnd w:id="253"/>
    <w:bookmarkEnd w:id="254"/>
    <w:bookmarkEnd w:id="255"/>
    <w:bookmarkEnd w:id="256"/>
    <w:bookmarkEnd w:id="257"/>
    <w:bookmarkEnd w:id="258"/>
    <w:p>
      <w:pPr>
        <w:spacing w:line="560" w:lineRule="exact"/>
        <w:ind w:firstLine="560" w:firstLineChars="200"/>
      </w:pPr>
      <w:bookmarkStart w:id="260" w:name="_Toc17758"/>
      <w:bookmarkStart w:id="261" w:name="_Toc5096"/>
      <w:bookmarkStart w:id="262" w:name="_Toc5760_WPSOffice_Level2"/>
      <w:bookmarkStart w:id="263" w:name="_Toc29290_WPSOffice_Level2"/>
      <w:bookmarkStart w:id="264" w:name="_Toc14013_WPSOffice_Level2"/>
      <w:bookmarkStart w:id="265" w:name="_Toc30298_WPSOffice_Level2"/>
      <w:bookmarkStart w:id="266" w:name="_Toc30281_WPSOffice_Level2"/>
      <w:bookmarkStart w:id="267" w:name="_Toc31868_WPSOffice_Level2"/>
      <w:bookmarkStart w:id="268" w:name="_Toc26043_WPSOffice_Level2"/>
      <w:bookmarkStart w:id="269" w:name="_Toc10374_WPSOffice_Level2"/>
      <w:bookmarkStart w:id="270" w:name="_Toc224_WPSOffice_Level2"/>
      <w:r>
        <w:rPr>
          <w:rFonts w:hint="eastAsia"/>
        </w:rPr>
        <w:t>（二）管理效率分析</w:t>
      </w:r>
      <w:bookmarkEnd w:id="260"/>
      <w:bookmarkEnd w:id="261"/>
    </w:p>
    <w:p>
      <w:pPr>
        <w:widowControl w:val="0"/>
        <w:spacing w:line="560" w:lineRule="exact"/>
        <w:ind w:firstLine="560" w:firstLineChars="200"/>
      </w:pPr>
      <w:r>
        <w:rPr>
          <w:rFonts w:hint="eastAsia"/>
        </w:rPr>
        <w:t>管理效率类指标分别从预算管理、财务管理、资产管理、其他管理四个方面进行分析，共设置4个二级指标10个三级指标。管理效率类指标分值30分，实际得分2</w:t>
      </w:r>
      <w:r>
        <w:rPr>
          <w:rFonts w:hint="eastAsia"/>
          <w:lang w:val="en-US" w:eastAsia="zh-CN"/>
        </w:rPr>
        <w:t>3</w:t>
      </w:r>
      <w:r>
        <w:rPr>
          <w:rFonts w:hint="eastAsia"/>
        </w:rPr>
        <w:t>.5分，得分率</w:t>
      </w:r>
      <w:r>
        <w:rPr>
          <w:rFonts w:hint="eastAsia"/>
          <w:lang w:val="en-US" w:eastAsia="zh-CN"/>
        </w:rPr>
        <w:t>78.33</w:t>
      </w:r>
      <w:r>
        <w:rPr>
          <w:rFonts w:hint="eastAsia"/>
        </w:rPr>
        <w:t>%。</w:t>
      </w:r>
    </w:p>
    <w:p>
      <w:pPr>
        <w:widowControl w:val="0"/>
        <w:spacing w:line="560" w:lineRule="exact"/>
        <w:ind w:firstLine="560" w:firstLineChars="200"/>
      </w:pPr>
      <w:r>
        <w:rPr>
          <w:rFonts w:hint="eastAsia"/>
        </w:rPr>
        <w:t>具体得分情况如下表所示：</w:t>
      </w:r>
    </w:p>
    <w:p>
      <w:pPr>
        <w:pStyle w:val="72"/>
        <w:spacing w:line="360" w:lineRule="auto"/>
        <w:rPr>
          <w:rFonts w:ascii="仿宋" w:hAnsi="仿宋" w:eastAsia="仿宋"/>
          <w:szCs w:val="24"/>
        </w:rPr>
      </w:pPr>
      <w:r>
        <w:rPr>
          <w:rFonts w:hint="eastAsia" w:ascii="仿宋" w:hAnsi="仿宋" w:eastAsia="仿宋"/>
          <w:szCs w:val="24"/>
        </w:rPr>
        <w:t>表3-3  管理效率类指标得分情况</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3279"/>
        <w:gridCol w:w="1099"/>
        <w:gridCol w:w="91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3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二级指标</w:t>
            </w:r>
          </w:p>
        </w:tc>
        <w:tc>
          <w:tcPr>
            <w:tcW w:w="327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三级指标</w:t>
            </w:r>
          </w:p>
        </w:tc>
        <w:tc>
          <w:tcPr>
            <w:tcW w:w="109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分值</w:t>
            </w:r>
          </w:p>
        </w:tc>
        <w:tc>
          <w:tcPr>
            <w:tcW w:w="912"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得分</w:t>
            </w:r>
          </w:p>
        </w:tc>
        <w:tc>
          <w:tcPr>
            <w:tcW w:w="1093"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72"/>
              <w:spacing w:before="0" w:after="0" w:line="360" w:lineRule="auto"/>
              <w:rPr>
                <w:rFonts w:ascii="仿宋" w:hAnsi="仿宋" w:eastAsia="仿宋"/>
                <w:b w:val="0"/>
                <w:color w:val="000000"/>
                <w:szCs w:val="24"/>
              </w:rPr>
            </w:pPr>
            <w:r>
              <w:rPr>
                <w:rFonts w:hint="eastAsia" w:ascii="仿宋" w:hAnsi="仿宋" w:eastAsia="仿宋"/>
                <w:b w:val="0"/>
                <w:bCs/>
                <w:color w:val="000000"/>
                <w:szCs w:val="24"/>
                <w:lang w:bidi="ar"/>
              </w:rPr>
              <w:t>预算管理</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B1-1预算编制管理</w:t>
            </w:r>
          </w:p>
        </w:tc>
        <w:tc>
          <w:tcPr>
            <w:tcW w:w="1099" w:type="dxa"/>
            <w:vAlign w:val="center"/>
          </w:tcPr>
          <w:p>
            <w:pPr>
              <w:jc w:val="center"/>
              <w:textAlignment w:val="center"/>
              <w:rPr>
                <w:color w:val="000000"/>
                <w:kern w:val="0"/>
                <w:sz w:val="24"/>
                <w:szCs w:val="24"/>
              </w:rPr>
            </w:pPr>
            <w:r>
              <w:rPr>
                <w:rFonts w:hint="eastAsia"/>
                <w:color w:val="000000"/>
                <w:kern w:val="0"/>
                <w:sz w:val="24"/>
                <w:szCs w:val="24"/>
              </w:rPr>
              <w:t>4</w:t>
            </w:r>
          </w:p>
        </w:tc>
        <w:tc>
          <w:tcPr>
            <w:tcW w:w="912" w:type="dxa"/>
            <w:vAlign w:val="center"/>
          </w:tcPr>
          <w:p>
            <w:pPr>
              <w:jc w:val="center"/>
              <w:textAlignment w:val="center"/>
              <w:rPr>
                <w:color w:val="000000"/>
                <w:kern w:val="0"/>
                <w:sz w:val="24"/>
                <w:szCs w:val="24"/>
              </w:rPr>
            </w:pPr>
            <w:r>
              <w:rPr>
                <w:color w:val="000000"/>
                <w:kern w:val="0"/>
                <w:sz w:val="24"/>
                <w:szCs w:val="24"/>
              </w:rPr>
              <w:t>2</w:t>
            </w:r>
          </w:p>
        </w:tc>
        <w:tc>
          <w:tcPr>
            <w:tcW w:w="1093" w:type="dxa"/>
            <w:vAlign w:val="center"/>
          </w:tcPr>
          <w:p>
            <w:pPr>
              <w:jc w:val="center"/>
              <w:textAlignment w:val="center"/>
              <w:rPr>
                <w:sz w:val="24"/>
                <w:szCs w:val="24"/>
              </w:rPr>
            </w:pPr>
            <w:r>
              <w:rPr>
                <w:rFonts w:hint="eastAsia"/>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B1-2预算执行管理</w:t>
            </w:r>
          </w:p>
        </w:tc>
        <w:tc>
          <w:tcPr>
            <w:tcW w:w="1099" w:type="dxa"/>
            <w:vAlign w:val="center"/>
          </w:tcPr>
          <w:p>
            <w:pPr>
              <w:jc w:val="center"/>
              <w:textAlignment w:val="center"/>
              <w:rPr>
                <w:color w:val="000000"/>
                <w:kern w:val="0"/>
                <w:sz w:val="24"/>
                <w:szCs w:val="24"/>
              </w:rPr>
            </w:pPr>
            <w:r>
              <w:rPr>
                <w:rFonts w:hint="eastAsia"/>
                <w:color w:val="000000"/>
                <w:kern w:val="0"/>
                <w:sz w:val="24"/>
                <w:szCs w:val="24"/>
              </w:rPr>
              <w:t>7</w:t>
            </w:r>
          </w:p>
        </w:tc>
        <w:tc>
          <w:tcPr>
            <w:tcW w:w="912" w:type="dxa"/>
            <w:vAlign w:val="center"/>
          </w:tcPr>
          <w:p>
            <w:pPr>
              <w:jc w:val="center"/>
              <w:textAlignment w:val="center"/>
              <w:rPr>
                <w:color w:val="000000"/>
                <w:kern w:val="0"/>
                <w:sz w:val="24"/>
                <w:szCs w:val="24"/>
              </w:rPr>
            </w:pPr>
            <w:r>
              <w:rPr>
                <w:rFonts w:hint="eastAsia"/>
                <w:color w:val="000000"/>
                <w:kern w:val="0"/>
                <w:sz w:val="24"/>
                <w:szCs w:val="24"/>
              </w:rPr>
              <w:t>6</w:t>
            </w:r>
          </w:p>
        </w:tc>
        <w:tc>
          <w:tcPr>
            <w:tcW w:w="1093" w:type="dxa"/>
            <w:vAlign w:val="center"/>
          </w:tcPr>
          <w:p>
            <w:pPr>
              <w:jc w:val="center"/>
              <w:textAlignment w:val="center"/>
              <w:rPr>
                <w:sz w:val="24"/>
                <w:szCs w:val="24"/>
              </w:rPr>
            </w:pPr>
            <w:r>
              <w:rPr>
                <w:rFonts w:hint="eastAsia"/>
                <w:sz w:val="24"/>
                <w:szCs w:val="24"/>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B1-3预算监督管理</w:t>
            </w:r>
          </w:p>
        </w:tc>
        <w:tc>
          <w:tcPr>
            <w:tcW w:w="1099" w:type="dxa"/>
            <w:vAlign w:val="center"/>
          </w:tcPr>
          <w:p>
            <w:pPr>
              <w:jc w:val="center"/>
              <w:textAlignment w:val="center"/>
              <w:rPr>
                <w:color w:val="000000"/>
                <w:kern w:val="0"/>
                <w:sz w:val="24"/>
                <w:szCs w:val="24"/>
              </w:rPr>
            </w:pPr>
            <w:r>
              <w:rPr>
                <w:rFonts w:hint="eastAsia"/>
                <w:color w:val="000000"/>
                <w:kern w:val="0"/>
                <w:sz w:val="24"/>
                <w:szCs w:val="24"/>
              </w:rPr>
              <w:t>1</w:t>
            </w:r>
          </w:p>
        </w:tc>
        <w:tc>
          <w:tcPr>
            <w:tcW w:w="912" w:type="dxa"/>
            <w:vAlign w:val="center"/>
          </w:tcPr>
          <w:p>
            <w:pPr>
              <w:jc w:val="center"/>
              <w:textAlignment w:val="center"/>
              <w:rPr>
                <w:color w:val="000000"/>
                <w:kern w:val="0"/>
                <w:sz w:val="24"/>
                <w:szCs w:val="24"/>
              </w:rPr>
            </w:pPr>
            <w:r>
              <w:rPr>
                <w:color w:val="000000"/>
                <w:kern w:val="0"/>
                <w:sz w:val="24"/>
                <w:szCs w:val="24"/>
              </w:rPr>
              <w:t>1</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B1-4预算绩效管理</w:t>
            </w:r>
          </w:p>
        </w:tc>
        <w:tc>
          <w:tcPr>
            <w:tcW w:w="1099" w:type="dxa"/>
            <w:vAlign w:val="center"/>
          </w:tcPr>
          <w:p>
            <w:pPr>
              <w:jc w:val="center"/>
              <w:textAlignment w:val="center"/>
              <w:rPr>
                <w:rFonts w:hint="eastAsia" w:eastAsia="仿宋"/>
                <w:color w:val="000000"/>
                <w:kern w:val="0"/>
                <w:sz w:val="24"/>
                <w:szCs w:val="24"/>
                <w:lang w:eastAsia="zh-CN"/>
              </w:rPr>
            </w:pPr>
            <w:r>
              <w:rPr>
                <w:rFonts w:hint="eastAsia"/>
                <w:color w:val="000000"/>
                <w:kern w:val="0"/>
                <w:sz w:val="24"/>
                <w:szCs w:val="24"/>
                <w:lang w:val="en-US" w:eastAsia="zh-CN"/>
              </w:rPr>
              <w:t>4</w:t>
            </w:r>
          </w:p>
        </w:tc>
        <w:tc>
          <w:tcPr>
            <w:tcW w:w="912" w:type="dxa"/>
            <w:vAlign w:val="center"/>
          </w:tcPr>
          <w:p>
            <w:pPr>
              <w:jc w:val="center"/>
              <w:textAlignment w:val="center"/>
              <w:rPr>
                <w:color w:val="000000"/>
                <w:kern w:val="0"/>
                <w:sz w:val="24"/>
                <w:szCs w:val="24"/>
              </w:rPr>
            </w:pPr>
            <w:r>
              <w:rPr>
                <w:color w:val="000000"/>
                <w:kern w:val="0"/>
                <w:sz w:val="24"/>
                <w:szCs w:val="24"/>
              </w:rPr>
              <w:t>1.5</w:t>
            </w:r>
          </w:p>
        </w:tc>
        <w:tc>
          <w:tcPr>
            <w:tcW w:w="1093" w:type="dxa"/>
            <w:vAlign w:val="center"/>
          </w:tcPr>
          <w:p>
            <w:pPr>
              <w:jc w:val="center"/>
              <w:textAlignment w:val="center"/>
              <w:rPr>
                <w:color w:val="000000"/>
                <w:kern w:val="0"/>
                <w:sz w:val="24"/>
                <w:szCs w:val="24"/>
              </w:rPr>
            </w:pPr>
            <w:r>
              <w:rPr>
                <w:rFonts w:hint="eastAsia"/>
                <w:sz w:val="24"/>
                <w:szCs w:val="24"/>
                <w:lang w:val="en-US" w:eastAsia="zh-CN"/>
              </w:rPr>
              <w:t>37.5</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72"/>
              <w:spacing w:before="0" w:after="0" w:line="360" w:lineRule="auto"/>
              <w:rPr>
                <w:rFonts w:ascii="仿宋" w:hAnsi="仿宋" w:eastAsia="仿宋"/>
                <w:b w:val="0"/>
                <w:color w:val="000000"/>
                <w:szCs w:val="24"/>
              </w:rPr>
            </w:pPr>
            <w:r>
              <w:rPr>
                <w:rFonts w:hint="eastAsia" w:ascii="仿宋" w:hAnsi="仿宋" w:eastAsia="仿宋"/>
                <w:b w:val="0"/>
                <w:bCs/>
                <w:color w:val="000000"/>
                <w:szCs w:val="24"/>
                <w:lang w:bidi="ar"/>
              </w:rPr>
              <w:t>财务管理</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B2-1财务管理规范性</w:t>
            </w:r>
          </w:p>
        </w:tc>
        <w:tc>
          <w:tcPr>
            <w:tcW w:w="1099" w:type="dxa"/>
            <w:vAlign w:val="center"/>
          </w:tcPr>
          <w:p>
            <w:pPr>
              <w:jc w:val="center"/>
              <w:textAlignment w:val="center"/>
              <w:rPr>
                <w:color w:val="000000"/>
                <w:kern w:val="0"/>
                <w:sz w:val="24"/>
                <w:szCs w:val="24"/>
              </w:rPr>
            </w:pPr>
            <w:r>
              <w:rPr>
                <w:rFonts w:hint="eastAsia"/>
                <w:color w:val="000000"/>
                <w:kern w:val="0"/>
                <w:sz w:val="24"/>
                <w:szCs w:val="24"/>
              </w:rPr>
              <w:t>2</w:t>
            </w:r>
          </w:p>
        </w:tc>
        <w:tc>
          <w:tcPr>
            <w:tcW w:w="912" w:type="dxa"/>
            <w:vAlign w:val="center"/>
          </w:tcPr>
          <w:p>
            <w:pPr>
              <w:jc w:val="center"/>
              <w:textAlignment w:val="center"/>
              <w:rPr>
                <w:color w:val="000000"/>
                <w:kern w:val="0"/>
                <w:sz w:val="24"/>
                <w:szCs w:val="24"/>
              </w:rPr>
            </w:pPr>
            <w:r>
              <w:rPr>
                <w:rFonts w:hint="eastAsia"/>
                <w:color w:val="000000"/>
                <w:kern w:val="0"/>
                <w:sz w:val="24"/>
                <w:szCs w:val="24"/>
              </w:rPr>
              <w:t>2</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vAlign w:val="center"/>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B2-2财务管理有效性</w:t>
            </w:r>
          </w:p>
        </w:tc>
        <w:tc>
          <w:tcPr>
            <w:tcW w:w="1099" w:type="dxa"/>
            <w:vAlign w:val="center"/>
          </w:tcPr>
          <w:p>
            <w:pPr>
              <w:jc w:val="center"/>
              <w:textAlignment w:val="center"/>
              <w:rPr>
                <w:color w:val="000000"/>
                <w:kern w:val="0"/>
                <w:sz w:val="24"/>
                <w:szCs w:val="24"/>
              </w:rPr>
            </w:pPr>
            <w:r>
              <w:rPr>
                <w:rFonts w:hint="eastAsia"/>
                <w:color w:val="000000"/>
                <w:kern w:val="0"/>
                <w:sz w:val="24"/>
                <w:szCs w:val="24"/>
              </w:rPr>
              <w:t>4</w:t>
            </w:r>
          </w:p>
        </w:tc>
        <w:tc>
          <w:tcPr>
            <w:tcW w:w="912" w:type="dxa"/>
            <w:vAlign w:val="center"/>
          </w:tcPr>
          <w:p>
            <w:pPr>
              <w:jc w:val="center"/>
              <w:textAlignment w:val="center"/>
              <w:rPr>
                <w:color w:val="000000"/>
                <w:kern w:val="0"/>
                <w:sz w:val="24"/>
                <w:szCs w:val="24"/>
              </w:rPr>
            </w:pPr>
            <w:r>
              <w:rPr>
                <w:rFonts w:hint="eastAsia"/>
                <w:color w:val="000000"/>
                <w:kern w:val="0"/>
                <w:sz w:val="24"/>
                <w:szCs w:val="24"/>
              </w:rPr>
              <w:t>4</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72"/>
              <w:spacing w:before="0" w:after="0" w:line="360" w:lineRule="auto"/>
              <w:rPr>
                <w:rFonts w:ascii="仿宋" w:hAnsi="仿宋" w:eastAsia="仿宋"/>
                <w:b w:val="0"/>
                <w:color w:val="000000"/>
                <w:szCs w:val="24"/>
              </w:rPr>
            </w:pPr>
            <w:r>
              <w:rPr>
                <w:rFonts w:hint="eastAsia" w:ascii="仿宋" w:hAnsi="仿宋" w:eastAsia="仿宋"/>
                <w:b w:val="0"/>
                <w:color w:val="000000"/>
                <w:szCs w:val="24"/>
              </w:rPr>
              <w:t>资产管理</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B3-1资产管理规范性</w:t>
            </w:r>
          </w:p>
        </w:tc>
        <w:tc>
          <w:tcPr>
            <w:tcW w:w="1099" w:type="dxa"/>
            <w:vAlign w:val="center"/>
          </w:tcPr>
          <w:p>
            <w:pPr>
              <w:jc w:val="center"/>
              <w:textAlignment w:val="center"/>
              <w:rPr>
                <w:color w:val="000000"/>
                <w:kern w:val="0"/>
                <w:sz w:val="24"/>
                <w:szCs w:val="24"/>
              </w:rPr>
            </w:pPr>
            <w:r>
              <w:rPr>
                <w:rFonts w:hint="eastAsia"/>
                <w:color w:val="000000"/>
                <w:kern w:val="0"/>
                <w:sz w:val="24"/>
                <w:szCs w:val="24"/>
              </w:rPr>
              <w:t>5</w:t>
            </w:r>
          </w:p>
        </w:tc>
        <w:tc>
          <w:tcPr>
            <w:tcW w:w="912" w:type="dxa"/>
            <w:vAlign w:val="center"/>
          </w:tcPr>
          <w:p>
            <w:pPr>
              <w:jc w:val="center"/>
              <w:textAlignment w:val="center"/>
              <w:rPr>
                <w:color w:val="000000"/>
                <w:kern w:val="0"/>
                <w:sz w:val="24"/>
                <w:szCs w:val="24"/>
              </w:rPr>
            </w:pPr>
            <w:r>
              <w:rPr>
                <w:color w:val="000000"/>
                <w:kern w:val="0"/>
                <w:sz w:val="24"/>
                <w:szCs w:val="24"/>
              </w:rPr>
              <w:t>4</w:t>
            </w:r>
          </w:p>
        </w:tc>
        <w:tc>
          <w:tcPr>
            <w:tcW w:w="1093" w:type="dxa"/>
            <w:vAlign w:val="center"/>
          </w:tcPr>
          <w:p>
            <w:pPr>
              <w:jc w:val="center"/>
              <w:textAlignment w:val="center"/>
              <w:rPr>
                <w:sz w:val="24"/>
                <w:szCs w:val="24"/>
              </w:rPr>
            </w:pPr>
            <w:r>
              <w:rPr>
                <w:rFonts w:hint="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vAlign w:val="center"/>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B3-2固定资产利用率</w:t>
            </w:r>
          </w:p>
        </w:tc>
        <w:tc>
          <w:tcPr>
            <w:tcW w:w="1099" w:type="dxa"/>
            <w:vAlign w:val="center"/>
          </w:tcPr>
          <w:p>
            <w:pPr>
              <w:jc w:val="center"/>
              <w:textAlignment w:val="center"/>
              <w:rPr>
                <w:rFonts w:hint="eastAsia" w:eastAsia="仿宋"/>
                <w:color w:val="000000"/>
                <w:kern w:val="0"/>
                <w:sz w:val="24"/>
                <w:szCs w:val="24"/>
                <w:lang w:eastAsia="zh-CN"/>
              </w:rPr>
            </w:pPr>
            <w:r>
              <w:rPr>
                <w:rFonts w:hint="eastAsia"/>
                <w:color w:val="000000"/>
                <w:kern w:val="0"/>
                <w:sz w:val="24"/>
                <w:szCs w:val="24"/>
              </w:rPr>
              <w:t>1</w:t>
            </w:r>
          </w:p>
        </w:tc>
        <w:tc>
          <w:tcPr>
            <w:tcW w:w="912" w:type="dxa"/>
            <w:vAlign w:val="center"/>
          </w:tcPr>
          <w:p>
            <w:pPr>
              <w:jc w:val="center"/>
              <w:textAlignment w:val="center"/>
              <w:rPr>
                <w:color w:val="000000"/>
                <w:kern w:val="0"/>
                <w:sz w:val="24"/>
                <w:szCs w:val="24"/>
              </w:rPr>
            </w:pPr>
            <w:r>
              <w:rPr>
                <w:color w:val="000000"/>
                <w:kern w:val="0"/>
                <w:sz w:val="24"/>
                <w:szCs w:val="24"/>
              </w:rPr>
              <w:t>1</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restart"/>
            <w:vAlign w:val="center"/>
          </w:tcPr>
          <w:p>
            <w:pPr>
              <w:pStyle w:val="72"/>
              <w:spacing w:before="0" w:after="0" w:line="360" w:lineRule="auto"/>
              <w:rPr>
                <w:rFonts w:ascii="仿宋" w:hAnsi="仿宋" w:eastAsia="仿宋"/>
                <w:b w:val="0"/>
                <w:color w:val="000000"/>
                <w:szCs w:val="24"/>
              </w:rPr>
            </w:pPr>
            <w:r>
              <w:rPr>
                <w:rFonts w:hint="eastAsia" w:ascii="仿宋" w:hAnsi="仿宋" w:eastAsia="仿宋"/>
                <w:b w:val="0"/>
                <w:bCs/>
                <w:color w:val="000000"/>
                <w:szCs w:val="24"/>
                <w:lang w:bidi="ar"/>
              </w:rPr>
              <w:t>其他管理</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B4-1政府采购管理</w:t>
            </w:r>
          </w:p>
        </w:tc>
        <w:tc>
          <w:tcPr>
            <w:tcW w:w="1099" w:type="dxa"/>
            <w:vAlign w:val="center"/>
          </w:tcPr>
          <w:p>
            <w:pPr>
              <w:jc w:val="center"/>
              <w:textAlignment w:val="center"/>
              <w:rPr>
                <w:color w:val="000000"/>
                <w:kern w:val="0"/>
                <w:sz w:val="24"/>
                <w:szCs w:val="24"/>
              </w:rPr>
            </w:pPr>
            <w:r>
              <w:rPr>
                <w:rFonts w:hint="eastAsia"/>
                <w:color w:val="000000"/>
                <w:kern w:val="0"/>
                <w:sz w:val="24"/>
                <w:szCs w:val="24"/>
              </w:rPr>
              <w:t>1</w:t>
            </w:r>
          </w:p>
        </w:tc>
        <w:tc>
          <w:tcPr>
            <w:tcW w:w="912" w:type="dxa"/>
            <w:vAlign w:val="center"/>
          </w:tcPr>
          <w:p>
            <w:pPr>
              <w:jc w:val="center"/>
              <w:textAlignment w:val="center"/>
              <w:rPr>
                <w:color w:val="000000"/>
                <w:kern w:val="0"/>
                <w:sz w:val="24"/>
                <w:szCs w:val="24"/>
              </w:rPr>
            </w:pPr>
            <w:r>
              <w:rPr>
                <w:color w:val="000000"/>
                <w:kern w:val="0"/>
                <w:sz w:val="24"/>
                <w:szCs w:val="24"/>
              </w:rPr>
              <w:t>1</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B4-2预决算信息公开</w:t>
            </w:r>
          </w:p>
        </w:tc>
        <w:tc>
          <w:tcPr>
            <w:tcW w:w="1099" w:type="dxa"/>
            <w:vAlign w:val="center"/>
          </w:tcPr>
          <w:p>
            <w:pPr>
              <w:jc w:val="center"/>
              <w:textAlignment w:val="center"/>
              <w:rPr>
                <w:color w:val="000000"/>
                <w:kern w:val="0"/>
                <w:sz w:val="24"/>
                <w:szCs w:val="24"/>
              </w:rPr>
            </w:pPr>
            <w:r>
              <w:rPr>
                <w:rFonts w:hint="eastAsia"/>
                <w:color w:val="000000"/>
                <w:kern w:val="0"/>
                <w:sz w:val="24"/>
                <w:szCs w:val="24"/>
              </w:rPr>
              <w:t>1</w:t>
            </w:r>
          </w:p>
        </w:tc>
        <w:tc>
          <w:tcPr>
            <w:tcW w:w="912" w:type="dxa"/>
            <w:vAlign w:val="center"/>
          </w:tcPr>
          <w:p>
            <w:pPr>
              <w:jc w:val="center"/>
              <w:textAlignment w:val="center"/>
              <w:rPr>
                <w:color w:val="000000"/>
                <w:kern w:val="0"/>
                <w:sz w:val="24"/>
                <w:szCs w:val="24"/>
              </w:rPr>
            </w:pPr>
            <w:r>
              <w:rPr>
                <w:color w:val="000000"/>
                <w:kern w:val="0"/>
                <w:sz w:val="24"/>
                <w:szCs w:val="24"/>
              </w:rPr>
              <w:t>1</w:t>
            </w:r>
          </w:p>
        </w:tc>
        <w:tc>
          <w:tcPr>
            <w:tcW w:w="1093" w:type="dxa"/>
            <w:vAlign w:val="center"/>
          </w:tcPr>
          <w:p>
            <w:pPr>
              <w:jc w:val="center"/>
              <w:textAlignment w:val="center"/>
              <w:rPr>
                <w:sz w:val="24"/>
                <w:szCs w:val="24"/>
              </w:rPr>
            </w:pPr>
            <w:r>
              <w:rPr>
                <w:rFonts w:hint="eastAsia"/>
                <w:sz w:val="24"/>
                <w:szCs w:val="24"/>
              </w:rPr>
              <w:t>100%</w:t>
            </w:r>
          </w:p>
        </w:tc>
      </w:tr>
      <w:bookmarkEnd w:id="262"/>
      <w:bookmarkEnd w:id="263"/>
      <w:bookmarkEnd w:id="264"/>
      <w:bookmarkEnd w:id="265"/>
      <w:bookmarkEnd w:id="266"/>
      <w:bookmarkEnd w:id="267"/>
      <w:bookmarkEnd w:id="268"/>
      <w:bookmarkEnd w:id="269"/>
      <w:bookmarkEnd w:id="270"/>
    </w:tbl>
    <w:p>
      <w:pPr>
        <w:widowControl w:val="0"/>
        <w:spacing w:line="560" w:lineRule="exact"/>
        <w:ind w:firstLine="562" w:firstLineChars="200"/>
        <w:outlineLvl w:val="3"/>
        <w:rPr>
          <w:b/>
        </w:rPr>
      </w:pPr>
      <w:bookmarkStart w:id="271" w:name="_Toc20501_WPSOffice_Level3"/>
      <w:bookmarkStart w:id="272" w:name="_Toc9978_WPSOffice_Level3"/>
      <w:r>
        <w:rPr>
          <w:rFonts w:hint="eastAsia"/>
          <w:b/>
        </w:rPr>
        <w:t>B1-1预算编制管理</w:t>
      </w:r>
    </w:p>
    <w:p>
      <w:pPr>
        <w:widowControl w:val="0"/>
        <w:spacing w:line="560" w:lineRule="exact"/>
        <w:ind w:firstLine="560" w:firstLineChars="200"/>
        <w:outlineLvl w:val="4"/>
        <w:rPr>
          <w:kern w:val="0"/>
        </w:rPr>
      </w:pPr>
      <w:r>
        <w:rPr>
          <w:rFonts w:hint="eastAsia"/>
          <w:kern w:val="0"/>
        </w:rPr>
        <w:t>预算编制管理从5个方面进行评价，分别为：是否符合财政部门预算编制要求，部门预算收支范围及方向是否符合相关法规，部门预算收支预算较上年增减变动是否符合部门履职需要，“三公经费”变动率，在职人员控制率等方面进行评价，具体为：</w:t>
      </w:r>
    </w:p>
    <w:p>
      <w:pPr>
        <w:widowControl w:val="0"/>
        <w:spacing w:line="560" w:lineRule="exact"/>
        <w:ind w:firstLine="560" w:firstLineChars="200"/>
        <w:outlineLvl w:val="4"/>
        <w:rPr>
          <w:bCs/>
        </w:rPr>
      </w:pPr>
      <w:r>
        <w:rPr>
          <w:rFonts w:hint="eastAsia"/>
          <w:bCs/>
        </w:rPr>
        <w:t>①运城市住房公积金管理中心编报了2021年度部门预算并经批复，部门预算符合《预算法》及财政部门预算编制要求。该评分要点分值0.5分，依据评分标准，得分0.5分。</w:t>
      </w:r>
    </w:p>
    <w:p>
      <w:pPr>
        <w:widowControl w:val="0"/>
        <w:spacing w:line="560" w:lineRule="exact"/>
        <w:ind w:firstLine="560" w:firstLineChars="200"/>
        <w:outlineLvl w:val="4"/>
        <w:rPr>
          <w:bCs/>
        </w:rPr>
      </w:pPr>
      <w:r>
        <w:rPr>
          <w:rFonts w:hint="eastAsia"/>
          <w:bCs/>
        </w:rPr>
        <w:t>②通过查看财务账簿、凭证、支出文件等基础资料，对运城市住房公积金管理中心编制的预算收支范围进行核实，编制的预算收支范围及方向均有相应的法规依据。该评分要点分值0.5分，依据评分标准，得分0.5分。</w:t>
      </w:r>
    </w:p>
    <w:p>
      <w:pPr>
        <w:pStyle w:val="7"/>
        <w:widowControl w:val="0"/>
        <w:spacing w:line="560" w:lineRule="exact"/>
        <w:ind w:firstLine="560" w:firstLineChars="200"/>
        <w:outlineLvl w:val="4"/>
        <w:rPr>
          <w:rFonts w:ascii="仿宋" w:eastAsia="仿宋"/>
          <w:bCs/>
          <w:sz w:val="28"/>
          <w:szCs w:val="24"/>
        </w:rPr>
      </w:pPr>
      <w:r>
        <w:rPr>
          <w:rFonts w:hint="eastAsia" w:ascii="仿宋" w:eastAsia="仿宋"/>
          <w:bCs/>
          <w:sz w:val="28"/>
          <w:szCs w:val="24"/>
        </w:rPr>
        <w:t>③运城市住房公积金管理中心2021年预算收入3,054.27万元，2020年预算收入2,357.53万元。与2020年相比有所增加，增加的原因主要是公用支出、业务用车购置和大型修缮支出费用增加；</w:t>
      </w:r>
    </w:p>
    <w:p>
      <w:pPr>
        <w:pStyle w:val="7"/>
        <w:widowControl w:val="0"/>
        <w:spacing w:line="560" w:lineRule="exact"/>
        <w:ind w:firstLine="560" w:firstLineChars="200"/>
        <w:outlineLvl w:val="4"/>
        <w:rPr>
          <w:rFonts w:ascii="仿宋" w:eastAsia="仿宋"/>
          <w:bCs/>
          <w:sz w:val="28"/>
          <w:szCs w:val="24"/>
          <w:highlight w:val="yellow"/>
        </w:rPr>
      </w:pPr>
      <w:r>
        <w:rPr>
          <w:rFonts w:hint="eastAsia" w:ascii="仿宋" w:eastAsia="仿宋"/>
          <w:bCs/>
          <w:sz w:val="28"/>
          <w:szCs w:val="24"/>
        </w:rPr>
        <w:t>2021年实际支出2,872.49万元，2020年实际支出2,447.56万元，与2020年相比单位支出总体增加，增加的原因主要是公用支出、业务用车购置和大型修缮支出费用增加，部门预算较上年增减变动符合部门履职需要。该评分要点分值1分，依据评分标准，得分1分。</w:t>
      </w:r>
    </w:p>
    <w:p>
      <w:pPr>
        <w:widowControl w:val="0"/>
        <w:adjustRightInd w:val="0"/>
        <w:snapToGrid w:val="0"/>
        <w:spacing w:line="560" w:lineRule="exact"/>
        <w:ind w:firstLine="560" w:firstLineChars="200"/>
        <w:rPr>
          <w:kern w:val="0"/>
        </w:rPr>
      </w:pPr>
      <w:r>
        <w:rPr>
          <w:rFonts w:hint="eastAsia"/>
          <w:kern w:val="0"/>
        </w:rPr>
        <w:t>④“三公经费”变动率。</w:t>
      </w:r>
    </w:p>
    <w:p>
      <w:pPr>
        <w:widowControl w:val="0"/>
        <w:adjustRightInd w:val="0"/>
        <w:snapToGrid w:val="0"/>
        <w:spacing w:line="560" w:lineRule="exact"/>
        <w:ind w:firstLine="560" w:firstLineChars="200"/>
        <w:rPr>
          <w:kern w:val="0"/>
        </w:rPr>
      </w:pPr>
      <w:r>
        <w:rPr>
          <w:rFonts w:hint="eastAsia"/>
        </w:rPr>
        <w:t>运城市住房公积金管理中心2021年度“三公经费”预算数84.03万元，</w:t>
      </w:r>
      <w:r>
        <w:rPr>
          <w:rFonts w:hint="eastAsia"/>
          <w:kern w:val="0"/>
        </w:rPr>
        <w:t>其中：公务用车购置费73.03万元，公务用车运行维护费10万元、公务接待费1万元；</w:t>
      </w:r>
      <w:r>
        <w:rPr>
          <w:rFonts w:hint="eastAsia"/>
        </w:rPr>
        <w:t>2020年度“三公经费”预算数19万元，</w:t>
      </w:r>
      <w:r>
        <w:rPr>
          <w:rFonts w:hint="eastAsia"/>
          <w:kern w:val="0"/>
        </w:rPr>
        <w:t>其中：公务用车运行维护费9万元、公务接待费1万元，培训费用8万元，会议费用1万元。</w:t>
      </w:r>
    </w:p>
    <w:p>
      <w:pPr>
        <w:adjustRightInd w:val="0"/>
        <w:snapToGrid w:val="0"/>
        <w:spacing w:line="560" w:lineRule="exact"/>
        <w:ind w:firstLine="560" w:firstLineChars="200"/>
      </w:pPr>
      <w:r>
        <w:rPr>
          <w:rFonts w:hint="eastAsia"/>
          <w:kern w:val="0"/>
        </w:rPr>
        <w:t>“三公经费”变动率=（84.03-19）/19*100%=342.26%，</w:t>
      </w:r>
      <w:r>
        <w:rPr>
          <w:rFonts w:hint="eastAsia"/>
          <w:bCs/>
          <w:szCs w:val="24"/>
        </w:rPr>
        <w:t>评分要点分值1分，依据评分标准，</w:t>
      </w:r>
      <w:r>
        <w:rPr>
          <w:rFonts w:hint="eastAsia"/>
        </w:rPr>
        <w:t>得0分。</w:t>
      </w:r>
    </w:p>
    <w:p>
      <w:pPr>
        <w:pStyle w:val="7"/>
        <w:widowControl w:val="0"/>
        <w:spacing w:line="560" w:lineRule="exact"/>
        <w:ind w:firstLine="560" w:firstLineChars="200"/>
        <w:outlineLvl w:val="4"/>
        <w:rPr>
          <w:rFonts w:ascii="仿宋" w:eastAsia="仿宋"/>
          <w:kern w:val="0"/>
          <w:sz w:val="28"/>
        </w:rPr>
      </w:pPr>
      <w:r>
        <w:rPr>
          <w:rFonts w:hint="eastAsia" w:ascii="仿宋" w:eastAsia="仿宋"/>
          <w:kern w:val="0"/>
          <w:sz w:val="28"/>
        </w:rPr>
        <w:t>⑤在职人员控制率。根据中共运城市委办公室、运城市人民政府办公室关于印发《运城市住房公积金管理中心职能配置、内设机构和人员编制规定》的通知（运办字〔2021〕59号），运城市住房公积金管理中心内设10个职能室，核定财政拨款事业编制113名。</w:t>
      </w:r>
    </w:p>
    <w:p>
      <w:pPr>
        <w:pStyle w:val="7"/>
        <w:widowControl w:val="0"/>
        <w:spacing w:line="560" w:lineRule="exact"/>
        <w:ind w:firstLine="560" w:firstLineChars="200"/>
        <w:outlineLvl w:val="4"/>
        <w:rPr>
          <w:rFonts w:ascii="仿宋" w:eastAsia="仿宋"/>
          <w:sz w:val="28"/>
        </w:rPr>
      </w:pPr>
      <w:r>
        <w:rPr>
          <w:rFonts w:hint="eastAsia" w:ascii="仿宋" w:eastAsia="仿宋"/>
          <w:kern w:val="0"/>
          <w:sz w:val="28"/>
        </w:rPr>
        <w:t>经评价组核实，20</w:t>
      </w:r>
      <w:r>
        <w:rPr>
          <w:rFonts w:hint="eastAsia"/>
          <w:kern w:val="0"/>
          <w:sz w:val="28"/>
        </w:rPr>
        <w:t>21</w:t>
      </w:r>
      <w:r>
        <w:rPr>
          <w:rFonts w:hint="eastAsia" w:ascii="仿宋" w:eastAsia="仿宋"/>
          <w:kern w:val="0"/>
          <w:sz w:val="28"/>
        </w:rPr>
        <w:t>年</w:t>
      </w:r>
      <w:r>
        <w:rPr>
          <w:rFonts w:hint="eastAsia" w:eastAsia="仿宋"/>
          <w:kern w:val="0"/>
          <w:sz w:val="28"/>
        </w:rPr>
        <w:t>运城市住房公积金管理中心</w:t>
      </w:r>
      <w:r>
        <w:rPr>
          <w:rFonts w:hint="eastAsia" w:ascii="仿宋" w:eastAsia="仿宋"/>
          <w:kern w:val="0"/>
          <w:sz w:val="28"/>
        </w:rPr>
        <w:t>实有</w:t>
      </w:r>
      <w:r>
        <w:rPr>
          <w:rFonts w:hint="eastAsia"/>
          <w:sz w:val="28"/>
        </w:rPr>
        <w:t>人数</w:t>
      </w:r>
      <w:r>
        <w:rPr>
          <w:rFonts w:hint="eastAsia" w:ascii="仿宋" w:eastAsia="仿宋"/>
          <w:kern w:val="0"/>
          <w:sz w:val="28"/>
        </w:rPr>
        <w:t>员173人，其中：</w:t>
      </w:r>
      <w:r>
        <w:rPr>
          <w:rFonts w:hint="eastAsia"/>
          <w:sz w:val="28"/>
        </w:rPr>
        <w:t>财政拨款事业编制88人</w:t>
      </w:r>
      <w:r>
        <w:rPr>
          <w:rFonts w:hint="eastAsia" w:ascii="仿宋" w:eastAsia="仿宋"/>
          <w:kern w:val="0"/>
          <w:sz w:val="28"/>
        </w:rPr>
        <w:t>、</w:t>
      </w:r>
      <w:r>
        <w:rPr>
          <w:rFonts w:hint="eastAsia"/>
          <w:sz w:val="28"/>
        </w:rPr>
        <w:t>自收自支人员85人</w:t>
      </w:r>
      <w:r>
        <w:rPr>
          <w:rFonts w:hint="eastAsia" w:ascii="仿宋" w:eastAsia="仿宋"/>
          <w:kern w:val="0"/>
          <w:sz w:val="28"/>
        </w:rPr>
        <w:t>，在职人员控制率</w:t>
      </w:r>
      <w:r>
        <w:rPr>
          <w:rFonts w:hint="eastAsia" w:eastAsia="仿宋"/>
          <w:kern w:val="0"/>
          <w:sz w:val="28"/>
        </w:rPr>
        <w:t>153.10</w:t>
      </w:r>
      <w:r>
        <w:rPr>
          <w:rFonts w:hint="eastAsia" w:ascii="仿宋" w:eastAsia="仿宋"/>
          <w:kern w:val="0"/>
          <w:sz w:val="28"/>
        </w:rPr>
        <w:t>%。</w:t>
      </w:r>
      <w:r>
        <w:rPr>
          <w:rFonts w:hint="eastAsia" w:ascii="仿宋" w:eastAsia="仿宋"/>
          <w:bCs/>
          <w:sz w:val="28"/>
          <w:szCs w:val="24"/>
        </w:rPr>
        <w:t>该评分要点分值1分，依据评分标准，</w:t>
      </w:r>
      <w:r>
        <w:rPr>
          <w:rFonts w:hint="eastAsia" w:ascii="仿宋" w:eastAsia="仿宋"/>
          <w:sz w:val="28"/>
        </w:rPr>
        <w:t>得0分。</w:t>
      </w:r>
    </w:p>
    <w:p>
      <w:pPr>
        <w:widowControl w:val="0"/>
        <w:spacing w:line="560" w:lineRule="exact"/>
        <w:ind w:firstLine="560" w:firstLineChars="200"/>
        <w:rPr>
          <w:bCs/>
        </w:rPr>
      </w:pPr>
      <w:r>
        <w:rPr>
          <w:rFonts w:hint="eastAsia"/>
          <w:bCs/>
        </w:rPr>
        <w:t>满分4分，</w:t>
      </w:r>
      <w:r>
        <w:rPr>
          <w:rFonts w:hint="eastAsia"/>
          <w:kern w:val="0"/>
        </w:rPr>
        <w:t>根据绩效评价指标，本指标</w:t>
      </w:r>
      <w:r>
        <w:rPr>
          <w:rFonts w:hint="eastAsia"/>
          <w:bCs/>
        </w:rPr>
        <w:t>得分2分</w:t>
      </w:r>
      <w:r>
        <w:rPr>
          <w:rFonts w:hint="eastAsia"/>
          <w:kern w:val="0"/>
        </w:rPr>
        <w:t>，得分率50%</w:t>
      </w:r>
      <w:r>
        <w:rPr>
          <w:rFonts w:hint="eastAsia"/>
          <w:bCs/>
        </w:rPr>
        <w:t>。</w:t>
      </w:r>
    </w:p>
    <w:p>
      <w:pPr>
        <w:widowControl w:val="0"/>
        <w:spacing w:line="560" w:lineRule="exact"/>
        <w:ind w:firstLine="562" w:firstLineChars="200"/>
        <w:outlineLvl w:val="3"/>
        <w:rPr>
          <w:b/>
        </w:rPr>
      </w:pPr>
      <w:r>
        <w:rPr>
          <w:rFonts w:hint="eastAsia"/>
          <w:b/>
        </w:rPr>
        <w:t>B1-2预算执行管理</w:t>
      </w:r>
    </w:p>
    <w:p>
      <w:pPr>
        <w:widowControl w:val="0"/>
        <w:spacing w:line="560" w:lineRule="exact"/>
        <w:ind w:firstLine="560" w:firstLineChars="200"/>
        <w:rPr>
          <w:bCs/>
        </w:rPr>
      </w:pPr>
      <w:r>
        <w:rPr>
          <w:rFonts w:hint="eastAsia"/>
          <w:bCs/>
        </w:rPr>
        <w:t>预算执行管理从6个方面进行评价，分别为：预算执行率、预算调整率、支付进度率、结转结余变动率、公用经费控制率及“三公经费”控制率。</w:t>
      </w:r>
    </w:p>
    <w:p>
      <w:pPr>
        <w:pStyle w:val="70"/>
        <w:widowControl w:val="0"/>
        <w:numPr>
          <w:ilvl w:val="0"/>
          <w:numId w:val="3"/>
        </w:numPr>
        <w:spacing w:line="560" w:lineRule="exact"/>
        <w:ind w:firstLineChars="0"/>
        <w:outlineLvl w:val="4"/>
        <w:rPr>
          <w:kern w:val="0"/>
        </w:rPr>
      </w:pPr>
      <w:r>
        <w:rPr>
          <w:rFonts w:hint="eastAsia"/>
          <w:kern w:val="0"/>
        </w:rPr>
        <w:t>预算执行率</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2021年运城市住房公积金管理中心预算资金</w:t>
      </w:r>
      <w:r>
        <w:rPr>
          <w:rFonts w:hint="eastAsia" w:ascii="仿宋" w:eastAsia="仿宋"/>
          <w:sz w:val="28"/>
        </w:rPr>
        <w:t>共到位</w:t>
      </w:r>
      <w:r>
        <w:rPr>
          <w:rFonts w:hint="eastAsia" w:ascii="仿宋" w:eastAsia="仿宋"/>
          <w:kern w:val="0"/>
          <w:sz w:val="28"/>
        </w:rPr>
        <w:t>2,872.49万元，实际支出2,872.49万元，预算执行率100%。该评分要点1分，得分1分。</w:t>
      </w:r>
    </w:p>
    <w:p>
      <w:pPr>
        <w:widowControl w:val="0"/>
        <w:spacing w:line="560" w:lineRule="exact"/>
        <w:ind w:firstLine="560" w:firstLineChars="200"/>
        <w:outlineLvl w:val="4"/>
      </w:pPr>
      <w:r>
        <w:rPr>
          <w:rFonts w:hint="eastAsia"/>
          <w:kern w:val="0"/>
        </w:rPr>
        <w:t>②</w:t>
      </w:r>
      <w:r>
        <w:rPr>
          <w:rFonts w:hint="eastAsia"/>
        </w:rPr>
        <w:t>预算调整率</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通过核对该部门提供的预算指标下达文件，部门年初财政拨款预算3,054.27万元，年初预算未调整，预算调整率为100%。该指标分值1分，得分1分。</w:t>
      </w:r>
    </w:p>
    <w:p>
      <w:pPr>
        <w:widowControl w:val="0"/>
        <w:spacing w:line="560" w:lineRule="exact"/>
        <w:ind w:firstLine="560" w:firstLineChars="200"/>
        <w:outlineLvl w:val="4"/>
      </w:pPr>
      <w:r>
        <w:rPr>
          <w:rFonts w:hint="eastAsia"/>
          <w:kern w:val="0"/>
        </w:rPr>
        <w:t>③</w:t>
      </w:r>
      <w:r>
        <w:rPr>
          <w:rFonts w:hint="eastAsia"/>
        </w:rPr>
        <w:t>支付进度率</w:t>
      </w:r>
    </w:p>
    <w:p>
      <w:pPr>
        <w:pStyle w:val="7"/>
        <w:widowControl w:val="0"/>
        <w:spacing w:line="560" w:lineRule="exact"/>
        <w:ind w:firstLine="560" w:firstLineChars="200"/>
        <w:rPr>
          <w:rFonts w:ascii="仿宋" w:eastAsia="仿宋"/>
          <w:bCs/>
          <w:kern w:val="0"/>
          <w:sz w:val="28"/>
        </w:rPr>
      </w:pPr>
      <w:r>
        <w:rPr>
          <w:rFonts w:hint="eastAsia" w:ascii="仿宋" w:eastAsia="仿宋"/>
          <w:bCs/>
          <w:kern w:val="0"/>
          <w:sz w:val="28"/>
        </w:rPr>
        <w:t>根据资金的支出特点，仅对支付进度比较均匀的基本支出的支付进度率进行评价。一、二、三季度的标准支付进度以山西省财政厅的计算口径“序时进度的98%”为准，即一季度标准支付进度率=25%×98%=24.5%、二季度标准支付进度率=50%×98%=49%、三季度标准支付进度率=75%×98%=73.5%，四季度的标准支付进度率为100%。2021年基本支出下达资金446.20万元，各季度末基本支出及对应得分情况见表</w:t>
      </w:r>
      <w:r>
        <w:rPr>
          <w:rFonts w:hint="eastAsia" w:ascii="仿宋" w:eastAsia="仿宋"/>
          <w:kern w:val="0"/>
          <w:sz w:val="28"/>
        </w:rPr>
        <w:t>4-2-1：</w:t>
      </w:r>
    </w:p>
    <w:p>
      <w:pPr>
        <w:pStyle w:val="7"/>
        <w:widowControl w:val="0"/>
        <w:spacing w:line="560" w:lineRule="exact"/>
        <w:jc w:val="center"/>
        <w:rPr>
          <w:rFonts w:ascii="仿宋" w:eastAsia="仿宋"/>
          <w:b/>
          <w:kern w:val="0"/>
          <w:sz w:val="28"/>
        </w:rPr>
      </w:pPr>
      <w:r>
        <w:rPr>
          <w:rFonts w:hint="eastAsia" w:ascii="仿宋" w:eastAsia="仿宋"/>
          <w:b/>
          <w:kern w:val="0"/>
          <w:sz w:val="28"/>
        </w:rPr>
        <w:t>表4-2-1基本支出支付进度及得分情况</w:t>
      </w:r>
    </w:p>
    <w:p>
      <w:pPr>
        <w:pStyle w:val="7"/>
        <w:spacing w:line="560" w:lineRule="exact"/>
        <w:jc w:val="right"/>
        <w:rPr>
          <w:rFonts w:ascii="仿宋" w:eastAsia="仿宋"/>
          <w:b/>
          <w:kern w:val="0"/>
          <w:sz w:val="28"/>
        </w:rPr>
      </w:pPr>
      <w:r>
        <w:rPr>
          <w:rFonts w:hint="eastAsia" w:ascii="仿宋" w:eastAsia="仿宋"/>
          <w:kern w:val="0"/>
          <w:sz w:val="24"/>
          <w:szCs w:val="24"/>
        </w:rPr>
        <w:t>金额</w:t>
      </w:r>
      <w:r>
        <w:rPr>
          <w:rFonts w:hint="eastAsia" w:ascii="仿宋" w:eastAsia="仿宋"/>
          <w:sz w:val="24"/>
          <w:szCs w:val="22"/>
        </w:rPr>
        <w:t>单位</w:t>
      </w:r>
      <w:r>
        <w:rPr>
          <w:rFonts w:hint="eastAsia" w:ascii="仿宋" w:eastAsia="仿宋"/>
          <w:kern w:val="0"/>
          <w:sz w:val="24"/>
          <w:szCs w:val="24"/>
        </w:rPr>
        <w:t>：元</w:t>
      </w:r>
    </w:p>
    <w:tbl>
      <w:tblPr>
        <w:tblStyle w:val="1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
        <w:gridCol w:w="1653"/>
        <w:gridCol w:w="1393"/>
        <w:gridCol w:w="1393"/>
        <w:gridCol w:w="1709"/>
        <w:gridCol w:w="1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89"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截止日期</w:t>
            </w:r>
          </w:p>
        </w:tc>
        <w:tc>
          <w:tcPr>
            <w:tcW w:w="948"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累计支付金额</w:t>
            </w:r>
          </w:p>
        </w:tc>
        <w:tc>
          <w:tcPr>
            <w:tcW w:w="799"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实际支付率</w:t>
            </w:r>
          </w:p>
        </w:tc>
        <w:tc>
          <w:tcPr>
            <w:tcW w:w="799"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标准支付率</w:t>
            </w:r>
          </w:p>
        </w:tc>
        <w:tc>
          <w:tcPr>
            <w:tcW w:w="980"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支付进度完成率</w:t>
            </w:r>
          </w:p>
        </w:tc>
        <w:tc>
          <w:tcPr>
            <w:tcW w:w="684" w:type="pct"/>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cs="Times New Roman"/>
                <w:b/>
                <w:bCs/>
                <w:color w:val="000000"/>
                <w:kern w:val="0"/>
                <w:sz w:val="20"/>
                <w:szCs w:val="20"/>
                <w:lang w:bidi="ar"/>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6"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2021/3/31</w:t>
            </w:r>
          </w:p>
        </w:tc>
        <w:tc>
          <w:tcPr>
            <w:tcW w:w="1653" w:type="dxa"/>
            <w:tcBorders>
              <w:tl2br w:val="nil"/>
              <w:tr2bl w:val="nil"/>
            </w:tcBorders>
            <w:shd w:val="clear" w:color="auto" w:fill="auto"/>
            <w:noWrap/>
            <w:vAlign w:val="center"/>
          </w:tcPr>
          <w:p>
            <w:pPr>
              <w:jc w:val="right"/>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3,571,480.24</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20.00%</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24.50%</w:t>
            </w:r>
          </w:p>
        </w:tc>
        <w:tc>
          <w:tcPr>
            <w:tcW w:w="1709"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highlight w:val="yellow"/>
              </w:rPr>
            </w:pPr>
            <w:r>
              <w:rPr>
                <w:rFonts w:ascii="Times New Roman" w:hAnsi="Times New Roman" w:eastAsia="宋体" w:cs="Times New Roman"/>
                <w:color w:val="000000"/>
                <w:kern w:val="0"/>
                <w:sz w:val="20"/>
                <w:szCs w:val="20"/>
                <w:lang w:bidi="ar"/>
              </w:rPr>
              <w:t>81.63%</w:t>
            </w:r>
          </w:p>
        </w:tc>
        <w:tc>
          <w:tcPr>
            <w:tcW w:w="11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6"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2021/6/30</w:t>
            </w:r>
          </w:p>
        </w:tc>
        <w:tc>
          <w:tcPr>
            <w:tcW w:w="1653" w:type="dxa"/>
            <w:tcBorders>
              <w:tl2br w:val="nil"/>
              <w:tr2bl w:val="nil"/>
            </w:tcBorders>
            <w:shd w:val="clear" w:color="auto" w:fill="auto"/>
            <w:noWrap/>
            <w:vAlign w:val="center"/>
          </w:tcPr>
          <w:p>
            <w:pPr>
              <w:jc w:val="right"/>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7,073,310.63</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39.61%</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49.00%</w:t>
            </w:r>
          </w:p>
        </w:tc>
        <w:tc>
          <w:tcPr>
            <w:tcW w:w="1709"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highlight w:val="yellow"/>
              </w:rPr>
            </w:pPr>
            <w:r>
              <w:rPr>
                <w:rFonts w:ascii="Times New Roman" w:hAnsi="Times New Roman" w:eastAsia="宋体" w:cs="Times New Roman"/>
                <w:color w:val="000000"/>
                <w:kern w:val="0"/>
                <w:sz w:val="20"/>
                <w:szCs w:val="20"/>
                <w:lang w:bidi="ar"/>
              </w:rPr>
              <w:t>80.84%</w:t>
            </w:r>
          </w:p>
        </w:tc>
        <w:tc>
          <w:tcPr>
            <w:tcW w:w="11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6"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2021/9/30</w:t>
            </w:r>
          </w:p>
        </w:tc>
        <w:tc>
          <w:tcPr>
            <w:tcW w:w="1653" w:type="dxa"/>
            <w:tcBorders>
              <w:tl2br w:val="nil"/>
              <w:tr2bl w:val="nil"/>
            </w:tcBorders>
            <w:shd w:val="clear" w:color="auto" w:fill="auto"/>
            <w:noWrap/>
            <w:vAlign w:val="center"/>
          </w:tcPr>
          <w:p>
            <w:pPr>
              <w:jc w:val="right"/>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12,708,716.31</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71.17%</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73.50%</w:t>
            </w:r>
          </w:p>
        </w:tc>
        <w:tc>
          <w:tcPr>
            <w:tcW w:w="1709"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highlight w:val="yellow"/>
              </w:rPr>
            </w:pPr>
            <w:r>
              <w:rPr>
                <w:rFonts w:ascii="Times New Roman" w:hAnsi="Times New Roman" w:eastAsia="宋体" w:cs="Times New Roman"/>
                <w:color w:val="000000"/>
                <w:kern w:val="0"/>
                <w:sz w:val="20"/>
                <w:szCs w:val="20"/>
                <w:lang w:bidi="ar"/>
              </w:rPr>
              <w:t>96.83%</w:t>
            </w:r>
          </w:p>
        </w:tc>
        <w:tc>
          <w:tcPr>
            <w:tcW w:w="11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376"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2021/12/31</w:t>
            </w:r>
          </w:p>
        </w:tc>
        <w:tc>
          <w:tcPr>
            <w:tcW w:w="1653" w:type="dxa"/>
            <w:tcBorders>
              <w:tl2br w:val="nil"/>
              <w:tr2bl w:val="nil"/>
            </w:tcBorders>
            <w:shd w:val="clear" w:color="auto" w:fill="auto"/>
            <w:noWrap/>
            <w:vAlign w:val="center"/>
          </w:tcPr>
          <w:p>
            <w:pPr>
              <w:jc w:val="right"/>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17,857,460.27</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sz w:val="20"/>
                <w:szCs w:val="20"/>
                <w:highlight w:val="yellow"/>
              </w:rPr>
            </w:pPr>
            <w:r>
              <w:rPr>
                <w:rFonts w:ascii="Times New Roman" w:hAnsi="Times New Roman" w:eastAsia="宋体" w:cs="Times New Roman"/>
                <w:color w:val="000000"/>
                <w:kern w:val="0"/>
                <w:sz w:val="20"/>
                <w:szCs w:val="20"/>
                <w:lang w:bidi="ar"/>
              </w:rPr>
              <w:t>100.00%</w:t>
            </w:r>
          </w:p>
        </w:tc>
        <w:tc>
          <w:tcPr>
            <w:tcW w:w="13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100.00%</w:t>
            </w:r>
          </w:p>
        </w:tc>
        <w:tc>
          <w:tcPr>
            <w:tcW w:w="1709"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highlight w:val="yellow"/>
              </w:rPr>
            </w:pPr>
            <w:r>
              <w:rPr>
                <w:rFonts w:ascii="Times New Roman" w:hAnsi="Times New Roman" w:eastAsia="宋体" w:cs="Times New Roman"/>
                <w:color w:val="000000"/>
                <w:kern w:val="0"/>
                <w:sz w:val="20"/>
                <w:szCs w:val="20"/>
                <w:lang w:bidi="ar"/>
              </w:rPr>
              <w:t>100.00%</w:t>
            </w:r>
          </w:p>
        </w:tc>
        <w:tc>
          <w:tcPr>
            <w:tcW w:w="1193" w:type="dxa"/>
            <w:tcBorders>
              <w:tl2br w:val="nil"/>
              <w:tr2bl w:val="nil"/>
            </w:tcBorders>
            <w:shd w:val="clear" w:color="auto" w:fill="auto"/>
            <w:noWrap/>
            <w:vAlign w:val="center"/>
          </w:tcPr>
          <w:p>
            <w:pPr>
              <w:jc w:val="center"/>
              <w:textAlignment w:val="center"/>
              <w:rPr>
                <w:rFonts w:ascii="Times New Roman" w:hAnsi="Times New Roman" w:cs="Times New Roman"/>
                <w:color w:val="000000"/>
                <w:sz w:val="20"/>
                <w:szCs w:val="20"/>
              </w:rPr>
            </w:pPr>
            <w:r>
              <w:rPr>
                <w:rFonts w:ascii="Times New Roman" w:hAnsi="Times New Roman" w:eastAsia="宋体" w:cs="Times New Roman"/>
                <w:color w:val="000000"/>
                <w:kern w:val="0"/>
                <w:sz w:val="20"/>
                <w:szCs w:val="20"/>
                <w:lang w:bidi="ar"/>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24" w:type="dxa"/>
            <w:gridSpan w:val="5"/>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hint="eastAsia"/>
                <w:b/>
                <w:bCs/>
                <w:color w:val="000000"/>
                <w:kern w:val="0"/>
                <w:sz w:val="20"/>
                <w:szCs w:val="20"/>
                <w:lang w:bidi="ar"/>
              </w:rPr>
              <w:t>合计</w:t>
            </w:r>
          </w:p>
        </w:tc>
        <w:tc>
          <w:tcPr>
            <w:tcW w:w="1193" w:type="dxa"/>
            <w:tcBorders>
              <w:tl2br w:val="nil"/>
              <w:tr2bl w:val="nil"/>
            </w:tcBorders>
            <w:shd w:val="clear" w:color="auto" w:fill="auto"/>
            <w:noWrap/>
            <w:vAlign w:val="center"/>
          </w:tcPr>
          <w:p>
            <w:pPr>
              <w:jc w:val="center"/>
              <w:textAlignment w:val="center"/>
              <w:rPr>
                <w:rFonts w:ascii="Times New Roman" w:hAnsi="Times New Roman" w:cs="Times New Roman"/>
                <w:b/>
                <w:bCs/>
                <w:color w:val="000000"/>
                <w:sz w:val="20"/>
                <w:szCs w:val="20"/>
              </w:rPr>
            </w:pPr>
            <w:r>
              <w:rPr>
                <w:rFonts w:ascii="Times New Roman" w:hAnsi="Times New Roman" w:eastAsia="宋体" w:cs="Times New Roman"/>
                <w:b/>
                <w:bCs/>
                <w:color w:val="000000"/>
                <w:kern w:val="0"/>
                <w:sz w:val="20"/>
                <w:szCs w:val="20"/>
                <w:lang w:bidi="ar"/>
              </w:rPr>
              <w:t>1</w:t>
            </w:r>
          </w:p>
        </w:tc>
      </w:tr>
    </w:tbl>
    <w:p>
      <w:pPr>
        <w:pStyle w:val="7"/>
        <w:widowControl w:val="0"/>
        <w:spacing w:line="560" w:lineRule="exact"/>
        <w:ind w:firstLine="560" w:firstLineChars="200"/>
        <w:rPr>
          <w:rFonts w:ascii="仿宋" w:eastAsia="仿宋"/>
          <w:kern w:val="0"/>
          <w:sz w:val="28"/>
        </w:rPr>
      </w:pPr>
      <w:r>
        <w:rPr>
          <w:rFonts w:hint="eastAsia" w:ascii="仿宋" w:eastAsia="仿宋"/>
          <w:kern w:val="0"/>
          <w:sz w:val="28"/>
        </w:rPr>
        <w:t>依据评分标准“①实际支付进度完成率大于或等于100%，得0.5分；②实际支付进度完成率小于90%，得0分；③实际支付进度完成率在90%-100%之间的，在0分和0.5分之间计算确定：得分=（实际支付进度完成率－90%）/（100%-90%）×季度支付进度分值0.5分。”，该指标分值2分，得分1分。</w:t>
      </w:r>
    </w:p>
    <w:p>
      <w:pPr>
        <w:widowControl w:val="0"/>
        <w:spacing w:line="560" w:lineRule="exact"/>
        <w:ind w:firstLine="560" w:firstLineChars="200"/>
        <w:outlineLvl w:val="4"/>
      </w:pPr>
      <w:r>
        <w:rPr>
          <w:rFonts w:hint="eastAsia"/>
          <w:kern w:val="0"/>
        </w:rPr>
        <w:t>④</w:t>
      </w:r>
      <w:r>
        <w:rPr>
          <w:rFonts w:hint="eastAsia"/>
        </w:rPr>
        <w:t>结转结余变动率</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2021、2020年部门预算资金结转结余均为0万元，该指标分值1分，得分1分。</w:t>
      </w:r>
    </w:p>
    <w:p>
      <w:pPr>
        <w:widowControl w:val="0"/>
        <w:spacing w:line="560" w:lineRule="exact"/>
        <w:ind w:firstLine="560" w:firstLineChars="200"/>
        <w:outlineLvl w:val="4"/>
      </w:pPr>
      <w:r>
        <w:rPr>
          <w:rFonts w:hint="eastAsia"/>
        </w:rPr>
        <w:t>⑤公用经费控制率</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2021年部门公用经费预算金额为157.20万元，公用经费实际支出157.18万元，公用经费控制率=（157.18/157.20）×100%=99.99%，该指标分值1分，得分1分。</w:t>
      </w:r>
    </w:p>
    <w:p>
      <w:pPr>
        <w:widowControl w:val="0"/>
        <w:spacing w:line="560" w:lineRule="exact"/>
        <w:ind w:firstLine="560" w:firstLineChars="200"/>
        <w:outlineLvl w:val="4"/>
      </w:pPr>
      <w:r>
        <w:rPr>
          <w:rFonts w:hint="eastAsia"/>
          <w:kern w:val="0"/>
        </w:rPr>
        <w:t>⑥</w:t>
      </w:r>
      <w:r>
        <w:rPr>
          <w:rFonts w:hint="eastAsia"/>
        </w:rPr>
        <w:t>“三公经费”控制率</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2021年度“三公经费”预算金额</w:t>
      </w:r>
      <w:r>
        <w:rPr>
          <w:rFonts w:hint="eastAsia" w:eastAsia="仿宋"/>
          <w:kern w:val="0"/>
          <w:sz w:val="28"/>
        </w:rPr>
        <w:t>84.03</w:t>
      </w:r>
      <w:r>
        <w:rPr>
          <w:rFonts w:hint="eastAsia"/>
          <w:kern w:val="0"/>
          <w:sz w:val="28"/>
        </w:rPr>
        <w:t>万</w:t>
      </w:r>
      <w:r>
        <w:rPr>
          <w:rFonts w:hint="eastAsia" w:ascii="仿宋" w:eastAsia="仿宋"/>
          <w:kern w:val="0"/>
          <w:sz w:val="28"/>
        </w:rPr>
        <w:t>元，其中：公务用车购置及运行费83.03万元、公务接待费1万元；本年度“三公经费”支出数为83万元，全部为公务用车购置及运行费。“三公经费”</w:t>
      </w:r>
      <w:r>
        <w:rPr>
          <w:rFonts w:hint="eastAsia"/>
          <w:kern w:val="0"/>
          <w:sz w:val="28"/>
        </w:rPr>
        <w:t>控制</w:t>
      </w:r>
      <w:r>
        <w:rPr>
          <w:rFonts w:hint="eastAsia" w:ascii="仿宋" w:eastAsia="仿宋"/>
          <w:kern w:val="0"/>
          <w:sz w:val="28"/>
        </w:rPr>
        <w:t>率=</w:t>
      </w:r>
      <w:r>
        <w:rPr>
          <w:rFonts w:hint="eastAsia"/>
          <w:kern w:val="0"/>
          <w:sz w:val="28"/>
        </w:rPr>
        <w:t>(</w:t>
      </w:r>
      <w:r>
        <w:rPr>
          <w:rFonts w:hint="eastAsia" w:ascii="仿宋" w:eastAsia="仿宋"/>
          <w:kern w:val="0"/>
          <w:sz w:val="28"/>
        </w:rPr>
        <w:t>83/84.03</w:t>
      </w:r>
      <w:r>
        <w:rPr>
          <w:rFonts w:hint="eastAsia"/>
          <w:kern w:val="0"/>
          <w:sz w:val="28"/>
        </w:rPr>
        <w:t>)</w:t>
      </w:r>
      <w:r>
        <w:rPr>
          <w:rFonts w:hint="eastAsia" w:ascii="仿宋" w:eastAsia="仿宋"/>
          <w:kern w:val="0"/>
          <w:sz w:val="28"/>
        </w:rPr>
        <w:t>*100%=98.77%。该指标分值1分，得分1分。</w:t>
      </w:r>
    </w:p>
    <w:p>
      <w:pPr>
        <w:widowControl w:val="0"/>
        <w:spacing w:line="560" w:lineRule="exact"/>
        <w:ind w:firstLine="560" w:firstLineChars="200"/>
      </w:pPr>
      <w:r>
        <w:rPr>
          <w:rFonts w:hint="eastAsia"/>
          <w:bCs/>
        </w:rPr>
        <w:t>满分7分，</w:t>
      </w:r>
      <w:r>
        <w:rPr>
          <w:rFonts w:hint="eastAsia"/>
          <w:kern w:val="0"/>
        </w:rPr>
        <w:t>根据绩效评价指标，本指标</w:t>
      </w:r>
      <w:r>
        <w:rPr>
          <w:rFonts w:hint="eastAsia"/>
          <w:bCs/>
        </w:rPr>
        <w:t>得分6分</w:t>
      </w:r>
      <w:r>
        <w:rPr>
          <w:rFonts w:hint="eastAsia"/>
          <w:kern w:val="0"/>
        </w:rPr>
        <w:t>，得分率85.71%</w:t>
      </w:r>
      <w:r>
        <w:rPr>
          <w:rFonts w:hint="eastAsia"/>
          <w:bCs/>
        </w:rPr>
        <w:t>。</w:t>
      </w:r>
    </w:p>
    <w:p>
      <w:pPr>
        <w:widowControl w:val="0"/>
        <w:spacing w:line="560" w:lineRule="exact"/>
        <w:ind w:firstLine="562" w:firstLineChars="200"/>
        <w:outlineLvl w:val="3"/>
        <w:rPr>
          <w:b/>
        </w:rPr>
      </w:pPr>
      <w:r>
        <w:rPr>
          <w:rFonts w:hint="eastAsia"/>
          <w:b/>
        </w:rPr>
        <w:t>B1-3预算监督管理</w:t>
      </w:r>
    </w:p>
    <w:p>
      <w:pPr>
        <w:widowControl w:val="0"/>
        <w:spacing w:line="560" w:lineRule="exact"/>
        <w:ind w:firstLine="560" w:firstLineChars="200"/>
        <w:rPr>
          <w:bCs/>
        </w:rPr>
      </w:pPr>
      <w:r>
        <w:rPr>
          <w:rFonts w:hint="eastAsia"/>
          <w:bCs/>
        </w:rPr>
        <w:t>经核实，运城市住房公积金管理中心2021年度预决算信息已经由财政部门审核，运城市住房公积金管理中心预算编制规范、决算支出符合相关规定，未发现不合规事项。</w:t>
      </w:r>
    </w:p>
    <w:p>
      <w:pPr>
        <w:widowControl w:val="0"/>
        <w:spacing w:line="560" w:lineRule="exact"/>
        <w:ind w:firstLine="560" w:firstLineChars="200"/>
      </w:pPr>
      <w:r>
        <w:rPr>
          <w:rFonts w:hint="eastAsia"/>
          <w:bCs/>
        </w:rPr>
        <w:t>满分1分，</w:t>
      </w:r>
      <w:r>
        <w:rPr>
          <w:rFonts w:hint="eastAsia"/>
          <w:kern w:val="0"/>
        </w:rPr>
        <w:t>根据绩效评价指标，本指标</w:t>
      </w:r>
      <w:r>
        <w:rPr>
          <w:rFonts w:hint="eastAsia"/>
          <w:bCs/>
        </w:rPr>
        <w:t>得分1分</w:t>
      </w:r>
      <w:r>
        <w:rPr>
          <w:rFonts w:hint="eastAsia"/>
          <w:kern w:val="0"/>
        </w:rPr>
        <w:t>，得分率100%</w:t>
      </w:r>
      <w:r>
        <w:rPr>
          <w:rFonts w:hint="eastAsia"/>
          <w:bCs/>
        </w:rPr>
        <w:t>。</w:t>
      </w:r>
    </w:p>
    <w:p>
      <w:pPr>
        <w:widowControl w:val="0"/>
        <w:spacing w:line="560" w:lineRule="exact"/>
        <w:ind w:firstLine="562" w:firstLineChars="200"/>
        <w:outlineLvl w:val="3"/>
      </w:pPr>
      <w:r>
        <w:rPr>
          <w:rFonts w:hint="eastAsia"/>
          <w:b/>
        </w:rPr>
        <w:t>B1-4预算绩效管理</w:t>
      </w:r>
    </w:p>
    <w:p>
      <w:pPr>
        <w:spacing w:line="560" w:lineRule="exact"/>
        <w:ind w:firstLine="560" w:firstLineChars="200"/>
        <w:rPr>
          <w:kern w:val="0"/>
        </w:rPr>
      </w:pPr>
      <w:r>
        <w:rPr>
          <w:rFonts w:hint="eastAsia"/>
          <w:kern w:val="0"/>
        </w:rPr>
        <w:t>运城市住房公积金管理中心2021年度编制了住房公积金管理工作运转经费绩效申报表，并未对部门整体、大型修缮和信息网络及软件购置更新项目单独进行了绩效申报和自评，年底编制了工作运转经费项目绩效自评报告。</w:t>
      </w:r>
    </w:p>
    <w:p>
      <w:pPr>
        <w:spacing w:line="560" w:lineRule="exact"/>
        <w:ind w:firstLine="560" w:firstLineChars="200"/>
        <w:rPr>
          <w:kern w:val="0"/>
        </w:rPr>
      </w:pPr>
      <w:r>
        <w:rPr>
          <w:rFonts w:hint="eastAsia"/>
          <w:kern w:val="0"/>
        </w:rPr>
        <w:t>工作运转经费项目绩效目标申报表和自评报告存在缺陷，具体为：项目单位制定的绩效目标，仅对产出指标中的数量、成本指标进行描述，未对产出质量、时效进行细化、量化，绩效目标细化量化程度欠缺；绩效自评报告未填写摘要、项目主要经验做法、存在的主要问题及管理建议，未对资产利用情况、财务核算、制度执行等问题进行描述分析。</w:t>
      </w:r>
    </w:p>
    <w:p>
      <w:pPr>
        <w:widowControl w:val="0"/>
        <w:spacing w:line="560" w:lineRule="exact"/>
        <w:ind w:firstLine="560" w:firstLineChars="200"/>
      </w:pPr>
      <w:r>
        <w:rPr>
          <w:rFonts w:hint="eastAsia"/>
          <w:bCs/>
        </w:rPr>
        <w:t>满分</w:t>
      </w:r>
      <w:r>
        <w:rPr>
          <w:rFonts w:hint="eastAsia"/>
          <w:bCs/>
          <w:lang w:val="en-US" w:eastAsia="zh-CN"/>
        </w:rPr>
        <w:t>4</w:t>
      </w:r>
      <w:r>
        <w:rPr>
          <w:rFonts w:hint="eastAsia"/>
          <w:bCs/>
        </w:rPr>
        <w:t>分，</w:t>
      </w:r>
      <w:r>
        <w:rPr>
          <w:rFonts w:hint="eastAsia"/>
          <w:kern w:val="0"/>
        </w:rPr>
        <w:t>根据绩效评价指标，本指标</w:t>
      </w:r>
      <w:r>
        <w:rPr>
          <w:rFonts w:hint="eastAsia"/>
          <w:bCs/>
        </w:rPr>
        <w:t>得分1.5分</w:t>
      </w:r>
      <w:r>
        <w:rPr>
          <w:rFonts w:hint="eastAsia"/>
          <w:kern w:val="0"/>
        </w:rPr>
        <w:t>，得分率</w:t>
      </w:r>
      <w:r>
        <w:rPr>
          <w:rFonts w:hint="eastAsia"/>
          <w:kern w:val="0"/>
          <w:lang w:val="en-US" w:eastAsia="zh-CN"/>
        </w:rPr>
        <w:t>37.50</w:t>
      </w:r>
      <w:r>
        <w:rPr>
          <w:rFonts w:hint="eastAsia"/>
          <w:kern w:val="0"/>
        </w:rPr>
        <w:t>%</w:t>
      </w:r>
      <w:r>
        <w:rPr>
          <w:rFonts w:hint="eastAsia"/>
          <w:bCs/>
        </w:rPr>
        <w:t>。</w:t>
      </w:r>
    </w:p>
    <w:p>
      <w:pPr>
        <w:widowControl w:val="0"/>
        <w:spacing w:line="560" w:lineRule="exact"/>
        <w:ind w:firstLine="562" w:firstLineChars="200"/>
        <w:outlineLvl w:val="3"/>
        <w:rPr>
          <w:b/>
        </w:rPr>
      </w:pPr>
      <w:r>
        <w:rPr>
          <w:rFonts w:hint="eastAsia"/>
          <w:b/>
        </w:rPr>
        <w:t>B2-1财务管理规范性</w:t>
      </w:r>
    </w:p>
    <w:p>
      <w:pPr>
        <w:widowControl w:val="0"/>
        <w:adjustRightInd w:val="0"/>
        <w:snapToGrid w:val="0"/>
        <w:spacing w:line="560" w:lineRule="exact"/>
        <w:ind w:firstLine="560" w:firstLineChars="200"/>
      </w:pPr>
      <w:r>
        <w:rPr>
          <w:rFonts w:hint="eastAsia"/>
        </w:rPr>
        <w:t>经核实，</w:t>
      </w:r>
      <w:r>
        <w:rPr>
          <w:rFonts w:hint="eastAsia"/>
          <w:kern w:val="0"/>
        </w:rPr>
        <w:t>运城市住房公积金管理中心</w:t>
      </w:r>
      <w:r>
        <w:rPr>
          <w:rFonts w:hint="eastAsia"/>
        </w:rPr>
        <w:t>结合本单位情况制定了多项规章制度，包括管理费用财务管理制度、办公用品管理制度、公车管理制度、采购管理制度、固定资产管理规定等，相关制度合法完整，具体为：</w:t>
      </w:r>
    </w:p>
    <w:p>
      <w:pPr>
        <w:widowControl w:val="0"/>
        <w:adjustRightInd w:val="0"/>
        <w:snapToGrid w:val="0"/>
        <w:spacing w:line="560" w:lineRule="exact"/>
        <w:ind w:firstLine="560" w:firstLineChars="200"/>
      </w:pPr>
      <w:r>
        <w:rPr>
          <w:rFonts w:hint="eastAsia"/>
        </w:rPr>
        <w:t>管理费用财务管理制度主要从预决算管理、审批管理、资金管理、收入管理、支出管理（办公费、车辆运行费、差旅费、会议费、公务接待费、培训费等制定管理办法）、公务卡结算管理、票据管理、会计档案管理及会计人员管理等方面制定相关管理制度，规范部门预算财务管理；</w:t>
      </w:r>
    </w:p>
    <w:p>
      <w:pPr>
        <w:widowControl w:val="0"/>
        <w:spacing w:line="560" w:lineRule="exact"/>
        <w:ind w:firstLine="560" w:firstLineChars="200"/>
      </w:pPr>
      <w:r>
        <w:rPr>
          <w:rFonts w:hint="eastAsia"/>
          <w:bCs/>
        </w:rPr>
        <w:t>满分2分，</w:t>
      </w:r>
      <w:r>
        <w:rPr>
          <w:rFonts w:hint="eastAsia"/>
          <w:kern w:val="0"/>
        </w:rPr>
        <w:t>根据绩效评价指标，本指标</w:t>
      </w:r>
      <w:r>
        <w:rPr>
          <w:rFonts w:hint="eastAsia"/>
          <w:bCs/>
        </w:rPr>
        <w:t>得分2分</w:t>
      </w:r>
      <w:r>
        <w:rPr>
          <w:rFonts w:hint="eastAsia"/>
          <w:kern w:val="0"/>
        </w:rPr>
        <w:t>，得分率100%</w:t>
      </w:r>
      <w:r>
        <w:rPr>
          <w:rFonts w:hint="eastAsia"/>
          <w:bCs/>
        </w:rPr>
        <w:t>。</w:t>
      </w:r>
    </w:p>
    <w:p>
      <w:pPr>
        <w:widowControl w:val="0"/>
        <w:spacing w:line="560" w:lineRule="exact"/>
        <w:ind w:firstLine="562" w:firstLineChars="200"/>
        <w:outlineLvl w:val="3"/>
        <w:rPr>
          <w:b/>
        </w:rPr>
      </w:pPr>
      <w:r>
        <w:rPr>
          <w:rFonts w:hint="eastAsia"/>
          <w:b/>
        </w:rPr>
        <w:t>B2-2财务管理有效性</w:t>
      </w:r>
    </w:p>
    <w:bookmarkEnd w:id="271"/>
    <w:bookmarkEnd w:id="272"/>
    <w:p>
      <w:pPr>
        <w:pStyle w:val="7"/>
        <w:widowControl w:val="0"/>
        <w:spacing w:line="560" w:lineRule="exact"/>
        <w:ind w:firstLine="560" w:firstLineChars="200"/>
        <w:rPr>
          <w:rFonts w:ascii="仿宋" w:eastAsia="仿宋"/>
          <w:sz w:val="28"/>
        </w:rPr>
      </w:pPr>
      <w:r>
        <w:rPr>
          <w:rFonts w:hint="eastAsia" w:ascii="仿宋" w:eastAsia="仿宋"/>
          <w:sz w:val="28"/>
        </w:rPr>
        <w:t>经核实运城市住房公积金管理中心财务报表、总账、明细账、记账凭证、原始单据等资料，</w:t>
      </w:r>
      <w:r>
        <w:rPr>
          <w:rFonts w:hint="eastAsia" w:ascii="仿宋" w:eastAsia="仿宋"/>
          <w:kern w:val="0"/>
          <w:sz w:val="28"/>
        </w:rPr>
        <w:t>单位资金使用符合部门预算批复的用途，不存在截留、挤占、挪用、虚列支出等情况，资金使用较为合规。</w:t>
      </w:r>
    </w:p>
    <w:p>
      <w:pPr>
        <w:widowControl w:val="0"/>
        <w:spacing w:line="560" w:lineRule="exact"/>
        <w:ind w:firstLine="560" w:firstLineChars="200"/>
      </w:pPr>
      <w:r>
        <w:rPr>
          <w:rFonts w:hint="eastAsia"/>
          <w:bCs/>
        </w:rPr>
        <w:t>满分4分，</w:t>
      </w:r>
      <w:r>
        <w:rPr>
          <w:rFonts w:hint="eastAsia"/>
          <w:kern w:val="0"/>
        </w:rPr>
        <w:t>根据绩效评价指标，本指标</w:t>
      </w:r>
      <w:r>
        <w:rPr>
          <w:rFonts w:hint="eastAsia"/>
          <w:bCs/>
        </w:rPr>
        <w:t>得分4分</w:t>
      </w:r>
      <w:r>
        <w:rPr>
          <w:rFonts w:hint="eastAsia"/>
          <w:kern w:val="0"/>
        </w:rPr>
        <w:t>，得分率100%</w:t>
      </w:r>
      <w:r>
        <w:rPr>
          <w:rFonts w:hint="eastAsia"/>
          <w:bCs/>
        </w:rPr>
        <w:t>。</w:t>
      </w:r>
    </w:p>
    <w:p>
      <w:pPr>
        <w:widowControl w:val="0"/>
        <w:spacing w:line="560" w:lineRule="exact"/>
        <w:ind w:firstLine="562" w:firstLineChars="200"/>
        <w:outlineLvl w:val="3"/>
        <w:rPr>
          <w:b/>
          <w:bCs/>
          <w:kern w:val="0"/>
        </w:rPr>
      </w:pPr>
      <w:r>
        <w:rPr>
          <w:rFonts w:hint="eastAsia"/>
          <w:b/>
          <w:bCs/>
          <w:kern w:val="0"/>
        </w:rPr>
        <w:t>B3-1资产管理规范性</w:t>
      </w:r>
    </w:p>
    <w:p>
      <w:pPr>
        <w:widowControl w:val="0"/>
        <w:adjustRightInd w:val="0"/>
        <w:snapToGrid w:val="0"/>
        <w:spacing w:line="560" w:lineRule="exact"/>
        <w:ind w:firstLine="560" w:firstLineChars="200"/>
      </w:pPr>
      <w:r>
        <w:rPr>
          <w:rFonts w:hint="eastAsia"/>
        </w:rPr>
        <w:t>项目单位为了维护资产安全和完整，提高资产使用效益，根据《事业单位会计制度》和《行政事业单位国有资产管理办法》等法律法规，制定了完整、规范的固定资产管理规定、公车管理制度、办公用品管理制度等。固定资产管理规定从资产计价、折旧、资产购入、接受捐赠、盘盈、正常报废、日常管理等方面，实现对实物资产全过程监督管理。</w:t>
      </w:r>
    </w:p>
    <w:p>
      <w:pPr>
        <w:widowControl w:val="0"/>
        <w:adjustRightInd w:val="0"/>
        <w:snapToGrid w:val="0"/>
        <w:spacing w:line="560" w:lineRule="exact"/>
        <w:ind w:firstLine="560" w:firstLineChars="200"/>
      </w:pPr>
      <w:r>
        <w:rPr>
          <w:rFonts w:hint="eastAsia"/>
        </w:rPr>
        <w:t>但通过查看运城市住房公积金管理中心资产账簿、资产卡片台账等资料以及对固定资产进行实地抽盘，发现仍存在如下问题：</w:t>
      </w:r>
    </w:p>
    <w:p>
      <w:pPr>
        <w:adjustRightInd w:val="0"/>
        <w:snapToGrid w:val="0"/>
        <w:spacing w:line="560" w:lineRule="exact"/>
        <w:ind w:firstLine="560" w:firstLineChars="200"/>
        <w:rPr>
          <w:kern w:val="0"/>
        </w:rPr>
      </w:pPr>
      <w:r>
        <w:rPr>
          <w:rFonts w:hint="eastAsia"/>
          <w:kern w:val="0"/>
        </w:rPr>
        <w:t>①在制度执行过程中，该单位下设机构未按制度规定对固定资产每年度进行一次全面清查盘点，年底盘点时未保留纸质盘点记录，固定资产实物上未粘贴《固定资产卡片》，资产盘点制度执行不到位。</w:t>
      </w:r>
    </w:p>
    <w:p>
      <w:pPr>
        <w:pStyle w:val="7"/>
        <w:autoSpaceDE w:val="0"/>
        <w:spacing w:line="560" w:lineRule="exact"/>
        <w:ind w:firstLine="560" w:firstLineChars="200"/>
        <w:rPr>
          <w:rFonts w:ascii="仿宋" w:eastAsia="仿宋"/>
          <w:kern w:val="0"/>
          <w:sz w:val="28"/>
        </w:rPr>
      </w:pPr>
      <w:r>
        <w:rPr>
          <w:rFonts w:hint="eastAsia" w:ascii="仿宋" w:eastAsia="仿宋"/>
          <w:kern w:val="0"/>
          <w:sz w:val="28"/>
        </w:rPr>
        <w:t>②</w:t>
      </w:r>
      <w:r>
        <w:rPr>
          <w:rFonts w:hint="eastAsia" w:ascii="仿宋" w:eastAsia="仿宋"/>
          <w:sz w:val="28"/>
        </w:rPr>
        <w:t>该单位未严格执行资产管理制度，体现在：</w:t>
      </w:r>
      <w:r>
        <w:rPr>
          <w:rFonts w:hint="eastAsia" w:ascii="仿宋" w:eastAsia="仿宋"/>
          <w:kern w:val="0"/>
          <w:sz w:val="28"/>
        </w:rPr>
        <w:t>A.该部门部分资产卡片信息不完整，部分未录入资产使用部门、使用人、规格型号和存放地点；</w:t>
      </w:r>
    </w:p>
    <w:p>
      <w:pPr>
        <w:widowControl w:val="0"/>
        <w:spacing w:line="560" w:lineRule="exact"/>
        <w:ind w:firstLine="560" w:firstLineChars="200"/>
      </w:pPr>
      <w:r>
        <w:rPr>
          <w:rFonts w:hint="eastAsia"/>
          <w:bCs/>
        </w:rPr>
        <w:t>满分5分，</w:t>
      </w:r>
      <w:r>
        <w:rPr>
          <w:rFonts w:hint="eastAsia"/>
          <w:kern w:val="0"/>
        </w:rPr>
        <w:t>根据绩效评价指标，本指标</w:t>
      </w:r>
      <w:r>
        <w:rPr>
          <w:rFonts w:hint="eastAsia"/>
          <w:bCs/>
        </w:rPr>
        <w:t>得分4分</w:t>
      </w:r>
      <w:r>
        <w:rPr>
          <w:rFonts w:hint="eastAsia"/>
          <w:kern w:val="0"/>
        </w:rPr>
        <w:t>，得分率80%</w:t>
      </w:r>
      <w:r>
        <w:rPr>
          <w:rFonts w:hint="eastAsia"/>
          <w:bCs/>
        </w:rPr>
        <w:t>。</w:t>
      </w:r>
    </w:p>
    <w:p>
      <w:pPr>
        <w:widowControl w:val="0"/>
        <w:spacing w:line="560" w:lineRule="exact"/>
        <w:ind w:firstLine="562" w:firstLineChars="200"/>
        <w:outlineLvl w:val="3"/>
        <w:rPr>
          <w:b/>
          <w:bCs/>
          <w:kern w:val="0"/>
        </w:rPr>
      </w:pPr>
      <w:r>
        <w:rPr>
          <w:rFonts w:hint="eastAsia"/>
          <w:b/>
          <w:bCs/>
          <w:kern w:val="0"/>
        </w:rPr>
        <w:t>B3-2固定资产利用率</w:t>
      </w:r>
    </w:p>
    <w:p>
      <w:pPr>
        <w:pStyle w:val="7"/>
        <w:autoSpaceDE w:val="0"/>
        <w:spacing w:line="560" w:lineRule="exact"/>
        <w:ind w:firstLine="560" w:firstLineChars="200"/>
        <w:rPr>
          <w:rFonts w:ascii="仿宋" w:eastAsia="仿宋"/>
          <w:kern w:val="0"/>
          <w:sz w:val="28"/>
        </w:rPr>
      </w:pPr>
      <w:r>
        <w:rPr>
          <w:rFonts w:hint="eastAsia" w:ascii="仿宋" w:eastAsia="仿宋"/>
          <w:kern w:val="0"/>
          <w:sz w:val="28"/>
        </w:rPr>
        <w:t>经评价组核实，截止2021年12月31日运城市住房公积金管理中心资产共3588项，资产原值共计6,549.69万元（固定资产3588项原值6,095.40万元，无形资产13项原值454.29万元）。实际在用固定资产总额6,549.69万元，固定资产利用率为100%。</w:t>
      </w:r>
    </w:p>
    <w:p>
      <w:pPr>
        <w:widowControl w:val="0"/>
        <w:spacing w:line="560" w:lineRule="exact"/>
        <w:ind w:firstLine="560" w:firstLineChars="200"/>
        <w:rPr>
          <w:b/>
          <w:bCs/>
          <w:kern w:val="0"/>
        </w:rPr>
      </w:pPr>
      <w:r>
        <w:rPr>
          <w:rFonts w:hint="eastAsia"/>
          <w:bCs/>
        </w:rPr>
        <w:t>满分</w:t>
      </w:r>
      <w:r>
        <w:rPr>
          <w:rFonts w:hint="eastAsia"/>
          <w:bCs/>
          <w:lang w:val="en-US" w:eastAsia="zh-CN"/>
        </w:rPr>
        <w:t>1</w:t>
      </w:r>
      <w:r>
        <w:rPr>
          <w:rFonts w:hint="eastAsia"/>
          <w:bCs/>
        </w:rPr>
        <w:t>分，</w:t>
      </w:r>
      <w:r>
        <w:rPr>
          <w:rFonts w:hint="eastAsia"/>
          <w:kern w:val="0"/>
        </w:rPr>
        <w:t>根据绩效评价指标，本指标</w:t>
      </w:r>
      <w:r>
        <w:rPr>
          <w:rFonts w:hint="eastAsia"/>
          <w:bCs/>
        </w:rPr>
        <w:t>得分</w:t>
      </w:r>
      <w:r>
        <w:rPr>
          <w:rFonts w:hint="eastAsia"/>
          <w:bCs/>
          <w:lang w:val="en-US" w:eastAsia="zh-CN"/>
        </w:rPr>
        <w:t>1</w:t>
      </w:r>
      <w:r>
        <w:rPr>
          <w:rFonts w:hint="eastAsia"/>
          <w:bCs/>
        </w:rPr>
        <w:t>分</w:t>
      </w:r>
      <w:r>
        <w:rPr>
          <w:rFonts w:hint="eastAsia"/>
          <w:kern w:val="0"/>
        </w:rPr>
        <w:t>，得分率100%</w:t>
      </w:r>
      <w:r>
        <w:rPr>
          <w:rFonts w:hint="eastAsia"/>
          <w:bCs/>
        </w:rPr>
        <w:t>。</w:t>
      </w:r>
    </w:p>
    <w:p>
      <w:pPr>
        <w:widowControl w:val="0"/>
        <w:spacing w:line="560" w:lineRule="exact"/>
        <w:ind w:firstLine="562" w:firstLineChars="200"/>
        <w:outlineLvl w:val="3"/>
        <w:rPr>
          <w:b/>
          <w:bCs/>
          <w:kern w:val="0"/>
        </w:rPr>
      </w:pPr>
      <w:r>
        <w:rPr>
          <w:rFonts w:hint="eastAsia"/>
          <w:b/>
          <w:bCs/>
          <w:kern w:val="0"/>
        </w:rPr>
        <w:t>B4-1政府采购管理</w:t>
      </w:r>
    </w:p>
    <w:p>
      <w:pPr>
        <w:pStyle w:val="7"/>
        <w:autoSpaceDE w:val="0"/>
        <w:spacing w:line="560" w:lineRule="exact"/>
        <w:ind w:firstLine="560" w:firstLineChars="200"/>
        <w:rPr>
          <w:rFonts w:ascii="仿宋" w:eastAsia="仿宋"/>
          <w:kern w:val="0"/>
          <w:sz w:val="28"/>
        </w:rPr>
      </w:pPr>
      <w:r>
        <w:rPr>
          <w:rFonts w:hint="eastAsia" w:ascii="仿宋" w:eastAsia="仿宋"/>
          <w:kern w:val="0"/>
          <w:sz w:val="28"/>
        </w:rPr>
        <w:t>经核实，中心政府采购执行率为8</w:t>
      </w:r>
      <w:r>
        <w:rPr>
          <w:rFonts w:ascii="仿宋" w:eastAsia="仿宋"/>
          <w:kern w:val="0"/>
          <w:sz w:val="28"/>
        </w:rPr>
        <w:t>9</w:t>
      </w:r>
      <w:r>
        <w:rPr>
          <w:rFonts w:hint="eastAsia" w:ascii="仿宋" w:eastAsia="仿宋"/>
          <w:kern w:val="0"/>
          <w:sz w:val="28"/>
        </w:rPr>
        <w:t>.</w:t>
      </w:r>
      <w:r>
        <w:rPr>
          <w:rFonts w:ascii="仿宋" w:eastAsia="仿宋"/>
          <w:kern w:val="0"/>
          <w:sz w:val="28"/>
        </w:rPr>
        <w:t>68</w:t>
      </w:r>
      <w:r>
        <w:rPr>
          <w:rFonts w:hint="eastAsia" w:ascii="仿宋" w:eastAsia="仿宋"/>
          <w:kern w:val="0"/>
          <w:sz w:val="28"/>
        </w:rPr>
        <w:t>%，具体为：</w:t>
      </w:r>
    </w:p>
    <w:p>
      <w:pPr>
        <w:pStyle w:val="7"/>
        <w:autoSpaceDE w:val="0"/>
        <w:spacing w:line="560" w:lineRule="exact"/>
        <w:ind w:firstLine="560" w:firstLineChars="200"/>
        <w:rPr>
          <w:rFonts w:ascii="仿宋" w:eastAsia="仿宋"/>
          <w:kern w:val="0"/>
          <w:sz w:val="28"/>
        </w:rPr>
      </w:pPr>
      <w:r>
        <w:rPr>
          <w:rFonts w:hint="eastAsia" w:ascii="仿宋" w:eastAsia="仿宋"/>
          <w:kern w:val="0"/>
          <w:sz w:val="28"/>
        </w:rPr>
        <w:t>2021年运城市住房公积金管理中心政府采购预算总额564.72万元，其中，政府采购货物预算215.33万元；政府采购工程预算120万元；政府采购服务预算229.39万元。</w:t>
      </w:r>
    </w:p>
    <w:p>
      <w:pPr>
        <w:pStyle w:val="7"/>
        <w:autoSpaceDE w:val="0"/>
        <w:spacing w:line="560" w:lineRule="exact"/>
        <w:ind w:firstLine="560" w:firstLineChars="200"/>
        <w:rPr>
          <w:rFonts w:ascii="仿宋" w:eastAsia="仿宋"/>
          <w:kern w:val="0"/>
          <w:sz w:val="28"/>
        </w:rPr>
      </w:pPr>
      <w:r>
        <w:rPr>
          <w:rFonts w:hint="eastAsia" w:ascii="仿宋" w:eastAsia="仿宋"/>
          <w:kern w:val="0"/>
          <w:sz w:val="28"/>
        </w:rPr>
        <w:t>2021年度实际执行采购支出总额506.46万元，其中：政府采购货物支出242.58万元、政府采购工程支出89.67万元、政府采购服务支出174.21万元。</w:t>
      </w:r>
    </w:p>
    <w:p>
      <w:pPr>
        <w:widowControl w:val="0"/>
        <w:spacing w:line="560" w:lineRule="exact"/>
        <w:ind w:left="560" w:leftChars="200"/>
        <w:outlineLvl w:val="3"/>
        <w:rPr>
          <w:b/>
          <w:bCs/>
          <w:kern w:val="0"/>
        </w:rPr>
      </w:pPr>
      <w:r>
        <w:rPr>
          <w:rFonts w:hint="eastAsia"/>
          <w:bCs/>
        </w:rPr>
        <w:t>满分1分，</w:t>
      </w:r>
      <w:r>
        <w:rPr>
          <w:rFonts w:hint="eastAsia"/>
          <w:kern w:val="0"/>
        </w:rPr>
        <w:t>根据绩效评价指标，本指标</w:t>
      </w:r>
      <w:r>
        <w:rPr>
          <w:rFonts w:hint="eastAsia"/>
          <w:bCs/>
        </w:rPr>
        <w:t>得分1分</w:t>
      </w:r>
      <w:r>
        <w:rPr>
          <w:rFonts w:hint="eastAsia"/>
          <w:kern w:val="0"/>
        </w:rPr>
        <w:t>，得分率100%</w:t>
      </w:r>
      <w:r>
        <w:rPr>
          <w:rFonts w:hint="eastAsia"/>
          <w:bCs/>
        </w:rPr>
        <w:t>。</w:t>
      </w:r>
      <w:r>
        <w:rPr>
          <w:rFonts w:hint="eastAsia"/>
          <w:b/>
          <w:bCs/>
          <w:kern w:val="0"/>
        </w:rPr>
        <w:t>B4-2预决算信息公开</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预算信息公开：2021年3月2日，运城市财政局批复了运城市住房公积金管理中心2021年度部门预算，依据《财政部关于印发〈地方预决算公开操作规程〉的通知》及运城市财政局的相关要求，运城市住房公积金管理中心应于预算批复日起20日内公开部门预算。经核实，运城市住房公积金管理中心于2021年3月15日在运城市人民政府网站上公开其部门预算，包括：部门主要职责、部门预算单位机构设置情况、部门预算收支情况说明（2021年预算收入、支出比2020年增减情况、“三公经费”预算、运行经费情况、政府采购预算情况等），符合相关要求。</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决算信息公开：由于监管部门未对各单位2021年度决算进行批复，故导致运城市住房公积金管理中心2021年度部门决算信息未在运城市人民政府网站上公开</w:t>
      </w:r>
      <w:r>
        <w:rPr>
          <w:rStyle w:val="25"/>
          <w:rFonts w:hint="eastAsia" w:ascii="仿宋" w:eastAsia="仿宋"/>
        </w:rPr>
        <w:t>。</w:t>
      </w:r>
    </w:p>
    <w:p>
      <w:pPr>
        <w:widowControl w:val="0"/>
        <w:spacing w:line="560" w:lineRule="exact"/>
        <w:ind w:firstLine="560" w:firstLineChars="200"/>
        <w:rPr>
          <w:kern w:val="0"/>
        </w:rPr>
      </w:pPr>
      <w:r>
        <w:rPr>
          <w:rFonts w:hint="eastAsia"/>
          <w:bCs/>
        </w:rPr>
        <w:t>满分1分，</w:t>
      </w:r>
      <w:r>
        <w:rPr>
          <w:rFonts w:hint="eastAsia"/>
          <w:kern w:val="0"/>
        </w:rPr>
        <w:t>根据绩效评价指标，本指标</w:t>
      </w:r>
      <w:r>
        <w:rPr>
          <w:rFonts w:hint="eastAsia"/>
          <w:bCs/>
        </w:rPr>
        <w:t>得分1分</w:t>
      </w:r>
      <w:r>
        <w:rPr>
          <w:rFonts w:hint="eastAsia"/>
          <w:kern w:val="0"/>
        </w:rPr>
        <w:t>，得分率100%</w:t>
      </w:r>
      <w:r>
        <w:rPr>
          <w:rFonts w:hint="eastAsia"/>
          <w:bCs/>
        </w:rPr>
        <w:t>。</w:t>
      </w:r>
    </w:p>
    <w:p>
      <w:pPr>
        <w:spacing w:line="560" w:lineRule="exact"/>
        <w:ind w:firstLine="560" w:firstLineChars="200"/>
      </w:pPr>
      <w:bookmarkStart w:id="273" w:name="_Toc2463"/>
      <w:bookmarkStart w:id="274" w:name="_Toc21035"/>
      <w:bookmarkStart w:id="275" w:name="_Toc11120"/>
      <w:bookmarkStart w:id="276" w:name="_Toc20089"/>
      <w:bookmarkStart w:id="277" w:name="_Toc32382"/>
      <w:bookmarkStart w:id="278" w:name="_Toc13762_WPSOffice_Level2"/>
      <w:bookmarkStart w:id="279" w:name="_Toc2283"/>
      <w:r>
        <w:rPr>
          <w:rFonts w:hint="eastAsia"/>
        </w:rPr>
        <w:t>（三）社会效应分析</w:t>
      </w:r>
      <w:bookmarkEnd w:id="273"/>
      <w:bookmarkEnd w:id="274"/>
    </w:p>
    <w:p>
      <w:pPr>
        <w:widowControl w:val="0"/>
        <w:spacing w:line="560" w:lineRule="exact"/>
        <w:ind w:firstLine="560" w:firstLineChars="200"/>
      </w:pPr>
      <w:r>
        <w:rPr>
          <w:rFonts w:hint="eastAsia"/>
        </w:rPr>
        <w:t>社会效应分别从经济社会影响、社会满意两个方面进行分析，共设置2个二级指标4个三级指标。社会效应指标分值20分，实际得分19.82分，得分率99.10%。各分项指标得分情况如下表4-3所示：</w:t>
      </w:r>
    </w:p>
    <w:p>
      <w:pPr>
        <w:widowControl w:val="0"/>
        <w:spacing w:after="76" w:afterLines="20" w:line="560" w:lineRule="exact"/>
        <w:jc w:val="center"/>
        <w:rPr>
          <w:b/>
        </w:rPr>
      </w:pPr>
      <w:r>
        <w:rPr>
          <w:rFonts w:hint="eastAsia"/>
          <w:b/>
        </w:rPr>
        <w:t>表4-3 社会效应指标得分情况</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3279"/>
        <w:gridCol w:w="1099"/>
        <w:gridCol w:w="91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13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二级指标</w:t>
            </w:r>
          </w:p>
        </w:tc>
        <w:tc>
          <w:tcPr>
            <w:tcW w:w="327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三级指标</w:t>
            </w:r>
          </w:p>
        </w:tc>
        <w:tc>
          <w:tcPr>
            <w:tcW w:w="1099"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分值</w:t>
            </w:r>
          </w:p>
        </w:tc>
        <w:tc>
          <w:tcPr>
            <w:tcW w:w="912"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得分</w:t>
            </w:r>
          </w:p>
        </w:tc>
        <w:tc>
          <w:tcPr>
            <w:tcW w:w="1093" w:type="dxa"/>
            <w:shd w:val="clear" w:color="000000" w:fill="FFFFFF"/>
            <w:vAlign w:val="center"/>
          </w:tcPr>
          <w:p>
            <w:pPr>
              <w:pStyle w:val="72"/>
              <w:spacing w:before="0" w:after="0" w:line="360" w:lineRule="auto"/>
              <w:rPr>
                <w:rFonts w:ascii="仿宋" w:hAnsi="仿宋" w:eastAsia="仿宋"/>
                <w:szCs w:val="24"/>
              </w:rPr>
            </w:pPr>
            <w:r>
              <w:rPr>
                <w:rFonts w:hint="eastAsia" w:ascii="仿宋" w:hAnsi="仿宋" w:eastAsia="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9" w:type="dxa"/>
            <w:vMerge w:val="restart"/>
            <w:vAlign w:val="center"/>
          </w:tcPr>
          <w:p>
            <w:pPr>
              <w:pStyle w:val="72"/>
              <w:spacing w:before="0" w:after="0" w:line="360" w:lineRule="auto"/>
              <w:rPr>
                <w:rFonts w:ascii="仿宋" w:hAnsi="仿宋" w:eastAsia="仿宋"/>
                <w:b w:val="0"/>
                <w:color w:val="000000"/>
                <w:szCs w:val="24"/>
              </w:rPr>
            </w:pPr>
            <w:r>
              <w:rPr>
                <w:rFonts w:hint="eastAsia" w:ascii="仿宋" w:hAnsi="仿宋" w:eastAsia="仿宋"/>
                <w:b w:val="0"/>
                <w:bCs/>
                <w:color w:val="000000"/>
                <w:szCs w:val="24"/>
                <w:lang w:bidi="ar"/>
              </w:rPr>
              <w:t>经济社会影响</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C1-1提高便民服务程度</w:t>
            </w:r>
          </w:p>
        </w:tc>
        <w:tc>
          <w:tcPr>
            <w:tcW w:w="1099" w:type="dxa"/>
            <w:vAlign w:val="center"/>
          </w:tcPr>
          <w:p>
            <w:pPr>
              <w:jc w:val="center"/>
              <w:textAlignment w:val="center"/>
              <w:rPr>
                <w:color w:val="000000"/>
                <w:kern w:val="0"/>
                <w:sz w:val="24"/>
                <w:szCs w:val="24"/>
              </w:rPr>
            </w:pPr>
            <w:r>
              <w:rPr>
                <w:rFonts w:hint="eastAsia"/>
                <w:color w:val="000000"/>
                <w:kern w:val="0"/>
                <w:sz w:val="24"/>
                <w:szCs w:val="24"/>
              </w:rPr>
              <w:t>6</w:t>
            </w:r>
          </w:p>
        </w:tc>
        <w:tc>
          <w:tcPr>
            <w:tcW w:w="912" w:type="dxa"/>
            <w:vAlign w:val="center"/>
          </w:tcPr>
          <w:p>
            <w:pPr>
              <w:jc w:val="center"/>
              <w:textAlignment w:val="center"/>
              <w:rPr>
                <w:color w:val="000000"/>
                <w:kern w:val="0"/>
                <w:sz w:val="24"/>
                <w:szCs w:val="24"/>
              </w:rPr>
            </w:pPr>
            <w:r>
              <w:rPr>
                <w:rFonts w:hint="eastAsia"/>
                <w:color w:val="000000"/>
                <w:kern w:val="0"/>
                <w:sz w:val="24"/>
                <w:szCs w:val="24"/>
              </w:rPr>
              <w:t>6</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C1-2支持居民住房贷款需求</w:t>
            </w:r>
          </w:p>
        </w:tc>
        <w:tc>
          <w:tcPr>
            <w:tcW w:w="1099" w:type="dxa"/>
            <w:vAlign w:val="center"/>
          </w:tcPr>
          <w:p>
            <w:pPr>
              <w:jc w:val="center"/>
              <w:textAlignment w:val="center"/>
              <w:rPr>
                <w:color w:val="000000"/>
                <w:kern w:val="0"/>
                <w:sz w:val="24"/>
                <w:szCs w:val="24"/>
              </w:rPr>
            </w:pPr>
            <w:r>
              <w:rPr>
                <w:rFonts w:hint="eastAsia"/>
                <w:color w:val="000000"/>
                <w:kern w:val="0"/>
                <w:sz w:val="24"/>
                <w:szCs w:val="24"/>
              </w:rPr>
              <w:t>6</w:t>
            </w:r>
          </w:p>
        </w:tc>
        <w:tc>
          <w:tcPr>
            <w:tcW w:w="912" w:type="dxa"/>
            <w:vAlign w:val="center"/>
          </w:tcPr>
          <w:p>
            <w:pPr>
              <w:jc w:val="center"/>
              <w:textAlignment w:val="center"/>
              <w:rPr>
                <w:color w:val="000000"/>
                <w:kern w:val="0"/>
                <w:sz w:val="24"/>
                <w:szCs w:val="24"/>
              </w:rPr>
            </w:pPr>
            <w:r>
              <w:rPr>
                <w:rFonts w:hint="eastAsia"/>
                <w:color w:val="000000"/>
                <w:kern w:val="0"/>
                <w:sz w:val="24"/>
                <w:szCs w:val="24"/>
              </w:rPr>
              <w:t>6</w:t>
            </w:r>
          </w:p>
        </w:tc>
        <w:tc>
          <w:tcPr>
            <w:tcW w:w="1093" w:type="dxa"/>
            <w:vAlign w:val="center"/>
          </w:tcPr>
          <w:p>
            <w:pPr>
              <w:jc w:val="center"/>
              <w:textAlignment w:val="center"/>
              <w:rPr>
                <w:sz w:val="24"/>
                <w:szCs w:val="24"/>
              </w:rPr>
            </w:pPr>
            <w:r>
              <w:rPr>
                <w:rFonts w:hint="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9" w:type="dxa"/>
            <w:vMerge w:val="restart"/>
            <w:vAlign w:val="center"/>
          </w:tcPr>
          <w:p>
            <w:pPr>
              <w:pStyle w:val="72"/>
              <w:spacing w:before="0" w:after="0" w:line="360" w:lineRule="auto"/>
              <w:rPr>
                <w:rFonts w:ascii="仿宋" w:hAnsi="仿宋" w:eastAsia="仿宋"/>
                <w:b w:val="0"/>
                <w:bCs/>
                <w:color w:val="000000"/>
                <w:szCs w:val="24"/>
                <w:lang w:bidi="ar"/>
              </w:rPr>
            </w:pPr>
            <w:r>
              <w:rPr>
                <w:rFonts w:hint="eastAsia" w:ascii="仿宋" w:hAnsi="仿宋" w:eastAsia="仿宋"/>
                <w:b w:val="0"/>
                <w:bCs/>
                <w:color w:val="000000"/>
                <w:szCs w:val="24"/>
                <w:lang w:bidi="ar"/>
              </w:rPr>
              <w:t>社会满意</w:t>
            </w: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C2-1服务对象满意度</w:t>
            </w:r>
          </w:p>
        </w:tc>
        <w:tc>
          <w:tcPr>
            <w:tcW w:w="1099" w:type="dxa"/>
            <w:vAlign w:val="center"/>
          </w:tcPr>
          <w:p>
            <w:pPr>
              <w:jc w:val="center"/>
              <w:textAlignment w:val="center"/>
              <w:rPr>
                <w:color w:val="000000"/>
                <w:kern w:val="0"/>
                <w:sz w:val="24"/>
                <w:szCs w:val="24"/>
              </w:rPr>
            </w:pPr>
            <w:r>
              <w:rPr>
                <w:rFonts w:hint="eastAsia"/>
                <w:color w:val="000000"/>
                <w:kern w:val="0"/>
                <w:sz w:val="24"/>
                <w:szCs w:val="24"/>
              </w:rPr>
              <w:t>4</w:t>
            </w:r>
          </w:p>
        </w:tc>
        <w:tc>
          <w:tcPr>
            <w:tcW w:w="912" w:type="dxa"/>
            <w:vAlign w:val="center"/>
          </w:tcPr>
          <w:p>
            <w:pPr>
              <w:jc w:val="center"/>
              <w:textAlignment w:val="center"/>
              <w:rPr>
                <w:color w:val="000000"/>
                <w:kern w:val="0"/>
                <w:sz w:val="24"/>
                <w:szCs w:val="24"/>
              </w:rPr>
            </w:pPr>
            <w:r>
              <w:rPr>
                <w:rFonts w:hint="eastAsia"/>
                <w:color w:val="000000"/>
                <w:kern w:val="0"/>
                <w:sz w:val="24"/>
                <w:szCs w:val="24"/>
              </w:rPr>
              <w:t>3.89</w:t>
            </w:r>
          </w:p>
        </w:tc>
        <w:tc>
          <w:tcPr>
            <w:tcW w:w="1093" w:type="dxa"/>
            <w:vAlign w:val="center"/>
          </w:tcPr>
          <w:p>
            <w:pPr>
              <w:jc w:val="center"/>
              <w:textAlignment w:val="center"/>
              <w:rPr>
                <w:sz w:val="24"/>
                <w:szCs w:val="24"/>
              </w:rPr>
            </w:pPr>
            <w:r>
              <w:rPr>
                <w:rFonts w:hint="eastAsia"/>
                <w:sz w:val="24"/>
                <w:szCs w:val="24"/>
              </w:rPr>
              <w:t>97.25%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9" w:type="dxa"/>
            <w:vMerge w:val="continue"/>
          </w:tcPr>
          <w:p>
            <w:pPr>
              <w:pStyle w:val="72"/>
              <w:spacing w:before="0" w:after="0" w:line="360" w:lineRule="auto"/>
              <w:rPr>
                <w:rFonts w:ascii="仿宋" w:hAnsi="仿宋" w:eastAsia="仿宋"/>
                <w:b w:val="0"/>
                <w:color w:val="000000"/>
                <w:szCs w:val="24"/>
              </w:rPr>
            </w:pPr>
          </w:p>
        </w:tc>
        <w:tc>
          <w:tcPr>
            <w:tcW w:w="3279" w:type="dxa"/>
            <w:vAlign w:val="center"/>
          </w:tcPr>
          <w:p>
            <w:pPr>
              <w:pStyle w:val="72"/>
              <w:spacing w:before="0" w:after="0" w:line="360" w:lineRule="auto"/>
              <w:jc w:val="left"/>
              <w:rPr>
                <w:rFonts w:ascii="仿宋" w:hAnsi="仿宋" w:eastAsia="仿宋"/>
                <w:b w:val="0"/>
                <w:color w:val="000000"/>
                <w:szCs w:val="24"/>
              </w:rPr>
            </w:pPr>
            <w:r>
              <w:rPr>
                <w:rFonts w:hint="eastAsia" w:ascii="仿宋" w:hAnsi="仿宋" w:eastAsia="仿宋"/>
                <w:b w:val="0"/>
                <w:color w:val="000000"/>
                <w:szCs w:val="24"/>
              </w:rPr>
              <w:t>C2-2管理对象满意度</w:t>
            </w:r>
          </w:p>
        </w:tc>
        <w:tc>
          <w:tcPr>
            <w:tcW w:w="1099" w:type="dxa"/>
            <w:vAlign w:val="center"/>
          </w:tcPr>
          <w:p>
            <w:pPr>
              <w:jc w:val="center"/>
              <w:textAlignment w:val="center"/>
              <w:rPr>
                <w:color w:val="000000"/>
                <w:kern w:val="0"/>
                <w:sz w:val="24"/>
                <w:szCs w:val="24"/>
              </w:rPr>
            </w:pPr>
            <w:r>
              <w:rPr>
                <w:rFonts w:hint="eastAsia"/>
                <w:color w:val="000000"/>
                <w:kern w:val="0"/>
                <w:sz w:val="24"/>
                <w:szCs w:val="24"/>
              </w:rPr>
              <w:t>4</w:t>
            </w:r>
          </w:p>
        </w:tc>
        <w:tc>
          <w:tcPr>
            <w:tcW w:w="912" w:type="dxa"/>
            <w:vAlign w:val="center"/>
          </w:tcPr>
          <w:p>
            <w:pPr>
              <w:jc w:val="center"/>
              <w:textAlignment w:val="center"/>
              <w:rPr>
                <w:color w:val="000000"/>
                <w:kern w:val="0"/>
                <w:sz w:val="24"/>
                <w:szCs w:val="24"/>
              </w:rPr>
            </w:pPr>
            <w:r>
              <w:rPr>
                <w:rFonts w:hint="eastAsia"/>
                <w:color w:val="000000"/>
                <w:kern w:val="0"/>
                <w:sz w:val="24"/>
                <w:szCs w:val="24"/>
              </w:rPr>
              <w:t>3.93</w:t>
            </w:r>
          </w:p>
        </w:tc>
        <w:tc>
          <w:tcPr>
            <w:tcW w:w="1093" w:type="dxa"/>
            <w:vAlign w:val="center"/>
          </w:tcPr>
          <w:p>
            <w:pPr>
              <w:jc w:val="center"/>
              <w:textAlignment w:val="center"/>
              <w:rPr>
                <w:color w:val="000000"/>
                <w:kern w:val="0"/>
                <w:sz w:val="24"/>
                <w:szCs w:val="24"/>
              </w:rPr>
            </w:pPr>
            <w:r>
              <w:rPr>
                <w:rFonts w:hint="eastAsia"/>
                <w:sz w:val="24"/>
                <w:szCs w:val="24"/>
              </w:rPr>
              <w:t>98.25%</w:t>
            </w:r>
          </w:p>
        </w:tc>
      </w:tr>
      <w:bookmarkEnd w:id="275"/>
      <w:bookmarkEnd w:id="276"/>
      <w:bookmarkEnd w:id="277"/>
      <w:bookmarkEnd w:id="278"/>
      <w:bookmarkEnd w:id="279"/>
    </w:tbl>
    <w:p>
      <w:pPr>
        <w:widowControl w:val="0"/>
        <w:spacing w:line="560" w:lineRule="exact"/>
        <w:ind w:firstLine="562" w:firstLineChars="200"/>
        <w:rPr>
          <w:b/>
        </w:rPr>
      </w:pPr>
      <w:r>
        <w:rPr>
          <w:rFonts w:hint="eastAsia"/>
          <w:b/>
        </w:rPr>
        <w:t>D1-1提高便民服务程度</w:t>
      </w:r>
    </w:p>
    <w:p>
      <w:pPr>
        <w:widowControl w:val="0"/>
        <w:spacing w:line="560" w:lineRule="exact"/>
        <w:ind w:firstLine="560" w:firstLineChars="200"/>
        <w:rPr>
          <w:bCs/>
        </w:rPr>
      </w:pPr>
      <w:r>
        <w:rPr>
          <w:rFonts w:hint="eastAsia"/>
          <w:bCs/>
        </w:rPr>
        <w:t>经评价组核实，项目单位通过打造智慧服务平台，在为企业提供联通互动的一体化服务、持续优化便民服务等方面起到积极作用，具体为：</w:t>
      </w:r>
    </w:p>
    <w:p>
      <w:pPr>
        <w:widowControl w:val="0"/>
        <w:spacing w:line="560" w:lineRule="exact"/>
        <w:ind w:firstLine="560" w:firstLineChars="200"/>
        <w:rPr>
          <w:bCs/>
        </w:rPr>
      </w:pPr>
      <w:r>
        <w:rPr>
          <w:rFonts w:hint="eastAsia"/>
          <w:bCs/>
        </w:rPr>
        <w:t>（1）增加公积金业务网办功能，归集、提取、贷款三大业务八项功能纳入微信公众号，均实现了“网上办”、“掌上办”，开发上线21项“7</w:t>
      </w:r>
      <w:r>
        <w:rPr>
          <w:bCs/>
        </w:rPr>
        <w:t>×</w:t>
      </w:r>
      <w:r>
        <w:rPr>
          <w:rFonts w:hint="eastAsia"/>
          <w:bCs/>
        </w:rPr>
        <w:t>24小时”网页业务，解决缴存单位和职工“折返跑”“多头跑”的难题，不再受时间限制，申请资金即时到账，为单位和职工办理公积金业务提供便利；</w:t>
      </w:r>
    </w:p>
    <w:p>
      <w:pPr>
        <w:widowControl w:val="0"/>
        <w:spacing w:line="560" w:lineRule="exact"/>
        <w:ind w:firstLine="560" w:firstLineChars="200"/>
        <w:rPr>
          <w:bCs/>
        </w:rPr>
      </w:pPr>
      <w:r>
        <w:rPr>
          <w:rFonts w:hint="eastAsia"/>
          <w:bCs/>
        </w:rPr>
        <w:t>（2）项目单位通过“山西省住房公积金数据互联共享平台”对接“山西省企业开办全程网办平台”，实现单位公积金缴存登记和新开办企业基本信息联动，自动完成单位公积金缴存登记，为企业提供联通互动的一体化服务，累计为600余家企业开设公积金账户并办理缴存业务；</w:t>
      </w:r>
    </w:p>
    <w:p>
      <w:pPr>
        <w:widowControl w:val="0"/>
        <w:spacing w:line="560" w:lineRule="exact"/>
        <w:ind w:firstLine="560" w:firstLineChars="200"/>
        <w:rPr>
          <w:bCs/>
        </w:rPr>
      </w:pPr>
      <w:r>
        <w:rPr>
          <w:rFonts w:hint="eastAsia"/>
          <w:bCs/>
        </w:rPr>
        <w:t>（3）项目单位通过对接全国住房公积金小程序，推动住房公积金线上业务实现统一入口、统一受理、统一标准，实现“跨省通办” 8项业务，如异地转移对接转入申请、异地贷款缴存证明等；</w:t>
      </w:r>
    </w:p>
    <w:p>
      <w:pPr>
        <w:widowControl w:val="0"/>
        <w:spacing w:line="560" w:lineRule="exact"/>
        <w:ind w:firstLine="560" w:firstLineChars="200"/>
        <w:rPr>
          <w:bCs/>
        </w:rPr>
      </w:pPr>
      <w:r>
        <w:rPr>
          <w:rFonts w:hint="eastAsia"/>
          <w:bCs/>
        </w:rPr>
        <w:t>（4）为支持闻喜建龙集团解决职工住房问题，中心抽调十多名业务骨干和数十台设备，联合农行、建行，在建龙集团职工住宅小区项目现场设立临时业务大厅，为贷款职工提供一条龙服务，历时两个月，共为726户职工发放贷款2.23亿元。</w:t>
      </w:r>
    </w:p>
    <w:p>
      <w:pPr>
        <w:widowControl w:val="0"/>
        <w:spacing w:line="560" w:lineRule="exact"/>
        <w:ind w:firstLine="560" w:firstLineChars="200"/>
        <w:rPr>
          <w:highlight w:val="yellow"/>
        </w:rPr>
      </w:pPr>
      <w:r>
        <w:rPr>
          <w:rFonts w:hint="eastAsia"/>
          <w:bCs/>
        </w:rPr>
        <w:t>满分6分，根据绩效评价指标，本指标得分6分，得分率100%。</w:t>
      </w:r>
    </w:p>
    <w:p>
      <w:pPr>
        <w:pStyle w:val="7"/>
        <w:spacing w:line="560" w:lineRule="exact"/>
        <w:ind w:firstLine="562" w:firstLineChars="200"/>
        <w:outlineLvl w:val="3"/>
        <w:rPr>
          <w:rFonts w:ascii="仿宋" w:eastAsia="仿宋"/>
          <w:b/>
          <w:bCs/>
          <w:sz w:val="28"/>
        </w:rPr>
      </w:pPr>
      <w:r>
        <w:rPr>
          <w:rFonts w:hint="eastAsia" w:ascii="仿宋" w:eastAsia="仿宋"/>
          <w:b/>
          <w:bCs/>
          <w:sz w:val="28"/>
        </w:rPr>
        <w:t>C1-2支持居民住房贷款需求</w:t>
      </w:r>
    </w:p>
    <w:p>
      <w:pPr>
        <w:widowControl w:val="0"/>
        <w:spacing w:line="560" w:lineRule="exact"/>
        <w:ind w:firstLine="560" w:firstLineChars="200"/>
      </w:pPr>
      <w:r>
        <w:rPr>
          <w:rFonts w:hint="eastAsia"/>
        </w:rPr>
        <w:t>住房公积金中心相关工作，在解决居民住房贷款需求方面起到积极作用，具体为：</w:t>
      </w:r>
    </w:p>
    <w:p>
      <w:pPr>
        <w:widowControl w:val="0"/>
        <w:spacing w:line="560" w:lineRule="exact"/>
        <w:ind w:firstLine="560" w:firstLineChars="200"/>
      </w:pPr>
      <w:r>
        <w:rPr>
          <w:rFonts w:hint="eastAsia"/>
        </w:rPr>
        <w:t>（1）2021年运城市新增合作开发商50家，增幅48.54%，累计合作开发商153家，合作楼盘268个，开发商阶段性担保方式贷款占非抵押担保方式贷款的98.12%，开发商阶段性担保方式基本达到全覆盖，为有效发放个人贷款提供有力保障；</w:t>
      </w:r>
    </w:p>
    <w:p>
      <w:pPr>
        <w:widowControl w:val="0"/>
        <w:spacing w:line="560" w:lineRule="exact"/>
        <w:ind w:firstLine="560" w:firstLineChars="200"/>
      </w:pPr>
      <w:r>
        <w:rPr>
          <w:rFonts w:hint="eastAsia"/>
        </w:rPr>
        <w:t>（2）2021年累计放贷9107笔，贷款发放金额34.68亿元。2020年累计放贷5915笔，贷款发放金额21.60亿元，贷款额较上期增长60.56%；个人贷款余额94.29亿元，期末缴存余额116.35亿元，个人住房贷款率81.04%，较年初增长12.66个百分点，在发挥支持职工改善居住条件、推动房地产业健康发展方面起到积极作用。</w:t>
      </w:r>
    </w:p>
    <w:p>
      <w:pPr>
        <w:widowControl w:val="0"/>
        <w:spacing w:line="560" w:lineRule="exact"/>
        <w:ind w:firstLine="560" w:firstLineChars="200"/>
        <w:rPr>
          <w:bCs/>
        </w:rPr>
      </w:pPr>
      <w:r>
        <w:rPr>
          <w:rFonts w:hint="eastAsia"/>
          <w:bCs/>
        </w:rPr>
        <w:t>满分6分，根据绩效评价指标，本指标得分6分，得分率100%。</w:t>
      </w:r>
    </w:p>
    <w:p>
      <w:pPr>
        <w:widowControl w:val="0"/>
        <w:spacing w:line="560" w:lineRule="exact"/>
        <w:ind w:firstLine="562" w:firstLineChars="200"/>
        <w:rPr>
          <w:b/>
          <w:bCs/>
          <w:color w:val="000000"/>
          <w:szCs w:val="24"/>
        </w:rPr>
      </w:pPr>
      <w:r>
        <w:rPr>
          <w:rFonts w:hint="eastAsia"/>
          <w:b/>
          <w:bCs/>
          <w:color w:val="000000"/>
          <w:szCs w:val="24"/>
        </w:rPr>
        <w:t>C2-1服务对象满意度</w:t>
      </w:r>
    </w:p>
    <w:p>
      <w:pPr>
        <w:adjustRightInd w:val="0"/>
        <w:snapToGrid w:val="0"/>
        <w:spacing w:line="560" w:lineRule="exact"/>
        <w:ind w:firstLine="560" w:firstLineChars="200"/>
      </w:pPr>
      <w:r>
        <w:rPr>
          <w:rFonts w:hint="eastAsia"/>
        </w:rPr>
        <w:t>评价组共发放207份，实际收回207份。根据运城市住房公积金管理中心服务对象满意度调查问卷数据信息统计显示，5个题目的总得分为4分，受益对象的满意度为97.37%。满意度得分情况如下：</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178" w:type="dxa"/>
            <w:vAlign w:val="center"/>
          </w:tcPr>
          <w:p>
            <w:pPr>
              <w:jc w:val="center"/>
              <w:rPr>
                <w:b/>
                <w:kern w:val="0"/>
                <w:sz w:val="24"/>
                <w:szCs w:val="24"/>
              </w:rPr>
            </w:pPr>
            <w:r>
              <w:rPr>
                <w:rFonts w:hint="eastAsia"/>
                <w:b/>
                <w:kern w:val="0"/>
                <w:sz w:val="24"/>
                <w:szCs w:val="24"/>
              </w:rPr>
              <w:t>满意度评价内容</w:t>
            </w:r>
          </w:p>
        </w:tc>
        <w:tc>
          <w:tcPr>
            <w:tcW w:w="1539" w:type="dxa"/>
            <w:vAlign w:val="center"/>
          </w:tcPr>
          <w:p>
            <w:pPr>
              <w:jc w:val="center"/>
              <w:rPr>
                <w:b/>
                <w:kern w:val="0"/>
                <w:sz w:val="24"/>
                <w:szCs w:val="24"/>
              </w:rPr>
            </w:pPr>
            <w:r>
              <w:rPr>
                <w:rFonts w:hint="eastAsia"/>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sz w:val="24"/>
                <w:szCs w:val="24"/>
              </w:rPr>
              <w:t>1.您对公积金管理中心政务信息公示情况是否满意</w:t>
            </w:r>
          </w:p>
        </w:tc>
        <w:tc>
          <w:tcPr>
            <w:tcW w:w="1539" w:type="dxa"/>
            <w:vAlign w:val="center"/>
          </w:tcPr>
          <w:p>
            <w:pPr>
              <w:jc w:val="center"/>
              <w:rPr>
                <w:rFonts w:cs="宋体"/>
                <w:color w:val="000000"/>
                <w:sz w:val="24"/>
                <w:szCs w:val="24"/>
              </w:rPr>
            </w:pPr>
            <w:r>
              <w:rPr>
                <w:rFonts w:hint="eastAsia" w:cs="宋体"/>
                <w:color w:val="000000"/>
                <w:sz w:val="24"/>
                <w:szCs w:val="24"/>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2.您对</w:t>
            </w:r>
            <w:bookmarkStart w:id="280" w:name="_Hlk111021572"/>
            <w:r>
              <w:rPr>
                <w:rFonts w:hint="eastAsia"/>
                <w:kern w:val="0"/>
                <w:sz w:val="24"/>
                <w:szCs w:val="24"/>
              </w:rPr>
              <w:t>公积金管理中心服务态度及效率</w:t>
            </w:r>
            <w:bookmarkEnd w:id="280"/>
            <w:r>
              <w:rPr>
                <w:rFonts w:hint="eastAsia"/>
                <w:kern w:val="0"/>
                <w:sz w:val="24"/>
                <w:szCs w:val="24"/>
              </w:rPr>
              <w:t>等是否满意</w:t>
            </w:r>
          </w:p>
        </w:tc>
        <w:tc>
          <w:tcPr>
            <w:tcW w:w="1539" w:type="dxa"/>
            <w:vAlign w:val="center"/>
          </w:tcPr>
          <w:p>
            <w:pPr>
              <w:jc w:val="center"/>
              <w:rPr>
                <w:rFonts w:cs="宋体"/>
                <w:color w:val="000000"/>
                <w:sz w:val="24"/>
                <w:szCs w:val="24"/>
              </w:rPr>
            </w:pPr>
            <w:r>
              <w:rPr>
                <w:rFonts w:hint="eastAsia" w:cs="宋体"/>
                <w:color w:val="000000"/>
                <w:sz w:val="24"/>
                <w:szCs w:val="24"/>
              </w:rPr>
              <w:t>97.47%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3.您对</w:t>
            </w:r>
            <w:bookmarkStart w:id="281" w:name="_Hlk111021581"/>
            <w:r>
              <w:rPr>
                <w:rFonts w:hint="eastAsia"/>
                <w:kern w:val="0"/>
                <w:sz w:val="24"/>
                <w:szCs w:val="24"/>
              </w:rPr>
              <w:t>公积金管理中心窗口环境及设施</w:t>
            </w:r>
            <w:bookmarkEnd w:id="281"/>
            <w:r>
              <w:rPr>
                <w:rFonts w:hint="eastAsia"/>
                <w:kern w:val="0"/>
                <w:sz w:val="24"/>
                <w:szCs w:val="24"/>
              </w:rPr>
              <w:t>等是否满意</w:t>
            </w:r>
          </w:p>
        </w:tc>
        <w:tc>
          <w:tcPr>
            <w:tcW w:w="1539" w:type="dxa"/>
            <w:vAlign w:val="center"/>
          </w:tcPr>
          <w:p>
            <w:pPr>
              <w:jc w:val="center"/>
              <w:rPr>
                <w:rFonts w:cs="宋体"/>
                <w:color w:val="000000"/>
                <w:sz w:val="24"/>
                <w:szCs w:val="24"/>
              </w:rPr>
            </w:pPr>
            <w:r>
              <w:rPr>
                <w:rFonts w:hint="eastAsia" w:cs="宋体"/>
                <w:color w:val="000000"/>
                <w:sz w:val="24"/>
                <w:szCs w:val="24"/>
              </w:rPr>
              <w:t>98.07%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4.您对</w:t>
            </w:r>
            <w:bookmarkStart w:id="282" w:name="_Hlk111021591"/>
            <w:r>
              <w:rPr>
                <w:rFonts w:hint="eastAsia"/>
                <w:kern w:val="0"/>
                <w:sz w:val="24"/>
                <w:szCs w:val="24"/>
              </w:rPr>
              <w:t>公积金管理中心政策宣传力度</w:t>
            </w:r>
            <w:bookmarkEnd w:id="282"/>
            <w:r>
              <w:rPr>
                <w:rFonts w:hint="eastAsia"/>
                <w:kern w:val="0"/>
                <w:sz w:val="24"/>
                <w:szCs w:val="24"/>
              </w:rPr>
              <w:t>是否满意</w:t>
            </w:r>
          </w:p>
        </w:tc>
        <w:tc>
          <w:tcPr>
            <w:tcW w:w="1539" w:type="dxa"/>
            <w:vAlign w:val="center"/>
          </w:tcPr>
          <w:p>
            <w:pPr>
              <w:jc w:val="center"/>
              <w:rPr>
                <w:rFonts w:cs="宋体"/>
                <w:color w:val="000000"/>
                <w:sz w:val="24"/>
                <w:szCs w:val="24"/>
              </w:rPr>
            </w:pPr>
            <w:r>
              <w:rPr>
                <w:rFonts w:hint="eastAsia" w:cs="宋体"/>
                <w:color w:val="000000"/>
                <w:sz w:val="24"/>
                <w:szCs w:val="24"/>
              </w:rPr>
              <w:t>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5.您对</w:t>
            </w:r>
            <w:bookmarkStart w:id="283" w:name="_Hlk111021601"/>
            <w:r>
              <w:rPr>
                <w:rFonts w:hint="eastAsia"/>
                <w:kern w:val="0"/>
                <w:sz w:val="24"/>
                <w:szCs w:val="24"/>
              </w:rPr>
              <w:t>公积金管理中心整体服务水平</w:t>
            </w:r>
            <w:bookmarkEnd w:id="283"/>
            <w:r>
              <w:rPr>
                <w:rFonts w:hint="eastAsia"/>
                <w:kern w:val="0"/>
                <w:sz w:val="24"/>
                <w:szCs w:val="24"/>
              </w:rPr>
              <w:t>是否满意</w:t>
            </w:r>
          </w:p>
        </w:tc>
        <w:tc>
          <w:tcPr>
            <w:tcW w:w="1539" w:type="dxa"/>
            <w:vAlign w:val="center"/>
          </w:tcPr>
          <w:p>
            <w:pPr>
              <w:jc w:val="center"/>
              <w:rPr>
                <w:rFonts w:cs="宋体"/>
                <w:color w:val="000000"/>
                <w:sz w:val="24"/>
                <w:szCs w:val="24"/>
              </w:rPr>
            </w:pPr>
            <w:r>
              <w:rPr>
                <w:rFonts w:hint="eastAsia" w:cs="宋体"/>
                <w:color w:val="000000"/>
                <w:sz w:val="24"/>
                <w:szCs w:val="24"/>
              </w:rPr>
              <w:t>96.74%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jc w:val="center"/>
              <w:rPr>
                <w:b/>
                <w:kern w:val="0"/>
                <w:sz w:val="24"/>
                <w:szCs w:val="24"/>
              </w:rPr>
            </w:pPr>
            <w:r>
              <w:rPr>
                <w:rFonts w:hint="eastAsia"/>
                <w:b/>
                <w:kern w:val="0"/>
                <w:sz w:val="24"/>
                <w:szCs w:val="24"/>
              </w:rPr>
              <w:t>综合满意度</w:t>
            </w:r>
          </w:p>
        </w:tc>
        <w:tc>
          <w:tcPr>
            <w:tcW w:w="1539" w:type="dxa"/>
            <w:vAlign w:val="center"/>
          </w:tcPr>
          <w:p>
            <w:pPr>
              <w:jc w:val="center"/>
              <w:rPr>
                <w:rFonts w:cs="宋体"/>
                <w:b/>
                <w:bCs/>
                <w:color w:val="000000"/>
                <w:sz w:val="24"/>
                <w:szCs w:val="24"/>
              </w:rPr>
            </w:pPr>
            <w:r>
              <w:rPr>
                <w:rFonts w:hint="eastAsia" w:cs="宋体"/>
                <w:b/>
                <w:bCs/>
                <w:color w:val="000000"/>
                <w:sz w:val="24"/>
                <w:szCs w:val="24"/>
              </w:rPr>
              <w:t>97.37%</w:t>
            </w:r>
          </w:p>
        </w:tc>
      </w:tr>
    </w:tbl>
    <w:p>
      <w:pPr>
        <w:widowControl w:val="0"/>
        <w:spacing w:line="560" w:lineRule="exact"/>
        <w:ind w:firstLine="560" w:firstLineChars="200"/>
        <w:rPr>
          <w:bCs/>
        </w:rPr>
      </w:pPr>
      <w:r>
        <w:rPr>
          <w:rFonts w:hint="eastAsia"/>
          <w:bCs/>
        </w:rPr>
        <w:t>满分4分，</w:t>
      </w:r>
      <w:r>
        <w:rPr>
          <w:rFonts w:hint="eastAsia"/>
          <w:kern w:val="0"/>
        </w:rPr>
        <w:t>根据绩效评价指标，本指标</w:t>
      </w:r>
      <w:r>
        <w:rPr>
          <w:rFonts w:hint="eastAsia"/>
          <w:bCs/>
        </w:rPr>
        <w:t>得分3.89分</w:t>
      </w:r>
      <w:r>
        <w:rPr>
          <w:rFonts w:hint="eastAsia"/>
          <w:kern w:val="0"/>
        </w:rPr>
        <w:t>，得分率97.25%</w:t>
      </w:r>
      <w:r>
        <w:rPr>
          <w:rFonts w:hint="eastAsia"/>
          <w:bCs/>
        </w:rPr>
        <w:t>。</w:t>
      </w:r>
    </w:p>
    <w:p>
      <w:pPr>
        <w:widowControl w:val="0"/>
        <w:spacing w:line="560" w:lineRule="exact"/>
        <w:ind w:firstLine="562" w:firstLineChars="200"/>
        <w:rPr>
          <w:b/>
          <w:bCs/>
          <w:color w:val="000000"/>
          <w:szCs w:val="24"/>
        </w:rPr>
      </w:pPr>
      <w:r>
        <w:rPr>
          <w:rFonts w:hint="eastAsia"/>
          <w:b/>
          <w:bCs/>
          <w:color w:val="000000"/>
          <w:szCs w:val="24"/>
        </w:rPr>
        <w:t>C2-2管理对象满意度</w:t>
      </w:r>
    </w:p>
    <w:p>
      <w:pPr>
        <w:adjustRightInd w:val="0"/>
        <w:snapToGrid w:val="0"/>
        <w:spacing w:line="560" w:lineRule="exact"/>
        <w:ind w:firstLine="560" w:firstLineChars="200"/>
      </w:pPr>
      <w:r>
        <w:rPr>
          <w:rFonts w:hint="eastAsia"/>
        </w:rPr>
        <w:t>评价组共发放51份，实际收回51份。根据运城市住房公积金管理中心管理对象满意度调查问卷数据信息统计显示，4个题目的总得分为4分，受益对象的满意度为98.53%。满意度得分情况如下：</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178" w:type="dxa"/>
            <w:vAlign w:val="center"/>
          </w:tcPr>
          <w:p>
            <w:pPr>
              <w:jc w:val="center"/>
              <w:rPr>
                <w:b/>
                <w:kern w:val="0"/>
                <w:sz w:val="24"/>
                <w:szCs w:val="24"/>
              </w:rPr>
            </w:pPr>
            <w:r>
              <w:rPr>
                <w:rFonts w:hint="eastAsia"/>
                <w:b/>
                <w:kern w:val="0"/>
                <w:sz w:val="24"/>
                <w:szCs w:val="24"/>
              </w:rPr>
              <w:t>满意度评价内容</w:t>
            </w:r>
          </w:p>
        </w:tc>
        <w:tc>
          <w:tcPr>
            <w:tcW w:w="1539" w:type="dxa"/>
            <w:vAlign w:val="center"/>
          </w:tcPr>
          <w:p>
            <w:pPr>
              <w:jc w:val="center"/>
              <w:rPr>
                <w:b/>
                <w:kern w:val="0"/>
                <w:sz w:val="24"/>
                <w:szCs w:val="24"/>
              </w:rPr>
            </w:pPr>
            <w:r>
              <w:rPr>
                <w:rFonts w:hint="eastAsia"/>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sz w:val="24"/>
                <w:szCs w:val="24"/>
              </w:rPr>
              <w:t>1.您对单位配置的信息网络及软件使用效果是否满意</w:t>
            </w:r>
          </w:p>
        </w:tc>
        <w:tc>
          <w:tcPr>
            <w:tcW w:w="1539" w:type="dxa"/>
            <w:vAlign w:val="center"/>
          </w:tcPr>
          <w:p>
            <w:pPr>
              <w:jc w:val="center"/>
              <w:rPr>
                <w:rFonts w:cs="宋体"/>
                <w:color w:val="000000"/>
                <w:sz w:val="24"/>
                <w:szCs w:val="24"/>
              </w:rPr>
            </w:pPr>
            <w:r>
              <w:rPr>
                <w:rFonts w:hint="eastAsia" w:cs="宋体"/>
                <w:color w:val="000000"/>
                <w:sz w:val="24"/>
                <w:szCs w:val="24"/>
              </w:rPr>
              <w:t>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2.您对单位办公大楼设施维修工作是否满意</w:t>
            </w:r>
          </w:p>
        </w:tc>
        <w:tc>
          <w:tcPr>
            <w:tcW w:w="1539" w:type="dxa"/>
            <w:vAlign w:val="center"/>
          </w:tcPr>
          <w:p>
            <w:pPr>
              <w:jc w:val="center"/>
              <w:rPr>
                <w:rFonts w:cs="宋体"/>
                <w:color w:val="000000"/>
                <w:sz w:val="24"/>
                <w:szCs w:val="24"/>
              </w:rPr>
            </w:pPr>
            <w:r>
              <w:rPr>
                <w:rFonts w:hint="eastAsia" w:cs="宋体"/>
                <w:color w:val="00000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3.您在单位后勤管理工作（安保、消防、水电、食堂等）是否满意</w:t>
            </w:r>
          </w:p>
        </w:tc>
        <w:tc>
          <w:tcPr>
            <w:tcW w:w="1539" w:type="dxa"/>
            <w:vAlign w:val="center"/>
          </w:tcPr>
          <w:p>
            <w:pPr>
              <w:jc w:val="center"/>
              <w:rPr>
                <w:rFonts w:cs="宋体"/>
                <w:color w:val="000000"/>
                <w:sz w:val="24"/>
                <w:szCs w:val="24"/>
              </w:rPr>
            </w:pPr>
            <w:r>
              <w:rPr>
                <w:rFonts w:hint="eastAsia" w:cs="宋体"/>
                <w:color w:val="00000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rPr>
                <w:kern w:val="0"/>
                <w:sz w:val="24"/>
                <w:szCs w:val="24"/>
              </w:rPr>
            </w:pPr>
            <w:r>
              <w:rPr>
                <w:rFonts w:hint="eastAsia"/>
                <w:kern w:val="0"/>
                <w:sz w:val="24"/>
                <w:szCs w:val="24"/>
              </w:rPr>
              <w:t>4.您对单位办公环境整体效果是否满意</w:t>
            </w:r>
          </w:p>
        </w:tc>
        <w:tc>
          <w:tcPr>
            <w:tcW w:w="1539" w:type="dxa"/>
            <w:vAlign w:val="center"/>
          </w:tcPr>
          <w:p>
            <w:pPr>
              <w:jc w:val="center"/>
              <w:rPr>
                <w:rFonts w:cs="宋体"/>
                <w:color w:val="000000"/>
                <w:sz w:val="24"/>
                <w:szCs w:val="24"/>
              </w:rPr>
            </w:pPr>
            <w:r>
              <w:rPr>
                <w:rFonts w:hint="eastAsia" w:cs="宋体"/>
                <w:color w:val="00000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78" w:type="dxa"/>
            <w:vAlign w:val="center"/>
          </w:tcPr>
          <w:p>
            <w:pPr>
              <w:jc w:val="center"/>
              <w:rPr>
                <w:b/>
                <w:kern w:val="0"/>
                <w:sz w:val="24"/>
                <w:szCs w:val="24"/>
              </w:rPr>
            </w:pPr>
            <w:r>
              <w:rPr>
                <w:rFonts w:hint="eastAsia"/>
                <w:b/>
                <w:kern w:val="0"/>
                <w:sz w:val="24"/>
                <w:szCs w:val="24"/>
              </w:rPr>
              <w:t>综合满意度</w:t>
            </w:r>
          </w:p>
        </w:tc>
        <w:tc>
          <w:tcPr>
            <w:tcW w:w="1539" w:type="dxa"/>
            <w:vAlign w:val="center"/>
          </w:tcPr>
          <w:p>
            <w:pPr>
              <w:jc w:val="center"/>
              <w:rPr>
                <w:rFonts w:cs="宋体"/>
                <w:b/>
                <w:bCs/>
                <w:color w:val="000000"/>
                <w:sz w:val="24"/>
                <w:szCs w:val="24"/>
              </w:rPr>
            </w:pPr>
            <w:r>
              <w:rPr>
                <w:rFonts w:hint="eastAsia" w:cs="宋体"/>
                <w:b/>
                <w:bCs/>
                <w:color w:val="000000"/>
                <w:sz w:val="24"/>
                <w:szCs w:val="24"/>
              </w:rPr>
              <w:t>98.53%</w:t>
            </w:r>
          </w:p>
        </w:tc>
      </w:tr>
    </w:tbl>
    <w:p>
      <w:pPr>
        <w:widowControl w:val="0"/>
        <w:spacing w:line="560" w:lineRule="exact"/>
        <w:ind w:firstLine="560" w:firstLineChars="200"/>
        <w:rPr>
          <w:bCs/>
        </w:rPr>
      </w:pPr>
      <w:r>
        <w:rPr>
          <w:rFonts w:hint="eastAsia"/>
          <w:bCs/>
        </w:rPr>
        <w:t>满分4分，根据绩效评价指标，本指标得分3.93分，得分率98.25%。</w:t>
      </w:r>
    </w:p>
    <w:p>
      <w:pPr>
        <w:spacing w:line="560" w:lineRule="exact"/>
        <w:ind w:left="560" w:leftChars="200"/>
      </w:pPr>
      <w:bookmarkStart w:id="284" w:name="_Toc27528"/>
      <w:bookmarkStart w:id="285" w:name="_Toc14982"/>
      <w:bookmarkStart w:id="286" w:name="_Toc17941"/>
      <w:bookmarkStart w:id="287" w:name="_Toc21311"/>
      <w:bookmarkStart w:id="288" w:name="_Toc8029"/>
      <w:r>
        <w:rPr>
          <w:rFonts w:hint="eastAsia"/>
        </w:rPr>
        <w:t>（四）可持续性分析</w:t>
      </w:r>
      <w:bookmarkEnd w:id="284"/>
    </w:p>
    <w:p>
      <w:pPr>
        <w:widowControl w:val="0"/>
        <w:spacing w:line="560" w:lineRule="exact"/>
        <w:ind w:firstLine="560" w:firstLineChars="200"/>
      </w:pPr>
      <w:r>
        <w:rPr>
          <w:rFonts w:hint="eastAsia"/>
        </w:rPr>
        <w:t>可持续性分别从体质机制改革、干部队伍建设两个方面进行分析，共设置2个二级指标2个三级指标。可持续性指标分值10分，实际得分10分，得分率100%。各分项指标得分情况如下表4-4所示：</w:t>
      </w:r>
    </w:p>
    <w:p>
      <w:pPr>
        <w:widowControl w:val="0"/>
        <w:spacing w:after="76" w:afterLines="20" w:line="560" w:lineRule="exact"/>
        <w:jc w:val="center"/>
        <w:rPr>
          <w:b/>
        </w:rPr>
      </w:pPr>
      <w:r>
        <w:rPr>
          <w:rFonts w:hint="eastAsia"/>
          <w:b/>
        </w:rPr>
        <w:t>表4-4 可持续性指标得分情况</w:t>
      </w:r>
    </w:p>
    <w:tbl>
      <w:tblPr>
        <w:tblStyle w:val="19"/>
        <w:tblW w:w="4998" w:type="pct"/>
        <w:tblInd w:w="0" w:type="dxa"/>
        <w:tblLayout w:type="autofit"/>
        <w:tblCellMar>
          <w:top w:w="0" w:type="dxa"/>
          <w:left w:w="108" w:type="dxa"/>
          <w:bottom w:w="0" w:type="dxa"/>
          <w:right w:w="108" w:type="dxa"/>
        </w:tblCellMar>
      </w:tblPr>
      <w:tblGrid>
        <w:gridCol w:w="1955"/>
        <w:gridCol w:w="3865"/>
        <w:gridCol w:w="996"/>
        <w:gridCol w:w="820"/>
        <w:gridCol w:w="1081"/>
      </w:tblGrid>
      <w:tr>
        <w:tblPrEx>
          <w:tblCellMar>
            <w:top w:w="0" w:type="dxa"/>
            <w:left w:w="108" w:type="dxa"/>
            <w:bottom w:w="0" w:type="dxa"/>
            <w:right w:w="108" w:type="dxa"/>
          </w:tblCellMar>
        </w:tblPrEx>
        <w:trPr>
          <w:trHeight w:val="454" w:hRule="atLeast"/>
          <w:tblHeader/>
        </w:trPr>
        <w:tc>
          <w:tcPr>
            <w:tcW w:w="11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b/>
                <w:bCs/>
                <w:color w:val="000000"/>
                <w:sz w:val="24"/>
                <w:szCs w:val="24"/>
              </w:rPr>
            </w:pPr>
            <w:r>
              <w:rPr>
                <w:rFonts w:hint="eastAsia"/>
                <w:b/>
                <w:bCs/>
                <w:color w:val="000000"/>
                <w:kern w:val="0"/>
                <w:sz w:val="24"/>
                <w:szCs w:val="24"/>
                <w:lang w:bidi="ar"/>
              </w:rPr>
              <w:t>二级指标</w:t>
            </w:r>
          </w:p>
        </w:tc>
        <w:tc>
          <w:tcPr>
            <w:tcW w:w="2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b/>
                <w:bCs/>
                <w:color w:val="000000"/>
                <w:sz w:val="24"/>
                <w:szCs w:val="24"/>
              </w:rPr>
            </w:pPr>
            <w:r>
              <w:rPr>
                <w:rFonts w:hint="eastAsia"/>
                <w:b/>
                <w:bCs/>
                <w:color w:val="000000"/>
                <w:kern w:val="0"/>
                <w:sz w:val="24"/>
                <w:szCs w:val="24"/>
                <w:lang w:bidi="ar"/>
              </w:rPr>
              <w:t>三级指标</w:t>
            </w:r>
          </w:p>
        </w:tc>
        <w:tc>
          <w:tcPr>
            <w:tcW w:w="5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b/>
                <w:bCs/>
                <w:color w:val="000000"/>
                <w:sz w:val="24"/>
                <w:szCs w:val="24"/>
              </w:rPr>
            </w:pPr>
            <w:r>
              <w:rPr>
                <w:rFonts w:hint="eastAsia"/>
                <w:b/>
                <w:bCs/>
                <w:color w:val="000000"/>
                <w:kern w:val="0"/>
                <w:sz w:val="24"/>
                <w:szCs w:val="24"/>
                <w:lang w:bidi="ar"/>
              </w:rPr>
              <w:t>分值</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b/>
                <w:bCs/>
                <w:color w:val="000000"/>
                <w:sz w:val="24"/>
                <w:szCs w:val="24"/>
              </w:rPr>
            </w:pPr>
            <w:r>
              <w:rPr>
                <w:rFonts w:hint="eastAsia"/>
                <w:b/>
                <w:bCs/>
                <w:color w:val="000000"/>
                <w:kern w:val="0"/>
                <w:sz w:val="24"/>
                <w:szCs w:val="24"/>
                <w:lang w:bidi="ar"/>
              </w:rPr>
              <w:t>得分</w:t>
            </w:r>
          </w:p>
        </w:tc>
        <w:tc>
          <w:tcPr>
            <w:tcW w:w="6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b/>
                <w:bCs/>
                <w:color w:val="000000"/>
                <w:sz w:val="24"/>
                <w:szCs w:val="24"/>
              </w:rPr>
            </w:pPr>
            <w:r>
              <w:rPr>
                <w:rFonts w:hint="eastAsia"/>
                <w:b/>
                <w:bCs/>
                <w:color w:val="000000"/>
                <w:kern w:val="0"/>
                <w:sz w:val="24"/>
                <w:szCs w:val="24"/>
                <w:lang w:bidi="ar"/>
              </w:rPr>
              <w:t>得分率</w:t>
            </w:r>
          </w:p>
        </w:tc>
      </w:tr>
      <w:tr>
        <w:tblPrEx>
          <w:tblCellMar>
            <w:top w:w="0" w:type="dxa"/>
            <w:left w:w="108" w:type="dxa"/>
            <w:bottom w:w="0" w:type="dxa"/>
            <w:right w:w="108" w:type="dxa"/>
          </w:tblCellMar>
        </w:tblPrEx>
        <w:trPr>
          <w:trHeight w:val="454" w:hRule="atLeast"/>
        </w:trPr>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color w:val="000000"/>
                <w:sz w:val="24"/>
                <w:szCs w:val="24"/>
              </w:rPr>
            </w:pPr>
            <w:r>
              <w:rPr>
                <w:rFonts w:hint="eastAsia"/>
                <w:color w:val="000000"/>
                <w:kern w:val="0"/>
                <w:sz w:val="24"/>
                <w:szCs w:val="24"/>
                <w:lang w:bidi="ar"/>
              </w:rPr>
              <w:t>D1体制机制改革</w:t>
            </w:r>
          </w:p>
        </w:tc>
        <w:tc>
          <w:tcPr>
            <w:tcW w:w="22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color w:val="000000"/>
                <w:sz w:val="24"/>
                <w:szCs w:val="24"/>
              </w:rPr>
            </w:pPr>
            <w:r>
              <w:rPr>
                <w:rFonts w:hint="eastAsia"/>
                <w:color w:val="000000"/>
                <w:kern w:val="0"/>
                <w:sz w:val="24"/>
                <w:szCs w:val="24"/>
                <w:lang w:bidi="ar"/>
              </w:rPr>
              <w:t>D1-1信息化建设工作有效性</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color w:val="000000"/>
                <w:sz w:val="24"/>
                <w:szCs w:val="24"/>
              </w:rPr>
            </w:pPr>
            <w:r>
              <w:rPr>
                <w:rFonts w:hint="eastAsia"/>
                <w:color w:val="000000"/>
                <w:kern w:val="0"/>
                <w:sz w:val="24"/>
                <w:szCs w:val="24"/>
                <w:lang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color w:val="000000"/>
                <w:sz w:val="24"/>
                <w:szCs w:val="24"/>
              </w:rPr>
            </w:pPr>
            <w:r>
              <w:rPr>
                <w:rFonts w:hint="eastAsia"/>
                <w:color w:val="000000"/>
                <w:kern w:val="0"/>
                <w:sz w:val="24"/>
                <w:szCs w:val="24"/>
                <w:lang w:bidi="ar"/>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color w:val="000000"/>
                <w:sz w:val="24"/>
                <w:szCs w:val="24"/>
              </w:rPr>
            </w:pPr>
            <w:r>
              <w:rPr>
                <w:rFonts w:hint="eastAsia"/>
                <w:color w:val="000000"/>
                <w:kern w:val="0"/>
                <w:sz w:val="24"/>
                <w:szCs w:val="24"/>
                <w:lang w:bidi="ar"/>
              </w:rPr>
              <w:t>100%</w:t>
            </w:r>
          </w:p>
        </w:tc>
      </w:tr>
      <w:tr>
        <w:tblPrEx>
          <w:tblCellMar>
            <w:top w:w="0" w:type="dxa"/>
            <w:left w:w="108" w:type="dxa"/>
            <w:bottom w:w="0" w:type="dxa"/>
            <w:right w:w="108" w:type="dxa"/>
          </w:tblCellMar>
        </w:tblPrEx>
        <w:trPr>
          <w:trHeight w:val="454" w:hRule="atLeast"/>
        </w:trPr>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color w:val="000000"/>
                <w:sz w:val="24"/>
                <w:szCs w:val="24"/>
              </w:rPr>
            </w:pPr>
            <w:r>
              <w:rPr>
                <w:rFonts w:hint="eastAsia"/>
                <w:color w:val="000000"/>
                <w:kern w:val="0"/>
                <w:sz w:val="24"/>
                <w:szCs w:val="24"/>
                <w:lang w:bidi="ar"/>
              </w:rPr>
              <w:t>D2干部培训</w:t>
            </w:r>
          </w:p>
        </w:tc>
        <w:tc>
          <w:tcPr>
            <w:tcW w:w="22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color w:val="000000"/>
                <w:sz w:val="24"/>
                <w:szCs w:val="24"/>
              </w:rPr>
            </w:pPr>
            <w:r>
              <w:rPr>
                <w:rFonts w:hint="eastAsia"/>
                <w:color w:val="000000"/>
                <w:kern w:val="0"/>
                <w:sz w:val="24"/>
                <w:szCs w:val="24"/>
                <w:lang w:bidi="ar"/>
              </w:rPr>
              <w:t>D2-1人力资源建设保障程度</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color w:val="000000"/>
                <w:sz w:val="24"/>
                <w:szCs w:val="24"/>
              </w:rPr>
            </w:pPr>
            <w:r>
              <w:rPr>
                <w:rFonts w:hint="eastAsia"/>
                <w:color w:val="000000"/>
                <w:sz w:val="24"/>
                <w:szCs w:val="24"/>
              </w:rPr>
              <w:t>5</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color w:val="000000"/>
                <w:sz w:val="24"/>
                <w:szCs w:val="24"/>
              </w:rPr>
            </w:pPr>
            <w:r>
              <w:rPr>
                <w:rFonts w:hint="eastAsia"/>
                <w:color w:val="000000"/>
                <w:sz w:val="24"/>
                <w:szCs w:val="24"/>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color w:val="000000"/>
                <w:sz w:val="24"/>
                <w:szCs w:val="24"/>
              </w:rPr>
            </w:pPr>
            <w:r>
              <w:rPr>
                <w:rFonts w:hint="eastAsia"/>
                <w:color w:val="000000"/>
                <w:kern w:val="0"/>
                <w:sz w:val="24"/>
                <w:szCs w:val="24"/>
                <w:lang w:bidi="ar"/>
              </w:rPr>
              <w:t>100%</w:t>
            </w:r>
          </w:p>
        </w:tc>
      </w:tr>
    </w:tbl>
    <w:p>
      <w:pPr>
        <w:widowControl w:val="0"/>
        <w:spacing w:line="560" w:lineRule="exact"/>
        <w:ind w:firstLine="562" w:firstLineChars="200"/>
        <w:outlineLvl w:val="3"/>
        <w:rPr>
          <w:b/>
        </w:rPr>
      </w:pPr>
      <w:r>
        <w:rPr>
          <w:rFonts w:hint="eastAsia"/>
          <w:b/>
        </w:rPr>
        <w:t>D1-1信息化建设工作有效性</w:t>
      </w:r>
    </w:p>
    <w:p>
      <w:pPr>
        <w:pStyle w:val="7"/>
        <w:widowControl w:val="0"/>
        <w:spacing w:line="550" w:lineRule="exact"/>
        <w:ind w:firstLine="560" w:firstLineChars="200"/>
        <w:rPr>
          <w:bCs/>
          <w:sz w:val="28"/>
        </w:rPr>
      </w:pPr>
      <w:r>
        <w:rPr>
          <w:rFonts w:hint="eastAsia" w:ascii="仿宋" w:eastAsia="仿宋"/>
          <w:bCs/>
          <w:sz w:val="28"/>
        </w:rPr>
        <w:t>经评价组核实，项目</w:t>
      </w:r>
      <w:r>
        <w:rPr>
          <w:rFonts w:hint="eastAsia"/>
          <w:bCs/>
          <w:sz w:val="28"/>
        </w:rPr>
        <w:t>单位改变业务办理方式、简化业务流程，以信息化手段提升部门工作水平，具体为：</w:t>
      </w:r>
    </w:p>
    <w:p>
      <w:pPr>
        <w:pStyle w:val="7"/>
        <w:widowControl w:val="0"/>
        <w:spacing w:line="550" w:lineRule="exact"/>
        <w:ind w:firstLine="560" w:firstLineChars="200"/>
        <w:rPr>
          <w:rFonts w:ascii="仿宋" w:eastAsia="仿宋"/>
          <w:bCs/>
          <w:sz w:val="28"/>
        </w:rPr>
      </w:pPr>
      <w:r>
        <w:rPr>
          <w:rFonts w:hint="eastAsia" w:ascii="仿宋" w:eastAsia="仿宋"/>
          <w:bCs/>
          <w:sz w:val="28"/>
        </w:rPr>
        <w:t>通过</w:t>
      </w:r>
      <w:r>
        <w:rPr>
          <w:rFonts w:hint="eastAsia"/>
          <w:bCs/>
          <w:sz w:val="28"/>
        </w:rPr>
        <w:t>打造智慧服务平台，</w:t>
      </w:r>
      <w:r>
        <w:rPr>
          <w:rFonts w:hint="eastAsia" w:ascii="仿宋" w:eastAsia="仿宋"/>
          <w:kern w:val="0"/>
          <w:sz w:val="28"/>
        </w:rPr>
        <w:t>不断推进住房公积金业务简办流程</w:t>
      </w:r>
      <w:r>
        <w:rPr>
          <w:rFonts w:hint="eastAsia"/>
          <w:bCs/>
          <w:sz w:val="28"/>
        </w:rPr>
        <w:t>，</w:t>
      </w:r>
      <w:r>
        <w:rPr>
          <w:rFonts w:hint="eastAsia" w:ascii="仿宋" w:eastAsia="仿宋"/>
          <w:bCs/>
          <w:sz w:val="28"/>
        </w:rPr>
        <w:t>增加公积金业务网办功能，归集、提取、贷款三大</w:t>
      </w:r>
      <w:r>
        <w:rPr>
          <w:rFonts w:hint="eastAsia"/>
          <w:bCs/>
          <w:sz w:val="28"/>
        </w:rPr>
        <w:t>板块均</w:t>
      </w:r>
      <w:r>
        <w:rPr>
          <w:rFonts w:hint="eastAsia" w:ascii="仿宋" w:eastAsia="仿宋"/>
          <w:bCs/>
          <w:sz w:val="28"/>
        </w:rPr>
        <w:t>纳入微信公众号，实现了“网上办”、“掌上办”</w:t>
      </w:r>
      <w:r>
        <w:rPr>
          <w:rFonts w:hint="eastAsia"/>
          <w:bCs/>
          <w:sz w:val="28"/>
        </w:rPr>
        <w:t>功能</w:t>
      </w:r>
      <w:r>
        <w:rPr>
          <w:rFonts w:hint="eastAsia" w:ascii="仿宋" w:eastAsia="仿宋"/>
          <w:bCs/>
          <w:sz w:val="28"/>
        </w:rPr>
        <w:t>。</w:t>
      </w:r>
    </w:p>
    <w:p>
      <w:pPr>
        <w:pStyle w:val="7"/>
        <w:widowControl w:val="0"/>
        <w:spacing w:line="550" w:lineRule="exact"/>
        <w:ind w:firstLine="560" w:firstLineChars="200"/>
        <w:rPr>
          <w:bCs/>
          <w:sz w:val="28"/>
        </w:rPr>
      </w:pPr>
      <w:r>
        <w:rPr>
          <w:rFonts w:hint="eastAsia" w:ascii="仿宋" w:eastAsia="仿宋"/>
          <w:bCs/>
          <w:sz w:val="28"/>
        </w:rPr>
        <w:t>全年办理各类网办业务共计232952笔，其中缴存类网办业务率达到70.55%，网上缴存20.73亿元</w:t>
      </w:r>
      <w:r>
        <w:rPr>
          <w:rFonts w:hint="eastAsia"/>
          <w:bCs/>
          <w:sz w:val="28"/>
        </w:rPr>
        <w:t>；</w:t>
      </w:r>
    </w:p>
    <w:p>
      <w:pPr>
        <w:pStyle w:val="7"/>
        <w:widowControl w:val="0"/>
        <w:spacing w:line="550" w:lineRule="exact"/>
        <w:ind w:firstLine="560" w:firstLineChars="200"/>
        <w:rPr>
          <w:rFonts w:ascii="仿宋" w:eastAsia="仿宋"/>
          <w:bCs/>
          <w:sz w:val="28"/>
        </w:rPr>
      </w:pPr>
      <w:r>
        <w:rPr>
          <w:rFonts w:hint="eastAsia"/>
          <w:bCs/>
          <w:sz w:val="28"/>
        </w:rPr>
        <w:t>对接“山西省企业开办全程网办平台”，实现单位公积金缴存登记和新开办企业基本信息联动，自动完成单位公积金缴存登记，为企业提供联通互动的一体化服务，累计为600余家企业开设公积金账户并办理缴存业务。</w:t>
      </w:r>
    </w:p>
    <w:p>
      <w:pPr>
        <w:pStyle w:val="7"/>
        <w:widowControl w:val="0"/>
        <w:spacing w:line="550" w:lineRule="exact"/>
        <w:ind w:firstLine="560" w:firstLineChars="200"/>
        <w:rPr>
          <w:rFonts w:ascii="仿宋" w:eastAsia="仿宋"/>
          <w:kern w:val="0"/>
          <w:sz w:val="28"/>
        </w:rPr>
      </w:pPr>
      <w:r>
        <w:rPr>
          <w:rFonts w:hint="eastAsia" w:ascii="仿宋" w:eastAsia="仿宋"/>
          <w:kern w:val="0"/>
          <w:sz w:val="28"/>
        </w:rPr>
        <w:t>信息网络互动平台的建设，在提高了服务效率同时，有效确保公积金管理高效、公开、透明，推进中心服务提质增效。</w:t>
      </w:r>
    </w:p>
    <w:p>
      <w:pPr>
        <w:pStyle w:val="7"/>
        <w:widowControl w:val="0"/>
        <w:spacing w:line="550" w:lineRule="exact"/>
        <w:ind w:firstLine="560" w:firstLineChars="200"/>
        <w:rPr>
          <w:rFonts w:ascii="仿宋" w:eastAsia="仿宋"/>
          <w:kern w:val="0"/>
          <w:sz w:val="28"/>
        </w:rPr>
      </w:pPr>
      <w:r>
        <w:rPr>
          <w:rFonts w:hint="eastAsia" w:ascii="仿宋" w:eastAsia="仿宋"/>
          <w:kern w:val="0"/>
          <w:sz w:val="28"/>
        </w:rPr>
        <w:t>满分5分，根据绩效评价指标，本指标得分5分，得分率100%。</w:t>
      </w:r>
    </w:p>
    <w:p>
      <w:pPr>
        <w:pStyle w:val="7"/>
        <w:widowControl w:val="0"/>
        <w:spacing w:line="560" w:lineRule="exact"/>
        <w:ind w:firstLine="562" w:firstLineChars="200"/>
        <w:outlineLvl w:val="3"/>
        <w:rPr>
          <w:rFonts w:ascii="仿宋" w:eastAsia="仿宋"/>
          <w:kern w:val="0"/>
          <w:sz w:val="28"/>
        </w:rPr>
      </w:pPr>
      <w:r>
        <w:rPr>
          <w:rFonts w:hint="eastAsia" w:ascii="仿宋" w:eastAsia="仿宋"/>
          <w:b/>
          <w:bCs/>
          <w:sz w:val="28"/>
        </w:rPr>
        <w:t>D2-1人力资源建设保障程度</w:t>
      </w:r>
    </w:p>
    <w:p>
      <w:pPr>
        <w:pStyle w:val="7"/>
        <w:widowControl w:val="0"/>
        <w:spacing w:line="560" w:lineRule="exact"/>
        <w:ind w:firstLine="560" w:firstLineChars="200"/>
        <w:rPr>
          <w:rFonts w:ascii="仿宋" w:eastAsia="仿宋"/>
          <w:bCs/>
          <w:sz w:val="28"/>
        </w:rPr>
      </w:pPr>
      <w:r>
        <w:rPr>
          <w:rFonts w:hint="eastAsia" w:ascii="仿宋" w:eastAsia="仿宋"/>
          <w:bCs/>
          <w:sz w:val="28"/>
        </w:rPr>
        <w:t>项目单位通过对干部职工进行培训，在提高中心管理水平和服务质量方面起到积极作用。具体为：</w:t>
      </w:r>
    </w:p>
    <w:p>
      <w:pPr>
        <w:pStyle w:val="7"/>
        <w:widowControl w:val="0"/>
        <w:numPr>
          <w:ilvl w:val="0"/>
          <w:numId w:val="4"/>
        </w:numPr>
        <w:spacing w:line="560" w:lineRule="exact"/>
        <w:ind w:firstLine="560" w:firstLineChars="200"/>
        <w:rPr>
          <w:bCs/>
          <w:sz w:val="28"/>
        </w:rPr>
      </w:pPr>
      <w:r>
        <w:rPr>
          <w:rFonts w:hint="eastAsia" w:ascii="仿宋" w:eastAsia="仿宋"/>
          <w:kern w:val="0"/>
          <w:sz w:val="28"/>
        </w:rPr>
        <w:t>项目单位组织各科室、业务大厅、管理部等员工进行素质提升培训，加强干部队伍能力建设，结合项目单位实际业务开展政治理论、法律法规、职业道德、发腐倡廉、业务知识、信息化运用和服务能力的学习。</w:t>
      </w:r>
    </w:p>
    <w:p>
      <w:pPr>
        <w:pStyle w:val="7"/>
        <w:widowControl w:val="0"/>
        <w:numPr>
          <w:ilvl w:val="0"/>
          <w:numId w:val="4"/>
        </w:numPr>
        <w:spacing w:line="560" w:lineRule="exact"/>
        <w:ind w:firstLine="560" w:firstLineChars="200"/>
        <w:rPr>
          <w:rFonts w:ascii="仿宋" w:eastAsia="仿宋"/>
          <w:kern w:val="0"/>
          <w:sz w:val="28"/>
        </w:rPr>
      </w:pPr>
      <w:r>
        <w:rPr>
          <w:rFonts w:hint="eastAsia"/>
          <w:bCs/>
          <w:sz w:val="28"/>
        </w:rPr>
        <w:t>项目单位先后</w:t>
      </w:r>
      <w:r>
        <w:rPr>
          <w:rFonts w:hint="eastAsia" w:ascii="仿宋" w:eastAsia="仿宋"/>
          <w:bCs/>
          <w:sz w:val="28"/>
        </w:rPr>
        <w:t>组织8名科级干部参加</w:t>
      </w:r>
      <w:r>
        <w:rPr>
          <w:rFonts w:hint="eastAsia"/>
          <w:bCs/>
          <w:sz w:val="28"/>
        </w:rPr>
        <w:t>青海西宁住房公积金个贷款规范知识培训，组织</w:t>
      </w:r>
      <w:r>
        <w:rPr>
          <w:rFonts w:hint="eastAsia" w:ascii="仿宋" w:eastAsia="仿宋"/>
          <w:bCs/>
          <w:sz w:val="28"/>
        </w:rPr>
        <w:t>14名科级以上干部赴长三角地区考察学习，开阔干部视野，提高干部综合能力</w:t>
      </w:r>
      <w:r>
        <w:rPr>
          <w:rFonts w:hint="eastAsia"/>
          <w:bCs/>
          <w:sz w:val="28"/>
        </w:rPr>
        <w:t>；</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（3）2021年6月项目单位组织</w:t>
      </w:r>
      <w:r>
        <w:rPr>
          <w:rFonts w:hint="eastAsia" w:ascii="仿宋" w:eastAsia="仿宋"/>
          <w:bCs/>
          <w:sz w:val="28"/>
        </w:rPr>
        <w:t>96名党员干部</w:t>
      </w:r>
      <w:r>
        <w:rPr>
          <w:rFonts w:hint="eastAsia" w:ascii="仿宋" w:eastAsia="仿宋"/>
          <w:kern w:val="0"/>
          <w:sz w:val="28"/>
        </w:rPr>
        <w:t>到市委党校党员干部培训基地接受培训学习，</w:t>
      </w:r>
      <w:r>
        <w:rPr>
          <w:rFonts w:hint="eastAsia" w:ascii="仿宋" w:eastAsia="仿宋"/>
          <w:bCs/>
          <w:sz w:val="28"/>
        </w:rPr>
        <w:t>通过学习党史、新中国史、改革开放史、《习近平谈治国理政》、全国“两会精神”、省市“两会”及主要领导讲话精神，提升干部职工政治素质和管理水平</w:t>
      </w:r>
      <w:r>
        <w:rPr>
          <w:rFonts w:hint="eastAsia" w:ascii="仿宋" w:eastAsia="仿宋"/>
          <w:kern w:val="0"/>
          <w:sz w:val="28"/>
        </w:rPr>
        <w:t>；</w:t>
      </w:r>
    </w:p>
    <w:p>
      <w:pPr>
        <w:pStyle w:val="7"/>
        <w:widowControl w:val="0"/>
        <w:spacing w:line="560" w:lineRule="exact"/>
        <w:ind w:firstLine="560" w:firstLineChars="200"/>
        <w:rPr>
          <w:rFonts w:ascii="仿宋" w:eastAsia="仿宋"/>
          <w:kern w:val="0"/>
          <w:sz w:val="28"/>
        </w:rPr>
      </w:pPr>
      <w:r>
        <w:rPr>
          <w:rFonts w:hint="eastAsia" w:ascii="仿宋" w:eastAsia="仿宋"/>
          <w:kern w:val="0"/>
          <w:sz w:val="28"/>
        </w:rPr>
        <w:t>（4）2021年7至8月，项目单位邀请软件公司和法律法规等相关专家开展专题讲座，培训内容包括：国家、省公积金政策及与之相适应的法律法规，市中心归集、提取、贷款政策，业务软件操作技能等。</w:t>
      </w:r>
    </w:p>
    <w:p>
      <w:pPr>
        <w:spacing w:line="560" w:lineRule="exact"/>
        <w:ind w:firstLine="560" w:firstLineChars="200"/>
        <w:rPr>
          <w:bCs/>
        </w:rPr>
      </w:pPr>
      <w:r>
        <w:rPr>
          <w:rFonts w:hint="eastAsia"/>
          <w:bCs/>
        </w:rPr>
        <w:t>（5）项目单位完善绩效考核制度，重点向关键岗位、业务骨干和做出突出成绩的工作人员倾斜绩效分配，实现多劳多得，优绩优酬，充分发挥绩效工资的激励作用。</w:t>
      </w:r>
    </w:p>
    <w:p>
      <w:pPr>
        <w:pStyle w:val="7"/>
        <w:widowControl w:val="0"/>
        <w:spacing w:line="550" w:lineRule="exact"/>
        <w:ind w:firstLine="560" w:firstLineChars="200"/>
        <w:rPr>
          <w:rFonts w:ascii="仿宋" w:eastAsia="仿宋"/>
          <w:kern w:val="0"/>
          <w:sz w:val="28"/>
        </w:rPr>
      </w:pPr>
      <w:r>
        <w:rPr>
          <w:rFonts w:hint="eastAsia" w:ascii="仿宋" w:eastAsia="仿宋"/>
          <w:kern w:val="0"/>
          <w:sz w:val="28"/>
        </w:rPr>
        <w:t>满分5分，根据绩效评价指标，本指标得分5分，得分率100%。</w:t>
      </w:r>
    </w:p>
    <w:p>
      <w:pPr>
        <w:pStyle w:val="2"/>
        <w:spacing w:before="0" w:after="0" w:line="560" w:lineRule="exact"/>
        <w:ind w:firstLine="562" w:firstLineChars="200"/>
        <w:rPr>
          <w:sz w:val="28"/>
        </w:rPr>
      </w:pPr>
      <w:bookmarkStart w:id="289" w:name="_Toc9895"/>
      <w:r>
        <w:rPr>
          <w:rFonts w:hint="eastAsia"/>
          <w:sz w:val="28"/>
        </w:rPr>
        <w:t>四、绩效评价结果应用建议</w:t>
      </w:r>
      <w:bookmarkEnd w:id="289"/>
    </w:p>
    <w:p>
      <w:pPr>
        <w:pStyle w:val="7"/>
        <w:widowControl w:val="0"/>
        <w:spacing w:line="550" w:lineRule="exact"/>
        <w:ind w:firstLine="560" w:firstLineChars="200"/>
        <w:rPr>
          <w:rFonts w:ascii="仿宋" w:eastAsia="仿宋"/>
          <w:kern w:val="0"/>
          <w:sz w:val="28"/>
        </w:rPr>
      </w:pPr>
      <w:r>
        <w:rPr>
          <w:rFonts w:hint="eastAsia" w:ascii="仿宋" w:eastAsia="仿宋"/>
          <w:kern w:val="0"/>
          <w:sz w:val="28"/>
        </w:rPr>
        <w:t>（一）加强督促问题整改。将绩效评价结果及时反馈被评价单位，对绩效评价单位下达整改通知书，督促单位对存在的问题及时整改，并反馈整改情况，对整改情况进行跟踪调查。</w:t>
      </w:r>
    </w:p>
    <w:p>
      <w:pPr>
        <w:pStyle w:val="7"/>
        <w:widowControl w:val="0"/>
        <w:spacing w:line="550" w:lineRule="exact"/>
        <w:ind w:firstLine="560" w:firstLineChars="200"/>
        <w:rPr>
          <w:rFonts w:ascii="仿宋" w:eastAsia="仿宋"/>
          <w:kern w:val="0"/>
          <w:sz w:val="28"/>
        </w:rPr>
      </w:pPr>
      <w:r>
        <w:rPr>
          <w:rFonts w:hint="eastAsia" w:ascii="仿宋" w:eastAsia="仿宋"/>
          <w:kern w:val="0"/>
          <w:sz w:val="28"/>
        </w:rPr>
        <w:t>（二）及时公开评价结果。将绩效评价报告在财政局门户网站上向社会公开，接受社会监督。</w:t>
      </w:r>
    </w:p>
    <w:bookmarkEnd w:id="229"/>
    <w:bookmarkEnd w:id="230"/>
    <w:bookmarkEnd w:id="231"/>
    <w:bookmarkEnd w:id="285"/>
    <w:bookmarkEnd w:id="286"/>
    <w:bookmarkEnd w:id="287"/>
    <w:bookmarkEnd w:id="288"/>
    <w:p>
      <w:pPr>
        <w:pStyle w:val="2"/>
        <w:spacing w:before="0" w:after="0" w:line="560" w:lineRule="exact"/>
        <w:ind w:firstLine="562" w:firstLineChars="200"/>
        <w:rPr>
          <w:sz w:val="28"/>
        </w:rPr>
      </w:pPr>
      <w:bookmarkStart w:id="290" w:name="_Toc4947"/>
      <w:bookmarkStart w:id="291" w:name="_Toc26000"/>
      <w:bookmarkStart w:id="292" w:name="_Toc24959"/>
      <w:bookmarkStart w:id="293" w:name="_Toc14033"/>
      <w:bookmarkStart w:id="294" w:name="_Toc32070"/>
      <w:bookmarkStart w:id="295" w:name="_Toc14090"/>
      <w:bookmarkStart w:id="296" w:name="_Toc7188"/>
      <w:bookmarkStart w:id="297" w:name="_Toc21101"/>
      <w:bookmarkStart w:id="298" w:name="_Toc1480"/>
      <w:r>
        <w:rPr>
          <w:rFonts w:hint="eastAsia"/>
          <w:sz w:val="28"/>
        </w:rPr>
        <w:t>五、主要做法、存在的问题和建议</w:t>
      </w:r>
      <w:bookmarkEnd w:id="290"/>
    </w:p>
    <w:p>
      <w:pPr>
        <w:pStyle w:val="3"/>
        <w:spacing w:before="0" w:after="0" w:line="560" w:lineRule="exact"/>
        <w:ind w:firstLine="562" w:firstLineChars="200"/>
        <w:rPr>
          <w:rFonts w:ascii="仿宋" w:hAnsi="仿宋" w:eastAsia="仿宋"/>
          <w:sz w:val="28"/>
        </w:rPr>
      </w:pPr>
      <w:bookmarkStart w:id="299" w:name="_Toc19672"/>
      <w:r>
        <w:rPr>
          <w:rFonts w:hint="eastAsia" w:ascii="仿宋" w:hAnsi="仿宋" w:eastAsia="仿宋"/>
          <w:sz w:val="28"/>
        </w:rPr>
        <w:t>（一）主要经验和做法</w:t>
      </w:r>
      <w:bookmarkEnd w:id="299"/>
    </w:p>
    <w:p>
      <w:pPr>
        <w:widowControl w:val="0"/>
        <w:spacing w:line="560" w:lineRule="exact"/>
        <w:ind w:firstLine="560" w:firstLineChars="200"/>
        <w:rPr>
          <w:highlight w:val="yellow"/>
        </w:rPr>
      </w:pPr>
      <w:bookmarkStart w:id="300" w:name="_Toc5470"/>
      <w:r>
        <w:rPr>
          <w:rFonts w:hint="eastAsia"/>
        </w:rPr>
        <w:t>1、</w:t>
      </w:r>
      <w:r>
        <w:t>突出作风抓党建，以身作则从严治党。</w:t>
      </w:r>
    </w:p>
    <w:p>
      <w:pPr>
        <w:widowControl w:val="0"/>
        <w:spacing w:line="560" w:lineRule="exact"/>
        <w:ind w:firstLine="560" w:firstLineChars="200"/>
      </w:pPr>
      <w:r>
        <w:t>全面推进党风廉政建设向纵深发展，</w:t>
      </w:r>
      <w:r>
        <w:rPr>
          <w:rFonts w:hint="eastAsia"/>
        </w:rPr>
        <w:t>班子成员</w:t>
      </w:r>
      <w:r>
        <w:t>严以律己，以身作则，严格落实中央八项规定精神，认真开展集体廉政谈话，严肃查处违反和破坏基层党建工作的党员干部，努力营造风清气正、干事创业的政治生态。</w:t>
      </w:r>
    </w:p>
    <w:p>
      <w:pPr>
        <w:widowControl w:val="0"/>
        <w:spacing w:line="560" w:lineRule="exact"/>
        <w:ind w:firstLine="560" w:firstLineChars="200"/>
        <w:rPr>
          <w:highlight w:val="yellow"/>
        </w:rPr>
      </w:pPr>
      <w:r>
        <w:rPr>
          <w:rFonts w:hint="eastAsia"/>
        </w:rPr>
        <w:t>2、规范工程建设程序，提高建设工程透明度。</w:t>
      </w:r>
    </w:p>
    <w:p>
      <w:pPr>
        <w:widowControl w:val="0"/>
        <w:spacing w:line="560" w:lineRule="exact"/>
        <w:ind w:firstLine="560" w:firstLineChars="200"/>
      </w:pPr>
      <w:r>
        <w:rPr>
          <w:rFonts w:hint="eastAsia"/>
        </w:rPr>
        <w:t>严格履行项目招投标手续，对建设工程进行招投标；委托专业监理公司，对施工过程进行全程监理；严格履行政府采购制度，将项目预算报财政进行批复。</w:t>
      </w:r>
    </w:p>
    <w:p>
      <w:pPr>
        <w:widowControl w:val="0"/>
        <w:spacing w:line="560" w:lineRule="exact"/>
        <w:ind w:firstLine="560" w:firstLineChars="200"/>
      </w:pPr>
      <w:r>
        <w:rPr>
          <w:rFonts w:hint="eastAsia"/>
        </w:rPr>
        <w:t>3、打造智慧服务平台，持续优化便民服务。</w:t>
      </w:r>
    </w:p>
    <w:p>
      <w:pPr>
        <w:widowControl w:val="0"/>
        <w:spacing w:line="560" w:lineRule="exact"/>
        <w:ind w:firstLine="560" w:firstLineChars="200"/>
      </w:pPr>
      <w:r>
        <w:rPr>
          <w:rFonts w:hint="eastAsia"/>
        </w:rPr>
        <w:t>成立信息化建设领导小组，专项负责信息化建设工作，按照“规范、安全、效率、效益”的原则，围绕“全程网办”和“跨省通办”两个着力点，搭建服务新平台，加快完善业务系统，增加网办业务功能。</w:t>
      </w:r>
    </w:p>
    <w:p>
      <w:pPr>
        <w:pStyle w:val="3"/>
        <w:spacing w:before="0" w:after="0" w:line="560" w:lineRule="exact"/>
        <w:ind w:firstLine="562" w:firstLineChars="200"/>
        <w:rPr>
          <w:rFonts w:ascii="仿宋" w:hAnsi="仿宋" w:eastAsia="仿宋"/>
          <w:sz w:val="28"/>
        </w:rPr>
      </w:pPr>
      <w:r>
        <w:rPr>
          <w:rFonts w:hint="eastAsia" w:ascii="仿宋" w:hAnsi="仿宋" w:eastAsia="仿宋"/>
          <w:sz w:val="28"/>
        </w:rPr>
        <w:t>（二）存在的问题及建议</w:t>
      </w:r>
      <w:bookmarkEnd w:id="300"/>
    </w:p>
    <w:bookmarkEnd w:id="291"/>
    <w:bookmarkEnd w:id="292"/>
    <w:bookmarkEnd w:id="293"/>
    <w:bookmarkEnd w:id="294"/>
    <w:bookmarkEnd w:id="295"/>
    <w:bookmarkEnd w:id="296"/>
    <w:bookmarkEnd w:id="297"/>
    <w:bookmarkEnd w:id="298"/>
    <w:p>
      <w:pPr>
        <w:widowControl w:val="0"/>
        <w:spacing w:line="560" w:lineRule="exact"/>
        <w:ind w:firstLine="560" w:firstLineChars="200"/>
      </w:pPr>
      <w:r>
        <w:rPr>
          <w:rFonts w:hint="eastAsia"/>
        </w:rPr>
        <w:t>1、城市住房公积金管理中心工作运转经费项目绩效目标申报表未细化、量化产出、效益等指标，指标值不清晰，可衡量性不强；绩效自评报告填写不完整（项目主要经验做法、存在的主要问题及管理建议等未进行描述分析），不利于对项目实施情况进行有效监督和评价。</w:t>
      </w:r>
    </w:p>
    <w:p>
      <w:pPr>
        <w:widowControl w:val="0"/>
        <w:spacing w:line="560" w:lineRule="exact"/>
        <w:ind w:firstLine="560" w:firstLineChars="200"/>
      </w:pPr>
      <w:r>
        <w:rPr>
          <w:rFonts w:hint="eastAsia"/>
        </w:rPr>
        <w:t>建议：</w:t>
      </w:r>
    </w:p>
    <w:p>
      <w:pPr>
        <w:widowControl w:val="0"/>
        <w:spacing w:line="560" w:lineRule="exact"/>
        <w:ind w:firstLine="560" w:firstLineChars="200"/>
      </w:pPr>
      <w:r>
        <w:rPr>
          <w:rFonts w:hint="eastAsia"/>
        </w:rPr>
        <w:t>运城市住房公积金管理中心要重视绩效管理工作，制定绩效管理制度，根据业务特点制定切实可行的绩效目标，并对照绩效目标总要求，进一步细化分解项目绩效目标，以目标为方向、制度为依据，切实用好财政资金，经济高效地完成项目工作。</w:t>
      </w:r>
    </w:p>
    <w:p>
      <w:pPr>
        <w:widowControl w:val="0"/>
        <w:spacing w:line="560" w:lineRule="exact"/>
        <w:ind w:firstLine="560" w:firstLineChars="200"/>
      </w:pPr>
      <w:r>
        <w:rPr>
          <w:rFonts w:hint="eastAsia"/>
        </w:rPr>
        <w:t>项目完成后，及时编制绩效自评报告，详细完整描述项目实施情况、主要产出和效益、项目主要经验、存在问题及改进措施等。</w:t>
      </w:r>
    </w:p>
    <w:p>
      <w:pPr>
        <w:widowControl w:val="0"/>
        <w:spacing w:line="560" w:lineRule="exact"/>
        <w:ind w:firstLine="560" w:firstLineChars="200"/>
      </w:pPr>
      <w:r>
        <w:rPr>
          <w:rFonts w:hint="eastAsia"/>
        </w:rPr>
        <w:t>2、项目单位资产管理存在不规范事项，具体为：</w:t>
      </w:r>
    </w:p>
    <w:p>
      <w:pPr>
        <w:widowControl w:val="0"/>
        <w:spacing w:line="560" w:lineRule="exact"/>
        <w:ind w:firstLine="560" w:firstLineChars="200"/>
      </w:pPr>
      <w:r>
        <w:rPr>
          <w:rFonts w:hint="eastAsia"/>
        </w:rPr>
        <w:t>（1）单位下设机构未按制度规定对固定资产每年度进行一次全面清查盘点，年底盘点时未保留纸质盘点记录，固定资产实物上未粘贴《固定资产卡片》，资产盘点制度执行不到位。</w:t>
      </w:r>
    </w:p>
    <w:p>
      <w:pPr>
        <w:widowControl w:val="0"/>
        <w:spacing w:line="560" w:lineRule="exact"/>
        <w:ind w:firstLine="560" w:firstLineChars="200"/>
      </w:pPr>
      <w:r>
        <w:rPr>
          <w:rFonts w:hint="eastAsia"/>
        </w:rPr>
        <w:t>（2）该单位部分资产卡片信息不完整，部分资产未录入使用部门和存放地点等；</w:t>
      </w:r>
    </w:p>
    <w:p>
      <w:pPr>
        <w:widowControl w:val="0"/>
        <w:spacing w:line="560" w:lineRule="exact"/>
        <w:ind w:firstLine="560" w:firstLineChars="200"/>
      </w:pPr>
      <w:r>
        <w:rPr>
          <w:rFonts w:hint="eastAsia"/>
        </w:rPr>
        <w:t>建议：对固定资产进行编码登记，规范固定资产标签管理，核实固定资产存放位置，定期对固定资产进行盘点并分析差异原因；完善固定资产划拨手续，及时进行账务处理，纳入固定资产账簿管理，确保资产管理数据真实、完整、准确，避免国有资产流失。</w:t>
      </w:r>
    </w:p>
    <w:p>
      <w:pPr>
        <w:widowControl w:val="0"/>
        <w:spacing w:line="560" w:lineRule="exact"/>
        <w:ind w:firstLine="560" w:firstLineChars="200"/>
      </w:pPr>
      <w:r>
        <w:rPr>
          <w:rFonts w:hint="eastAsia"/>
        </w:rPr>
        <w:t>3、未完成个人贷款逾期率控制任务，个贷逾期管理及催收工作需要进一步改进，具体为：</w:t>
      </w:r>
    </w:p>
    <w:p>
      <w:pPr>
        <w:widowControl w:val="0"/>
        <w:spacing w:line="560" w:lineRule="exact"/>
        <w:ind w:firstLine="560" w:firstLineChars="200"/>
      </w:pPr>
      <w:r>
        <w:rPr>
          <w:rFonts w:hint="eastAsia"/>
        </w:rPr>
        <w:t>项目单位2021年末公积金个人贷款余额为94.29亿元，期末逾期贷款额1,107.84万元（其中：逾期3-5期贷款额2.34万元，逾期6期及以上贷款额1,105.50万元），2021年末个贷逾期率为0.12%，为山西省住建厅下发的任务（降至0.02%以下）的6倍。</w:t>
      </w:r>
    </w:p>
    <w:p>
      <w:pPr>
        <w:widowControl w:val="0"/>
        <w:spacing w:line="560" w:lineRule="exact"/>
        <w:ind w:firstLine="560" w:firstLineChars="200"/>
      </w:pPr>
      <w:r>
        <w:rPr>
          <w:rFonts w:hint="eastAsia"/>
        </w:rPr>
        <w:t>期末逾期贷款额1,107.84万元，主要原因：2004年６月机构调整以前的逾期贷款（1,020.54万元）占到总逾期贷款的92%，主要为永济印染厂195名职工逾期贷款585万元、外贸购销公司逾期贷款21.44万元，2004年６月以后逾期贷款占到总逾期贷款的8%。</w:t>
      </w:r>
    </w:p>
    <w:p>
      <w:pPr>
        <w:widowControl w:val="0"/>
        <w:spacing w:line="560" w:lineRule="exact"/>
        <w:ind w:firstLine="560" w:firstLineChars="200"/>
      </w:pPr>
      <w:r>
        <w:rPr>
          <w:rFonts w:hint="eastAsia"/>
        </w:rPr>
        <w:t>建议：运城市住房公积金管理中心需加强逾期贷款催收工作，通过电话催收、上门催收、划扣公积金、媒体公告、法律诉讼、法院执行、公安协助等手段和措施，加强逾期贷款清收工作，对于无偿还能力或已过诉讼时效等情况的贷款，依据《住房公积金呆账核销管理办法》报财政、上级监管等相关部门审核后核销，同时力争将个贷逾期率控制在合理数值；完善资金流动性风险预警机制，提前测算资金流量，科学盘活存储资金，积极防范流动性风险；实行业务运行分析会议制度，每月总结、预判资金运行情况，合理确定资金存储、调拨计划，保障资金的高效利用和安全管理。</w:t>
      </w:r>
    </w:p>
    <w:p/>
    <w:p>
      <w:pPr>
        <w:rPr>
          <w:rFonts w:hint="eastAsia"/>
        </w:rPr>
        <w:sectPr>
          <w:headerReference r:id="rId8" w:type="first"/>
          <w:footerReference r:id="rId10" w:type="first"/>
          <w:headerReference r:id="rId7" w:type="default"/>
          <w:footerReference r:id="rId9" w:type="default"/>
          <w:pgSz w:w="11906" w:h="16838"/>
          <w:pgMar w:top="1247" w:right="1701" w:bottom="1247" w:left="1701" w:header="851" w:footer="850" w:gutter="0"/>
          <w:cols w:space="720" w:num="1"/>
          <w:titlePg/>
          <w:docGrid w:type="lines" w:linePitch="381" w:charSpace="0"/>
        </w:sectPr>
      </w:pPr>
    </w:p>
    <w:p>
      <w:pPr>
        <w:spacing w:after="190" w:afterLines="50" w:line="560" w:lineRule="exact"/>
        <w:outlineLvl w:val="0"/>
        <w:rPr>
          <w:b/>
        </w:rPr>
      </w:pPr>
      <w:bookmarkStart w:id="301" w:name="_Toc16767"/>
      <w:r>
        <w:rPr>
          <w:rFonts w:hint="eastAsia"/>
          <w:b/>
        </w:rPr>
        <w:t>附件1：                                   项目支出资金一览表</w:t>
      </w:r>
      <w:bookmarkEnd w:id="301"/>
    </w:p>
    <w:tbl>
      <w:tblPr>
        <w:tblStyle w:val="19"/>
        <w:tblW w:w="4996" w:type="pct"/>
        <w:tblInd w:w="0" w:type="dxa"/>
        <w:tblLayout w:type="fixed"/>
        <w:tblCellMar>
          <w:top w:w="0" w:type="dxa"/>
          <w:left w:w="108" w:type="dxa"/>
          <w:bottom w:w="0" w:type="dxa"/>
          <w:right w:w="108" w:type="dxa"/>
        </w:tblCellMar>
      </w:tblPr>
      <w:tblGrid>
        <w:gridCol w:w="5264"/>
        <w:gridCol w:w="1889"/>
        <w:gridCol w:w="1889"/>
        <w:gridCol w:w="1889"/>
        <w:gridCol w:w="1583"/>
        <w:gridCol w:w="2034"/>
      </w:tblGrid>
      <w:tr>
        <w:tblPrEx>
          <w:tblCellMar>
            <w:top w:w="0" w:type="dxa"/>
            <w:left w:w="108" w:type="dxa"/>
            <w:bottom w:w="0" w:type="dxa"/>
            <w:right w:w="108" w:type="dxa"/>
          </w:tblCellMar>
        </w:tblPrEx>
        <w:trPr>
          <w:trHeight w:val="288" w:hRule="atLeast"/>
          <w:tblHeader/>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项目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年初预算</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本年收入</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本年支出</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年末结余</w:t>
            </w: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备注</w:t>
            </w: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b/>
                <w:bCs/>
                <w:color w:val="000000"/>
                <w:sz w:val="21"/>
                <w:szCs w:val="21"/>
              </w:rPr>
            </w:pPr>
            <w:r>
              <w:rPr>
                <w:rFonts w:hint="eastAsia"/>
                <w:b/>
                <w:bCs/>
                <w:color w:val="000000"/>
                <w:kern w:val="0"/>
                <w:sz w:val="21"/>
                <w:szCs w:val="21"/>
                <w:lang w:bidi="ar"/>
              </w:rPr>
              <w:t>总  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30,542,700.00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28,724,890.28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28,724,890.28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Narrow" w:hAnsi="Arial Narrow" w:eastAsia="Arial Narrow" w:cs="Arial Narrow"/>
                <w:b/>
                <w:bCs/>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b/>
                <w:bCs/>
                <w:color w:val="000000"/>
                <w:sz w:val="21"/>
                <w:szCs w:val="21"/>
              </w:rPr>
            </w:pPr>
            <w:r>
              <w:rPr>
                <w:rFonts w:hint="eastAsia"/>
                <w:b/>
                <w:bCs/>
                <w:color w:val="000000"/>
                <w:kern w:val="0"/>
                <w:sz w:val="21"/>
                <w:szCs w:val="21"/>
                <w:lang w:bidi="ar"/>
              </w:rPr>
              <w:t>基本支出（合计）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18,878,900.00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17,857,460.27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17,857,460.27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工资部分</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17,306,900.00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16,285,611.73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16,285,611.73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公用经费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1,572,000.00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1,571,848.54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1,571,848.54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b/>
                <w:bCs/>
                <w:color w:val="000000"/>
                <w:sz w:val="21"/>
                <w:szCs w:val="21"/>
              </w:rPr>
            </w:pPr>
            <w:r>
              <w:rPr>
                <w:rFonts w:hint="eastAsia"/>
                <w:b/>
                <w:bCs/>
                <w:color w:val="000000"/>
                <w:kern w:val="0"/>
                <w:sz w:val="21"/>
                <w:szCs w:val="21"/>
                <w:lang w:bidi="ar"/>
              </w:rPr>
              <w:t>项目支出（合计）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11,663,800.00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w:t>
            </w:r>
            <w:r>
              <w:rPr>
                <w:rFonts w:hint="eastAsia"/>
                <w:b/>
                <w:bCs/>
                <w:color w:val="000000"/>
                <w:kern w:val="0"/>
                <w:sz w:val="21"/>
                <w:szCs w:val="21"/>
                <w:lang w:bidi="ar"/>
              </w:rPr>
              <w:t>本级财力小计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11,663,800.00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b/>
                <w:bCs/>
                <w:color w:val="000000"/>
                <w:sz w:val="21"/>
                <w:szCs w:val="21"/>
              </w:rPr>
            </w:pPr>
            <w:r>
              <w:rPr>
                <w:rFonts w:hint="eastAsia"/>
                <w:b/>
                <w:bCs/>
                <w:color w:val="000000"/>
                <w:kern w:val="0"/>
                <w:sz w:val="21"/>
                <w:szCs w:val="21"/>
                <w:lang w:bidi="ar"/>
              </w:rPr>
              <w:t xml:space="preserve">    年初预算小计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11,663,800.00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b/>
                <w:bCs/>
                <w:color w:val="000000"/>
                <w:sz w:val="21"/>
                <w:szCs w:val="21"/>
              </w:rPr>
            </w:pPr>
            <w:r>
              <w:rPr>
                <w:rFonts w:ascii="Arial Narrow" w:hAnsi="Arial Narrow" w:eastAsia="Arial Narrow" w:cs="Arial Narrow"/>
                <w:b/>
                <w:bCs/>
                <w:color w:val="000000"/>
                <w:kern w:val="0"/>
                <w:sz w:val="21"/>
                <w:szCs w:val="21"/>
                <w:lang w:bidi="ar"/>
              </w:rPr>
              <w:t xml:space="preserve">10,867,430.01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b/>
                <w:bCs/>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其中：</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20" w:firstLineChars="200"/>
              <w:jc w:val="left"/>
              <w:textAlignment w:val="center"/>
              <w:rPr>
                <w:color w:val="000000"/>
                <w:sz w:val="21"/>
                <w:szCs w:val="21"/>
              </w:rPr>
            </w:pPr>
            <w:r>
              <w:rPr>
                <w:rFonts w:hint="eastAsia"/>
                <w:color w:val="000000"/>
                <w:kern w:val="0"/>
                <w:sz w:val="21"/>
                <w:szCs w:val="21"/>
                <w:lang w:bidi="ar"/>
              </w:rPr>
              <w:t>信息网络及软件购置更新</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1,360,000.00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1,026,800.00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1,026,800.00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其中：OA系统</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1,360,000.00 </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1,026,800.00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148,500.00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一体机接口费</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13,000.00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网络安全运维费</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222,300.00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业务软件功能升级</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447,000.00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576"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color w:val="000000"/>
                <w:sz w:val="21"/>
                <w:szCs w:val="21"/>
              </w:rPr>
            </w:pPr>
            <w:r>
              <w:rPr>
                <w:rFonts w:hint="eastAsia"/>
                <w:color w:val="000000"/>
                <w:kern w:val="0"/>
                <w:sz w:val="21"/>
                <w:szCs w:val="21"/>
                <w:lang w:bidi="ar"/>
              </w:rPr>
              <w:t xml:space="preserve">          异地转移接续、企事业单位社保信息接入</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196,000.00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20" w:firstLineChars="200"/>
              <w:jc w:val="left"/>
              <w:textAlignment w:val="center"/>
              <w:rPr>
                <w:color w:val="000000"/>
                <w:sz w:val="21"/>
                <w:szCs w:val="21"/>
              </w:rPr>
            </w:pPr>
            <w:r>
              <w:rPr>
                <w:rFonts w:hint="eastAsia"/>
                <w:color w:val="000000"/>
                <w:kern w:val="0"/>
                <w:sz w:val="21"/>
                <w:szCs w:val="21"/>
                <w:lang w:bidi="ar"/>
              </w:rPr>
              <w:t>大型修缮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1,200,000.00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956,574.81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956,574.81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其中：食堂、会议室修缮</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1,200,000.00 </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956,574.81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748,991.00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三楼会议室修缮</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21,109.81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 xml:space="preserve">           永济修缮</w:t>
            </w: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186,474.00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r>
        <w:trPr>
          <w:trHeight w:val="540"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办公设备购置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923,000.00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1,051,654.00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1,051,654.00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color w:val="000000"/>
                <w:sz w:val="21"/>
                <w:szCs w:val="21"/>
              </w:rPr>
            </w:pPr>
            <w:r>
              <w:rPr>
                <w:rFonts w:hint="eastAsia"/>
                <w:color w:val="000000"/>
                <w:kern w:val="0"/>
                <w:sz w:val="21"/>
                <w:szCs w:val="21"/>
                <w:lang w:bidi="ar"/>
              </w:rPr>
              <w:t>空调、查询机、LED显示屏、家具等</w:t>
            </w: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公务用车购置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730,300.00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730,000.00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730,000.00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color w:val="000000"/>
                <w:sz w:val="21"/>
                <w:szCs w:val="21"/>
              </w:rPr>
            </w:pPr>
            <w:r>
              <w:rPr>
                <w:rFonts w:hint="eastAsia"/>
                <w:color w:val="000000"/>
                <w:kern w:val="0"/>
                <w:sz w:val="21"/>
                <w:szCs w:val="21"/>
                <w:lang w:bidi="ar"/>
              </w:rPr>
              <w:t>购公务用车8辆</w:t>
            </w:r>
          </w:p>
        </w:tc>
      </w:tr>
      <w:tr>
        <w:tblPrEx>
          <w:tblCellMar>
            <w:top w:w="0" w:type="dxa"/>
            <w:left w:w="108" w:type="dxa"/>
            <w:bottom w:w="0" w:type="dxa"/>
            <w:right w:w="108" w:type="dxa"/>
          </w:tblCellMar>
        </w:tblPrEx>
        <w:trPr>
          <w:trHeight w:val="288" w:hRule="atLeast"/>
        </w:trPr>
        <w:tc>
          <w:tcPr>
            <w:tcW w:w="1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color w:val="000000"/>
                <w:sz w:val="21"/>
                <w:szCs w:val="21"/>
              </w:rPr>
            </w:pPr>
            <w:r>
              <w:rPr>
                <w:rFonts w:hint="eastAsia"/>
                <w:color w:val="000000"/>
                <w:kern w:val="0"/>
                <w:sz w:val="21"/>
                <w:szCs w:val="21"/>
                <w:lang w:bidi="ar"/>
              </w:rPr>
              <w:t>商品服务和支出(管理费等公用经费)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7,450,500.00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7,102,401.20 </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Narrow" w:hAnsi="Arial Narrow" w:eastAsia="Arial Narrow" w:cs="Arial Narrow"/>
                <w:color w:val="000000"/>
                <w:sz w:val="21"/>
                <w:szCs w:val="21"/>
              </w:rPr>
            </w:pPr>
            <w:r>
              <w:rPr>
                <w:rFonts w:ascii="Arial Narrow" w:hAnsi="Arial Narrow" w:eastAsia="Arial Narrow" w:cs="Arial Narrow"/>
                <w:color w:val="000000"/>
                <w:kern w:val="0"/>
                <w:sz w:val="21"/>
                <w:szCs w:val="21"/>
                <w:lang w:bidi="ar"/>
              </w:rPr>
              <w:t xml:space="preserve">7,102,401.20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Narrow" w:hAnsi="Arial Narrow" w:eastAsia="Arial Narrow" w:cs="Arial Narrow"/>
                <w:color w:val="000000"/>
                <w:sz w:val="21"/>
                <w:szCs w:val="21"/>
              </w:rPr>
            </w:pPr>
          </w:p>
        </w:tc>
        <w:tc>
          <w:tcPr>
            <w:tcW w:w="6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Narrow" w:hAnsi="Arial Narrow" w:eastAsia="Arial Narrow" w:cs="Arial Narrow"/>
                <w:color w:val="000000"/>
                <w:sz w:val="21"/>
                <w:szCs w:val="21"/>
              </w:rPr>
            </w:pPr>
          </w:p>
        </w:tc>
      </w:tr>
    </w:tbl>
    <w:p>
      <w:pPr>
        <w:pStyle w:val="7"/>
        <w:widowControl w:val="0"/>
        <w:wordWrap w:val="0"/>
        <w:spacing w:line="560" w:lineRule="exact"/>
        <w:ind w:firstLine="560" w:firstLineChars="200"/>
        <w:jc w:val="right"/>
        <w:rPr>
          <w:rFonts w:ascii="仿宋" w:eastAsia="仿宋"/>
          <w:sz w:val="28"/>
        </w:rPr>
        <w:sectPr>
          <w:pgSz w:w="16838" w:h="11906" w:orient="landscape"/>
          <w:pgMar w:top="1701" w:right="1247" w:bottom="1701" w:left="1247" w:header="851" w:footer="850" w:gutter="0"/>
          <w:cols w:space="720" w:num="1"/>
          <w:titlePg/>
          <w:docGrid w:type="lines" w:linePitch="381" w:charSpace="0"/>
        </w:sectPr>
      </w:pPr>
    </w:p>
    <w:p>
      <w:pPr>
        <w:spacing w:after="240"/>
        <w:outlineLvl w:val="0"/>
        <w:rPr>
          <w:b/>
        </w:rPr>
      </w:pPr>
      <w:bookmarkStart w:id="302" w:name="_Toc15668"/>
      <w:bookmarkStart w:id="303" w:name="_Toc7183"/>
      <w:bookmarkStart w:id="304" w:name="_Toc576"/>
      <w:r>
        <w:rPr>
          <w:rFonts w:hint="eastAsia"/>
          <w:b/>
        </w:rPr>
        <w:t>附件2：                           部门整体支出项目绩效评价指标体系及得分</w:t>
      </w:r>
      <w:bookmarkEnd w:id="302"/>
    </w:p>
    <w:bookmarkEnd w:id="303"/>
    <w:bookmarkEnd w:id="304"/>
    <w:tbl>
      <w:tblPr>
        <w:tblStyle w:val="19"/>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7"/>
        <w:gridCol w:w="757"/>
        <w:gridCol w:w="760"/>
        <w:gridCol w:w="760"/>
        <w:gridCol w:w="1386"/>
        <w:gridCol w:w="760"/>
        <w:gridCol w:w="3276"/>
        <w:gridCol w:w="5332"/>
        <w:gridCol w:w="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一级指标</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分值</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二级指标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分值</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三级指标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分值</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指标解释</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评价标准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6" w:hRule="atLeast"/>
        </w:trPr>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履职效能</w:t>
            </w:r>
          </w:p>
        </w:tc>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目标任务设定</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目标任务设定情况</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评价部门年度工作目标设定的依据充分性、科学性、合理性等方面的情况。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①部门年度工作目标依据充分，符合部门工作实际情况，得1分，否则不得分；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②部门年度工作目标清晰、可衡量，具备量化和定性任务，得1分，否则不得分；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③部门年度工作目标与年度任务数或计划数相对应，得1分，否则不得分。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目标任务实现情况</w:t>
            </w:r>
          </w:p>
        </w:tc>
        <w:tc>
          <w:tcPr>
            <w:tcW w:w="261"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信息网络及软件购置更新工作完成情况</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考核信息网络及软件购置更新工作落实情况。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按计划实施完成信息网络及软件购置更新工作的，得3分；未完成的，根据完成情况酌情扣分。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修缮工作完成情况</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考核单位修缮工作完成情况。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按计划实施完成修缮工作（办公楼、三楼会议室、小会议室、食堂及六楼会议室修缮）的，得3分；未完成的，根据实际完成情况酌情扣分。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核心业务</w:t>
            </w:r>
          </w:p>
        </w:tc>
        <w:tc>
          <w:tcPr>
            <w:tcW w:w="261"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住房公积金缴存额增长率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评价部门2021年住房公积金缴存额增长率，用以反映2021年住房公积金缴存增长情况。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2021年度住房公积金缴存额增长率：大于或等于10%，得4分；小于10%的，在0和2分之间按比例计算确定分值。</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住房公积金个人贷款增长率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评价部门2021年住房公积金个人贷款增长率，用以反映2021年住房公积金贷款增长情况。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2021年度住房公积金个人贷款增长率：大于或等于60%，得4分；小于60%的，在0和2分之间按比例计算确定分值。</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住房公积金贷款风险准备金提取率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评价部门2021年住房公积金贷款风险准备金提取率，用以反映2021年住房公积金风险准备金情况。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按照规定提取2021年度住房公积金贷款风险准备金，得4分；不按照规定的，根据相关规定，酌情扣分。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公积金增值收益增值率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评价部门2021年住房公积金增值收益增值率，用以反映2021年住房公积金增值收益完成情况。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2021年度住房公积金个人贷款增长率：大于或等于5%，得4分；小于5%的，在0和3分之间按比例计算确定分值。</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住房公积金个贷率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评价部门2021年住房公积金个人贷款率，用以反映和考核2021年度住房公积金个人贷款额度控制情况。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住房公积金个贷率=期末个人住房贷款余额/期末缴存余额，个人贷款率保持在80%-85%的，得4分；大于85%小于80%的，在0分和3分之间计算确定。</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住房公积金个人贷款逾期率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评价部门2021年住房公积金个人贷款逾期率，用以反映和考核2021年度住房公积金个人贷款逾期程度。</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个人贷款逾期率=期末个人住房逾期贷款余额/期末贷款余额，小于或等于0.02%的，得4分；大于0.02%，得0分。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基础管理</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依法行政</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评价部门依法行政、科学决策、执法监督等方面的开展情况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依据权责清单目录逐项检查，核实部门在执行行政权力等方面，能够按照相关法律法规依法行政(在开展公积金贷款发放、提存等方面），得1分，否则不得分。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管理制度健全性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评价部门的业务管理制度是否健全，用以反映和考核部门制度建设情况。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①制定或具有相应的业务管理制度和流程，得1分，否则不得分；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②业务管理制度和流程合法、合规、完整，得1分，否则不得分。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制度执行有效性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评价部门职责履行是否符合相关业务管理规定，用以反映和考核部门制度执行情况。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各项工作均按照相关法律法规、业务管理制度和工作流程执行，得4分，每发现一项不符合相关制度规定，扣0.5分，扣完为止。</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9" w:hRule="atLeast"/>
        </w:trPr>
        <w:tc>
          <w:tcPr>
            <w:tcW w:w="260"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管理效率</w:t>
            </w:r>
          </w:p>
        </w:tc>
        <w:tc>
          <w:tcPr>
            <w:tcW w:w="260"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预算管理</w:t>
            </w: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预算编制管理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预算资金分配管理等方面的情况，包括：部门编制的预算是否符合财政部门预算编制要求；预算较上年增减变动是否符合部门履职需要；“三公经费”预算数与上年度预算数的变动比率；本年度实际在职人员数与编制数的比率。</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①部门预算符合《预算法》及财政部门预算编制要求，得0.5分，否则不得分；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②部门预算收支范围及方向均有相应的法规依据的，得0.5分，否则不得分；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③部门预算较上年增减变动，符合部门履职需要，得1分，否则不得分；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④三公经费变动率小于或等于0的得1分，三公经费变动率大于0的不得分。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⑤在职人员控制率小于或等于1的得1分，在职人员控制率大于1的不得分。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预算执行管理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预门预算支出执行等方面的情况，包括：预算执行率、预算调整率、支付进度率、结转结余变动率、公用经费控制率、“三公经费”控制率、重点支出安排率，用以反映部门对执行2021年度预算资金支出的实际控制程度。</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通过对部门预算支出各方面进行评价，确定部门预算支出执行实现情况；总分9分。具体分为：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①预算执行率：大于或等于100%的得1分，小于100%的在0分和2分之间按比例计算确定。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②预算调整率：等于0的得1分，大于或等于10%的得0分，在0-10%之间的、在0分和1分之间按比例计算确定。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支付进度率：按每一季度的执行情况分别打分，每季度分值0.5分，总分值2分。以省财政厅的计算口径序时进度的98%为标准支付进度率，依据部门每个季度末的实际支付进度率与标准支付进度率进行比较。实际支付进度率减标准支付进度率差额大于或等于0得0.5分，差额小于-5%得0分，差额在-5%-0之间的，在0分和0.5分之间按比例计算确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④结转结余变动率：小于或等于0的得1分，大于或等于50%的得0分，在0-50%之间的、在0分和2分之间按比例计算确定；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⑤公用经费控制率：小于或等于100%的得1分，大于或等于100%的得0分；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⑥“三公经费”控制率：小于或等于100%的得1分，超过100%得0分；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预算监督管理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评价部门接受预算监督检查的合格情况，用以反映部门预算工作合规情况。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依据运城市财政局或其他部门对运城市住房公积金管理中心预算监督结果，监督检查结果合格，或及时对检查结果进行整改的，得1分，否则不得分。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9"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预算绩效管理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从绩效管理工作方案的制定、绩效目标的设定、绩效监控、绩效评价等方面评价部门预算绩效管理情况。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①部门内部制定了本单位的绩效管理工作方案，得0.5分，否则不得分；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②针对项目支出申报了绩效目标申报表，将绩效目标分解为具体的绩效指标</w:t>
            </w:r>
            <w:r>
              <w:rPr>
                <w:rFonts w:hint="eastAsia"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指标值清晰、可衡量得0.5分，缺1项扣0.1分，扣完为止；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③编报了部门整体支出绩效目标申报表</w:t>
            </w:r>
            <w:r>
              <w:rPr>
                <w:rFonts w:hint="eastAsia" w:cs="仿宋"/>
                <w:i w:val="0"/>
                <w:iCs w:val="0"/>
                <w:color w:val="000000"/>
                <w:kern w:val="0"/>
                <w:sz w:val="20"/>
                <w:szCs w:val="20"/>
                <w:u w:val="none"/>
                <w:lang w:val="en-US" w:eastAsia="zh-CN" w:bidi="ar"/>
              </w:rPr>
              <w:t>且规范</w:t>
            </w:r>
            <w:r>
              <w:rPr>
                <w:rFonts w:hint="eastAsia" w:ascii="仿宋" w:hAnsi="仿宋" w:eastAsia="仿宋" w:cs="仿宋"/>
                <w:i w:val="0"/>
                <w:iCs w:val="0"/>
                <w:color w:val="000000"/>
                <w:kern w:val="0"/>
                <w:sz w:val="20"/>
                <w:szCs w:val="20"/>
                <w:u w:val="none"/>
                <w:lang w:val="en-US" w:eastAsia="zh-CN" w:bidi="ar"/>
              </w:rPr>
              <w:t>，得0.5分，否则不得分；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④对本单位财政支出绩效目标运行情况进行监控分析，并填报绩效目标执行监控表</w:t>
            </w:r>
            <w:r>
              <w:rPr>
                <w:rFonts w:hint="eastAsia" w:cs="仿宋"/>
                <w:i w:val="0"/>
                <w:iCs w:val="0"/>
                <w:color w:val="000000"/>
                <w:kern w:val="0"/>
                <w:sz w:val="20"/>
                <w:szCs w:val="20"/>
                <w:u w:val="none"/>
                <w:lang w:val="en-US" w:eastAsia="zh-CN" w:bidi="ar"/>
              </w:rPr>
              <w:t>且规范</w:t>
            </w:r>
            <w:r>
              <w:rPr>
                <w:rFonts w:hint="eastAsia" w:ascii="仿宋" w:hAnsi="仿宋" w:eastAsia="仿宋" w:cs="仿宋"/>
                <w:i w:val="0"/>
                <w:iCs w:val="0"/>
                <w:color w:val="000000"/>
                <w:kern w:val="0"/>
                <w:sz w:val="20"/>
                <w:szCs w:val="20"/>
                <w:u w:val="none"/>
                <w:lang w:val="en-US" w:eastAsia="zh-CN" w:bidi="ar"/>
              </w:rPr>
              <w:t>，得1分，否则不得分；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⑤项目完成后实施了绩效自评，并编制绩效自评报告或绩效自评表，自评报告格式、内容符合要求</w:t>
            </w:r>
            <w:r>
              <w:rPr>
                <w:rFonts w:hint="eastAsia" w:cs="仿宋"/>
                <w:i w:val="0"/>
                <w:iCs w:val="0"/>
                <w:color w:val="000000"/>
                <w:kern w:val="0"/>
                <w:sz w:val="20"/>
                <w:szCs w:val="20"/>
                <w:u w:val="none"/>
                <w:lang w:val="en-US" w:eastAsia="zh-CN" w:bidi="ar"/>
              </w:rPr>
              <w:t>，</w:t>
            </w:r>
            <w:r>
              <w:rPr>
                <w:rFonts w:hint="eastAsia" w:ascii="仿宋" w:hAnsi="仿宋" w:eastAsia="仿宋" w:cs="仿宋"/>
                <w:i w:val="0"/>
                <w:iCs w:val="0"/>
                <w:color w:val="000000"/>
                <w:kern w:val="0"/>
                <w:sz w:val="20"/>
                <w:szCs w:val="20"/>
                <w:u w:val="none"/>
                <w:lang w:val="en-US" w:eastAsia="zh-CN" w:bidi="ar"/>
              </w:rPr>
              <w:t>得0.5分，缺1项扣0.1分，扣完为止；</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⑥编报了部门预算整体支出绩效自评报告</w:t>
            </w:r>
            <w:r>
              <w:rPr>
                <w:rFonts w:hint="eastAsia" w:cs="仿宋"/>
                <w:i w:val="0"/>
                <w:iCs w:val="0"/>
                <w:color w:val="000000"/>
                <w:kern w:val="0"/>
                <w:sz w:val="20"/>
                <w:szCs w:val="20"/>
                <w:u w:val="none"/>
                <w:lang w:val="en-US" w:eastAsia="zh-CN" w:bidi="ar"/>
              </w:rPr>
              <w:t>且规范</w:t>
            </w:r>
            <w:r>
              <w:rPr>
                <w:rFonts w:hint="eastAsia" w:ascii="仿宋" w:hAnsi="仿宋" w:eastAsia="仿宋" w:cs="仿宋"/>
                <w:i w:val="0"/>
                <w:iCs w:val="0"/>
                <w:color w:val="000000"/>
                <w:kern w:val="0"/>
                <w:sz w:val="20"/>
                <w:szCs w:val="20"/>
                <w:u w:val="none"/>
                <w:lang w:val="en-US" w:eastAsia="zh-CN" w:bidi="ar"/>
              </w:rPr>
              <w:t>，得1分，否则不得分。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财务管理</w:t>
            </w: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财务管理规范性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评价部门为加强预算管理、规范财务行为而制定的财务管理制度是否健全完整，用以反映部门财务管理合规性方面的管理情况。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①已制定或具有预算资金管理办法、内部财务管理制度、会计核算制度等管理制度，得1分，否则不得分；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②相关管理制度合法、合规、完整，</w:t>
            </w:r>
            <w:bookmarkStart w:id="323" w:name="_GoBack"/>
            <w:bookmarkEnd w:id="323"/>
            <w:r>
              <w:rPr>
                <w:rFonts w:hint="eastAsia" w:ascii="仿宋" w:hAnsi="仿宋" w:eastAsia="仿宋" w:cs="仿宋"/>
                <w:i w:val="0"/>
                <w:iCs w:val="0"/>
                <w:color w:val="000000"/>
                <w:kern w:val="0"/>
                <w:sz w:val="20"/>
                <w:szCs w:val="20"/>
                <w:u w:val="none"/>
                <w:lang w:val="en-US" w:eastAsia="zh-CN" w:bidi="ar"/>
              </w:rPr>
              <w:t>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财务管理有效性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评价部门2021年度预算资金的规范运行情况，考核部门使用预算资金是否符合相关的预算财务管理制度的规定，用以反映收支管理有效性方面的管理情况。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①资金使用符合国家财经法规和财务管理制度规定以及有关专项资金管理办法的规定，得1分，否则不得分；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②资金的拨付有完整的审批程序和手续，得0.5分，否则不得分；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③项目的重大开支经过评估论证，得0.5分，否则不得分；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④资金使用符合部门预算批复的用途，得1分，否则不得分；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⑤不存在截留、挤占、挪用、虚列支出等情况，得1分，否则不得分。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资产管理</w:t>
            </w:r>
          </w:p>
        </w:tc>
        <w:tc>
          <w:tcPr>
            <w:tcW w:w="261" w:type="pct"/>
            <w:vMerge w:val="restar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资产管理规范性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部门为加强资产管理、规范资产管理行为而制定的管理制度是否健全完整，部门的资产是否保存完整、使用合规、处置规范、收入及时足额上缴。</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①制定或具有资产管理制度得1分，否则不得分；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②相关资产管理制度合法、合规、完整得1分，否则不得分；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③资产保存完整，得1分，否则不得分；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④资产处置规范、资产有偿使用及处置收入及时足额上缴，得0.5分，否则不得分；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⑤资产账务管理合规，帐实相符，得0.5分，否则不得分；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⑥资产管理制度有效执行，得1分，否则不得分。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固定资产利用率</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部门实际在用固定资产总额与所有固定资产总额的比率，用以反映和考核部门固定资产使用效率程度。</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固定资产利用率=（实际在用固定资产总额/所有固定资产总额）×100%。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①固定资产利用率大于或等于90%的，得1分；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②固定资产利用率小于或等于80%的，得0分；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③固定资产利用率在80%-90%之间的，在0和1分之间按比例计算确定：</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得分=（固定资产利用率-80%）/（90%-80%）×该指标分值1分。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其他管理</w:t>
            </w:r>
          </w:p>
        </w:tc>
        <w:tc>
          <w:tcPr>
            <w:tcW w:w="261" w:type="pct"/>
            <w:vMerge w:val="restar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政府采购管理</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部门实际政府采购金额与预算安排的政府采购金额的比率，用以反映和考核年度政府采购预算执行情况。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政府采购执行率=（实际政府采购金额/政府采购预算金额）×100%；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①政府采购执行率大于85%小于等于100%的，得1分；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②政府采购执行率小于或等于85%或大于100%，得0分。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nil"/>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预算信息公开</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部门是否按照政府信息公开有关规定公开相关预决算信息，用以反映和考核部门预决算管理的公开透明情况。</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①按规定内容公开预决算信息得0.5分，否则不得分；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②按规定时限公开预决算信息得0.5分，否则不得分。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社会效应</w:t>
            </w:r>
          </w:p>
        </w:tc>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经济社会影响</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提高便民服务程度</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项目实施在优化便民服务方面所起的作用</w:t>
            </w:r>
          </w:p>
        </w:tc>
        <w:tc>
          <w:tcPr>
            <w:tcW w:w="18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通过项目的实施，在优化便民服务方面起到积极作用（减少群众办事时间，优化流程和方式），得6分；作用一般（虽起到作用，但仍存在提升空间），得3分；作用很小的，不得分。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支持居民住房贷款需求</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住房公积中中心开展的业务在支持刚性及改善性住房贷款需求方面所起的作用。</w:t>
            </w:r>
          </w:p>
        </w:tc>
        <w:tc>
          <w:tcPr>
            <w:tcW w:w="18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过项目实施，在贷款需求用户办理贷款方面起到积极作用（贷款需求有求必应，贷款办理额度与贷款申请额度比率为100%），得6分；作用一般（未做到有求必应，贷款办理额度与贷款申请额度比率低于100%大于90%，得3分；作用不明显（低于上述标准），得1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社会满意</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服务对象满意度</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缴存住房公积金居民对住房公积金中心履职工作的满意程度。</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得分=服务对象有效调查问卷分数平均值×100%×4</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管理对象满意度</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住房公积金中心单位职工对本单位履职工作的满意程度。</w:t>
            </w:r>
          </w:p>
        </w:tc>
        <w:tc>
          <w:tcPr>
            <w:tcW w:w="1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得分=管理对象有效调查问卷分数平均值×100%×4</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trPr>
        <w:tc>
          <w:tcPr>
            <w:tcW w:w="260" w:type="pct"/>
            <w:vMerge w:val="restar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可持续性</w:t>
            </w:r>
          </w:p>
        </w:tc>
        <w:tc>
          <w:tcPr>
            <w:tcW w:w="260" w:type="pct"/>
            <w:vMerge w:val="restar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61" w:type="pc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体制机制改革</w:t>
            </w:r>
          </w:p>
        </w:tc>
        <w:tc>
          <w:tcPr>
            <w:tcW w:w="261" w:type="pc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信息化建设工作有效性</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评价业务信息化建设对部门工作持续良性发展所起作用。</w:t>
            </w:r>
          </w:p>
        </w:tc>
        <w:tc>
          <w:tcPr>
            <w:tcW w:w="18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积金业务信息化系统对促进部门科学管理起到积极作用（信息化手段便于数据查询、缴存、提取、贷款），得5分；作用一般(系统功能存在欠缺，对部门业务科学管理存在限制），得3分；作用不明显（低于上述标准），得1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2" w:hRule="atLeast"/>
        </w:trPr>
        <w:tc>
          <w:tcPr>
            <w:tcW w:w="260" w:type="pct"/>
            <w:vMerge w:val="continue"/>
            <w:tcBorders>
              <w:top w:val="nil"/>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0" w:type="pct"/>
            <w:vMerge w:val="continue"/>
            <w:tcBorders>
              <w:top w:val="nil"/>
              <w:left w:val="single" w:color="000000" w:sz="4" w:space="0"/>
              <w:bottom w:val="nil"/>
              <w:right w:val="single" w:color="000000" w:sz="4" w:space="0"/>
            </w:tcBorders>
            <w:shd w:val="clear" w:color="auto" w:fill="FFFFFF"/>
            <w:vAlign w:val="center"/>
          </w:tcPr>
          <w:p>
            <w:pPr>
              <w:jc w:val="center"/>
              <w:rPr>
                <w:rFonts w:hint="eastAsia" w:ascii="仿宋" w:hAnsi="仿宋" w:eastAsia="仿宋" w:cs="仿宋"/>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干部队伍建设</w:t>
            </w: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人力资源建设保障程度</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1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评价部门人才培养计划、激励措施、人才培训工作有效开展情况。</w:t>
            </w:r>
          </w:p>
        </w:tc>
        <w:tc>
          <w:tcPr>
            <w:tcW w:w="18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通过人才培养计划、激励措施、人才培训工作开展，对促进住房公积金中心部门工作有效开展起到积极作用（干部队伍建设成果显著、职工工作效率积极），得5分；作用一般（虽取得一定成果，但存在一定程度欠缺），得3分；作用不明显（低于上述标准），得1分。</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c>
          <w:tcPr>
            <w:tcW w:w="11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b/>
                <w:bCs/>
                <w:i w:val="0"/>
                <w:iCs w:val="0"/>
                <w:color w:val="000000"/>
                <w:sz w:val="20"/>
                <w:szCs w:val="20"/>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89.32</w:t>
            </w:r>
          </w:p>
        </w:tc>
      </w:tr>
    </w:tbl>
    <w:p>
      <w:pPr>
        <w:pStyle w:val="15"/>
        <w:widowControl w:val="0"/>
        <w:spacing w:after="0" w:line="550" w:lineRule="exact"/>
        <w:ind w:left="0" w:leftChars="0" w:firstLine="320" w:firstLineChars="200"/>
        <w:sectPr>
          <w:footerReference r:id="rId12" w:type="first"/>
          <w:footerReference r:id="rId11" w:type="default"/>
          <w:pgSz w:w="16838" w:h="11906" w:orient="landscape"/>
          <w:pgMar w:top="1701" w:right="1247" w:bottom="1701" w:left="1247" w:header="851" w:footer="850" w:gutter="0"/>
          <w:cols w:space="720" w:num="1"/>
          <w:titlePg/>
          <w:docGrid w:type="lines" w:linePitch="381" w:charSpace="0"/>
        </w:sectPr>
      </w:pPr>
    </w:p>
    <w:p>
      <w:pPr>
        <w:pStyle w:val="2"/>
        <w:spacing w:before="0" w:after="156" w:afterLines="50" w:line="560" w:lineRule="exact"/>
        <w:rPr>
          <w:sz w:val="28"/>
        </w:rPr>
      </w:pPr>
      <w:bookmarkStart w:id="305" w:name="_Toc22075"/>
      <w:bookmarkStart w:id="306" w:name="_Toc15693"/>
      <w:bookmarkStart w:id="307" w:name="_Toc17920"/>
      <w:r>
        <w:rPr>
          <w:rFonts w:hint="eastAsia"/>
          <w:sz w:val="28"/>
        </w:rPr>
        <w:t>附件3:        部门基础信息及部门自评情况表</w:t>
      </w:r>
      <w:bookmarkEnd w:id="30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3517"/>
        <w:gridCol w:w="1276"/>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209" w:type="dxa"/>
            <w:tcBorders>
              <w:top w:val="single" w:color="auto" w:sz="4" w:space="0"/>
              <w:left w:val="single" w:color="auto" w:sz="4" w:space="0"/>
              <w:bottom w:val="single" w:color="auto" w:sz="4" w:space="0"/>
              <w:right w:val="single" w:color="auto" w:sz="4" w:space="0"/>
            </w:tcBorders>
            <w:vAlign w:val="center"/>
          </w:tcPr>
          <w:p>
            <w:pPr>
              <w:widowControl w:val="0"/>
              <w:jc w:val="center"/>
              <w:rPr>
                <w:sz w:val="24"/>
                <w:szCs w:val="24"/>
                <w:lang w:bidi="ar"/>
              </w:rPr>
            </w:pPr>
            <w:r>
              <w:rPr>
                <w:rFonts w:hint="eastAsia"/>
                <w:sz w:val="24"/>
                <w:szCs w:val="24"/>
                <w:lang w:bidi="ar"/>
              </w:rPr>
              <w:t>项目名称</w:t>
            </w:r>
          </w:p>
        </w:tc>
        <w:tc>
          <w:tcPr>
            <w:tcW w:w="3517" w:type="dxa"/>
            <w:tcBorders>
              <w:top w:val="single" w:color="auto" w:sz="4" w:space="0"/>
              <w:left w:val="single" w:color="auto" w:sz="4" w:space="0"/>
              <w:bottom w:val="single" w:color="auto" w:sz="4" w:space="0"/>
              <w:right w:val="single" w:color="auto" w:sz="4" w:space="0"/>
            </w:tcBorders>
            <w:vAlign w:val="center"/>
          </w:tcPr>
          <w:p>
            <w:pPr>
              <w:widowControl w:val="0"/>
              <w:jc w:val="center"/>
              <w:rPr>
                <w:sz w:val="24"/>
                <w:szCs w:val="24"/>
                <w:lang w:bidi="ar"/>
              </w:rPr>
            </w:pPr>
            <w:r>
              <w:rPr>
                <w:rFonts w:hint="eastAsia"/>
                <w:sz w:val="24"/>
                <w:szCs w:val="24"/>
                <w:lang w:bidi="ar"/>
              </w:rPr>
              <w:t>运城市住房公积金管理中心2021年部门整体支出绩效评价报告</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jc w:val="center"/>
              <w:rPr>
                <w:sz w:val="24"/>
                <w:szCs w:val="24"/>
                <w:lang w:bidi="ar"/>
              </w:rPr>
            </w:pPr>
            <w:r>
              <w:rPr>
                <w:rFonts w:hint="eastAsia"/>
                <w:sz w:val="24"/>
                <w:szCs w:val="24"/>
                <w:lang w:bidi="ar"/>
              </w:rPr>
              <w:t>项目主管部门</w:t>
            </w:r>
          </w:p>
        </w:tc>
        <w:tc>
          <w:tcPr>
            <w:tcW w:w="2436" w:type="dxa"/>
            <w:tcBorders>
              <w:top w:val="single" w:color="auto" w:sz="4" w:space="0"/>
              <w:left w:val="single" w:color="auto" w:sz="4" w:space="0"/>
              <w:bottom w:val="single" w:color="auto" w:sz="4" w:space="0"/>
              <w:right w:val="single" w:color="auto" w:sz="4" w:space="0"/>
            </w:tcBorders>
            <w:vAlign w:val="center"/>
          </w:tcPr>
          <w:p>
            <w:pPr>
              <w:widowControl w:val="0"/>
              <w:jc w:val="center"/>
              <w:rPr>
                <w:sz w:val="24"/>
                <w:szCs w:val="24"/>
                <w:lang w:bidi="ar"/>
              </w:rPr>
            </w:pPr>
            <w:r>
              <w:rPr>
                <w:rFonts w:hint="eastAsia"/>
                <w:sz w:val="24"/>
                <w:szCs w:val="24"/>
                <w:lang w:bidi="ar"/>
              </w:rPr>
              <w:t>运城市住房公积金管理中心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09" w:type="dxa"/>
            <w:tcBorders>
              <w:top w:val="single" w:color="auto" w:sz="4" w:space="0"/>
              <w:left w:val="single" w:color="auto" w:sz="4" w:space="0"/>
              <w:bottom w:val="single" w:color="auto" w:sz="4" w:space="0"/>
              <w:right w:val="single" w:color="auto" w:sz="4" w:space="0"/>
            </w:tcBorders>
          </w:tcPr>
          <w:p>
            <w:pPr>
              <w:widowControl w:val="0"/>
              <w:jc w:val="center"/>
              <w:rPr>
                <w:sz w:val="24"/>
                <w:szCs w:val="24"/>
              </w:rPr>
            </w:pPr>
            <w:r>
              <w:rPr>
                <w:rFonts w:hint="eastAsia"/>
                <w:sz w:val="24"/>
                <w:szCs w:val="24"/>
              </w:rPr>
              <w:t>项目计划实施期间</w:t>
            </w:r>
          </w:p>
        </w:tc>
        <w:tc>
          <w:tcPr>
            <w:tcW w:w="7229" w:type="dxa"/>
            <w:gridSpan w:val="3"/>
            <w:tcBorders>
              <w:top w:val="single" w:color="auto" w:sz="4" w:space="0"/>
              <w:left w:val="single" w:color="auto" w:sz="4" w:space="0"/>
              <w:bottom w:val="single" w:color="auto" w:sz="4" w:space="0"/>
              <w:right w:val="single" w:color="auto" w:sz="4" w:space="0"/>
            </w:tcBorders>
            <w:vAlign w:val="center"/>
          </w:tcPr>
          <w:p>
            <w:pPr>
              <w:widowControl w:val="0"/>
              <w:jc w:val="center"/>
              <w:rPr>
                <w:sz w:val="24"/>
                <w:szCs w:val="24"/>
              </w:rPr>
            </w:pPr>
            <w:r>
              <w:rPr>
                <w:rFonts w:hint="eastAsia"/>
                <w:sz w:val="24"/>
                <w:szCs w:val="24"/>
              </w:rPr>
              <w:t>2021年1月至2021年12月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trPr>
        <w:tc>
          <w:tcPr>
            <w:tcW w:w="8438" w:type="dxa"/>
            <w:gridSpan w:val="4"/>
            <w:tcBorders>
              <w:top w:val="single" w:color="auto" w:sz="4" w:space="0"/>
              <w:left w:val="single" w:color="auto" w:sz="4" w:space="0"/>
              <w:bottom w:val="single" w:color="auto" w:sz="4" w:space="0"/>
              <w:right w:val="single" w:color="auto" w:sz="4" w:space="0"/>
            </w:tcBorders>
          </w:tcPr>
          <w:p>
            <w:pPr>
              <w:widowControl w:val="0"/>
              <w:jc w:val="left"/>
              <w:rPr>
                <w:sz w:val="24"/>
                <w:szCs w:val="24"/>
              </w:rPr>
            </w:pPr>
            <w:r>
              <w:rPr>
                <w:rFonts w:hint="eastAsia"/>
                <w:b/>
                <w:bCs/>
                <w:sz w:val="24"/>
                <w:szCs w:val="24"/>
                <w:lang w:bidi="ar"/>
              </w:rPr>
              <w:t>项目基本情况介绍：</w:t>
            </w:r>
          </w:p>
          <w:p>
            <w:pPr>
              <w:widowControl w:val="0"/>
              <w:ind w:firstLine="480" w:firstLineChars="200"/>
              <w:rPr>
                <w:sz w:val="24"/>
                <w:szCs w:val="24"/>
                <w:lang w:bidi="ar"/>
              </w:rPr>
            </w:pPr>
            <w:r>
              <w:rPr>
                <w:rFonts w:hint="eastAsia"/>
                <w:sz w:val="24"/>
                <w:szCs w:val="24"/>
                <w:lang w:bidi="ar"/>
              </w:rPr>
              <w:t>运城市住房公积金管理中心位于运城市盐湖区太乙街1591号，登记机关为运城市事业单位登记管理局，是直属市政府的全额事业单位，负责人：张军，统一社会信用代码为12141000408312438U。</w:t>
            </w:r>
          </w:p>
          <w:p>
            <w:pPr>
              <w:widowControl w:val="0"/>
              <w:ind w:firstLine="480" w:firstLineChars="200"/>
              <w:rPr>
                <w:sz w:val="24"/>
                <w:szCs w:val="24"/>
                <w:lang w:bidi="ar"/>
              </w:rPr>
            </w:pPr>
            <w:r>
              <w:rPr>
                <w:rFonts w:hint="eastAsia"/>
                <w:sz w:val="24"/>
                <w:szCs w:val="24"/>
                <w:lang w:bidi="ar"/>
              </w:rPr>
              <w:t>运城市住房公积金管理中心是运城市人民政府直属事业单位，公益一类，为正处级，内设办公室、组织人事部、计划财务部、归集管理部、贷款管理部、信息技术部、审计稽核部、监督管理部、服务管理部9个职能办公室和不具备独立法人资格的管理部14个。</w:t>
            </w:r>
          </w:p>
          <w:p>
            <w:pPr>
              <w:widowControl w:val="0"/>
              <w:ind w:firstLine="480" w:firstLineChars="200"/>
              <w:rPr>
                <w:sz w:val="24"/>
                <w:szCs w:val="24"/>
                <w:lang w:bidi="ar"/>
              </w:rPr>
            </w:pPr>
            <w:r>
              <w:rPr>
                <w:rFonts w:hint="eastAsia"/>
                <w:sz w:val="24"/>
                <w:szCs w:val="24"/>
                <w:lang w:bidi="ar"/>
              </w:rPr>
              <w:t>运城市住房公积金管理中心财政拨款事业编制113名，实有在编人数173人，其中:财政拨款事业编制88人、自收自支人员85人。</w:t>
            </w:r>
          </w:p>
          <w:p>
            <w:pPr>
              <w:widowControl w:val="0"/>
              <w:ind w:firstLine="480" w:firstLineChars="200"/>
              <w:rPr>
                <w:sz w:val="24"/>
                <w:szCs w:val="24"/>
                <w:lang w:bidi="ar"/>
              </w:rPr>
            </w:pPr>
            <w:r>
              <w:rPr>
                <w:rFonts w:hint="eastAsia"/>
                <w:sz w:val="24"/>
                <w:szCs w:val="24"/>
                <w:lang w:bidi="ar"/>
              </w:rPr>
              <w:t>部门主要职责：</w:t>
            </w:r>
          </w:p>
          <w:p>
            <w:pPr>
              <w:widowControl w:val="0"/>
              <w:ind w:firstLine="480" w:firstLineChars="200"/>
              <w:rPr>
                <w:sz w:val="24"/>
                <w:szCs w:val="24"/>
                <w:lang w:bidi="ar"/>
              </w:rPr>
            </w:pPr>
            <w:r>
              <w:rPr>
                <w:rFonts w:hint="eastAsia"/>
                <w:sz w:val="24"/>
                <w:szCs w:val="24"/>
                <w:lang w:bidi="ar"/>
              </w:rPr>
              <w:t>（1）贯彻落实住房公积金管理工作的方针政策、法律法规和市委、市政府工作安排。</w:t>
            </w:r>
          </w:p>
          <w:p>
            <w:pPr>
              <w:widowControl w:val="0"/>
              <w:ind w:firstLine="480" w:firstLineChars="200"/>
              <w:rPr>
                <w:sz w:val="24"/>
                <w:szCs w:val="24"/>
                <w:lang w:bidi="ar"/>
              </w:rPr>
            </w:pPr>
            <w:r>
              <w:rPr>
                <w:rFonts w:hint="eastAsia"/>
                <w:sz w:val="24"/>
                <w:szCs w:val="24"/>
                <w:lang w:bidi="ar"/>
              </w:rPr>
              <w:t>（2）编制、执行住房公积金的归集、使用计划。</w:t>
            </w:r>
          </w:p>
          <w:p>
            <w:pPr>
              <w:widowControl w:val="0"/>
              <w:ind w:firstLine="480" w:firstLineChars="200"/>
              <w:rPr>
                <w:sz w:val="24"/>
                <w:szCs w:val="24"/>
                <w:lang w:bidi="ar"/>
              </w:rPr>
            </w:pPr>
            <w:r>
              <w:rPr>
                <w:rFonts w:hint="eastAsia"/>
                <w:sz w:val="24"/>
                <w:szCs w:val="24"/>
                <w:lang w:bidi="ar"/>
              </w:rPr>
              <w:t>（3）负责记载职工住房公积金的缴存、提取、使用等情况。</w:t>
            </w:r>
          </w:p>
          <w:p>
            <w:pPr>
              <w:widowControl w:val="0"/>
              <w:ind w:firstLine="480" w:firstLineChars="200"/>
              <w:rPr>
                <w:sz w:val="24"/>
                <w:szCs w:val="24"/>
                <w:lang w:bidi="ar"/>
              </w:rPr>
            </w:pPr>
            <w:r>
              <w:rPr>
                <w:rFonts w:hint="eastAsia"/>
                <w:sz w:val="24"/>
                <w:szCs w:val="24"/>
                <w:lang w:bidi="ar"/>
              </w:rPr>
              <w:t>（4）负责住房公积金的核算。</w:t>
            </w:r>
          </w:p>
          <w:p>
            <w:pPr>
              <w:widowControl w:val="0"/>
              <w:ind w:firstLine="480" w:firstLineChars="200"/>
              <w:rPr>
                <w:sz w:val="24"/>
                <w:szCs w:val="24"/>
                <w:lang w:bidi="ar"/>
              </w:rPr>
            </w:pPr>
            <w:r>
              <w:rPr>
                <w:rFonts w:hint="eastAsia"/>
                <w:sz w:val="24"/>
                <w:szCs w:val="24"/>
                <w:lang w:bidi="ar"/>
              </w:rPr>
              <w:t>（5）审批住房公积金的提取、使用。</w:t>
            </w:r>
          </w:p>
          <w:p>
            <w:pPr>
              <w:pStyle w:val="7"/>
              <w:rPr>
                <w:rFonts w:ascii="仿宋" w:eastAsia="仿宋"/>
                <w:sz w:val="24"/>
                <w:szCs w:val="24"/>
                <w:lang w:bidi="ar"/>
              </w:rPr>
            </w:pPr>
            <w:r>
              <w:rPr>
                <w:rFonts w:hint="eastAsia"/>
                <w:sz w:val="24"/>
                <w:szCs w:val="24"/>
                <w:lang w:bidi="ar"/>
              </w:rPr>
              <w:t xml:space="preserve">   </w:t>
            </w:r>
            <w:r>
              <w:rPr>
                <w:rFonts w:hint="eastAsia" w:ascii="仿宋" w:eastAsia="仿宋"/>
                <w:sz w:val="24"/>
                <w:szCs w:val="24"/>
                <w:lang w:bidi="ar"/>
              </w:rPr>
              <w:t xml:space="preserve"> （6）负责住房公积金的保值和归还。</w:t>
            </w:r>
          </w:p>
          <w:p>
            <w:pPr>
              <w:widowControl w:val="0"/>
              <w:ind w:firstLine="480" w:firstLineChars="200"/>
              <w:rPr>
                <w:sz w:val="24"/>
                <w:szCs w:val="24"/>
                <w:lang w:bidi="ar"/>
              </w:rPr>
            </w:pPr>
            <w:r>
              <w:rPr>
                <w:rFonts w:hint="eastAsia"/>
                <w:sz w:val="24"/>
                <w:szCs w:val="24"/>
                <w:lang w:bidi="ar"/>
              </w:rPr>
              <w:t>（7）编制住房公积金归集、使用计划执行情况的报告。</w:t>
            </w:r>
          </w:p>
          <w:p>
            <w:pPr>
              <w:widowControl w:val="0"/>
              <w:ind w:firstLine="480" w:firstLineChars="200"/>
              <w:rPr>
                <w:sz w:val="24"/>
                <w:szCs w:val="24"/>
                <w:lang w:bidi="ar"/>
              </w:rPr>
            </w:pPr>
            <w:r>
              <w:rPr>
                <w:rFonts w:hint="eastAsia"/>
                <w:sz w:val="24"/>
                <w:szCs w:val="24"/>
                <w:lang w:bidi="ar"/>
              </w:rPr>
              <w:t>（8）承办市住房公积金管理委员会决定的其他事项。</w:t>
            </w:r>
          </w:p>
          <w:p>
            <w:pPr>
              <w:widowControl w:val="0"/>
              <w:ind w:firstLine="480" w:firstLineChars="200"/>
              <w:rPr>
                <w:sz w:val="24"/>
                <w:szCs w:val="24"/>
                <w:lang w:bidi="ar"/>
              </w:rPr>
            </w:pPr>
            <w:r>
              <w:rPr>
                <w:rFonts w:hint="eastAsia"/>
                <w:sz w:val="24"/>
                <w:szCs w:val="24"/>
                <w:lang w:bidi="ar"/>
              </w:rPr>
              <w:t>（9）完成市委、市政府交办的其它事项。　</w:t>
            </w:r>
          </w:p>
          <w:p>
            <w:pPr>
              <w:widowControl w:val="0"/>
              <w:ind w:firstLine="480" w:firstLineChars="200"/>
              <w:rPr>
                <w:sz w:val="24"/>
                <w:szCs w:val="24"/>
                <w:lang w:bidi="ar"/>
              </w:rPr>
            </w:pPr>
            <w:r>
              <w:rPr>
                <w:rFonts w:hint="eastAsia"/>
                <w:sz w:val="24"/>
                <w:szCs w:val="24"/>
                <w:lang w:bidi="ar"/>
              </w:rPr>
              <w:t>2021年运城市住房公积金管理中心预算资金总额3,054.27万元（2020年结余资金0万元，2021年初部门预算资金3,054.27万元）。其中：基本支出1,887.89万元，项目支出1,166.38万元。</w:t>
            </w:r>
          </w:p>
          <w:p>
            <w:pPr>
              <w:widowControl w:val="0"/>
              <w:ind w:firstLine="480" w:firstLineChars="200"/>
              <w:rPr>
                <w:sz w:val="24"/>
                <w:szCs w:val="24"/>
              </w:rPr>
            </w:pPr>
            <w:r>
              <w:rPr>
                <w:rFonts w:hint="eastAsia"/>
                <w:sz w:val="24"/>
                <w:szCs w:val="24"/>
                <w:lang w:bidi="ar"/>
              </w:rPr>
              <w:t>2021年度预算资金实际到位2,872.49万元，部门实际支出资金2,872.49万元，其中：基本支出1,785.75万元，项目支出1,086.74万元，期末部门结余资金0元。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438" w:type="dxa"/>
            <w:gridSpan w:val="4"/>
            <w:tcBorders>
              <w:top w:val="single" w:color="auto" w:sz="4" w:space="0"/>
              <w:left w:val="single" w:color="auto" w:sz="4" w:space="0"/>
              <w:bottom w:val="single" w:color="auto" w:sz="4" w:space="0"/>
              <w:right w:val="single" w:color="auto" w:sz="4" w:space="0"/>
            </w:tcBorders>
          </w:tcPr>
          <w:p>
            <w:pPr>
              <w:widowControl w:val="0"/>
              <w:rPr>
                <w:b/>
                <w:bCs/>
                <w:sz w:val="24"/>
                <w:szCs w:val="24"/>
              </w:rPr>
            </w:pPr>
            <w:r>
              <w:rPr>
                <w:rFonts w:hint="eastAsia"/>
                <w:b/>
                <w:bCs/>
                <w:sz w:val="24"/>
                <w:szCs w:val="24"/>
                <w:lang w:bidi="ar"/>
              </w:rPr>
              <w:t>部门绩效目标：</w:t>
            </w:r>
          </w:p>
          <w:p>
            <w:pPr>
              <w:widowControl w:val="0"/>
              <w:ind w:firstLine="480" w:firstLineChars="200"/>
              <w:rPr>
                <w:sz w:val="24"/>
                <w:szCs w:val="24"/>
                <w:lang w:bidi="ar"/>
              </w:rPr>
            </w:pPr>
            <w:r>
              <w:rPr>
                <w:rFonts w:hint="eastAsia"/>
                <w:sz w:val="24"/>
                <w:szCs w:val="24"/>
                <w:lang w:bidi="ar"/>
              </w:rPr>
              <w:t>1、部门总体绩效目标</w:t>
            </w:r>
          </w:p>
          <w:p>
            <w:pPr>
              <w:widowControl w:val="0"/>
              <w:ind w:firstLine="480" w:firstLineChars="200"/>
              <w:rPr>
                <w:sz w:val="24"/>
                <w:szCs w:val="24"/>
                <w:lang w:bidi="ar"/>
              </w:rPr>
            </w:pPr>
            <w:r>
              <w:rPr>
                <w:rFonts w:hint="eastAsia"/>
                <w:sz w:val="24"/>
                <w:szCs w:val="24"/>
                <w:lang w:bidi="ar"/>
              </w:rPr>
              <w:t>全面贯彻党的各项方针、政策，围绕全市高质量发展大局，认真落实市委市政府、市住房公积金管委会的工作要求和决策部署。</w:t>
            </w:r>
          </w:p>
          <w:p>
            <w:pPr>
              <w:widowControl w:val="0"/>
              <w:ind w:firstLine="480" w:firstLineChars="200"/>
              <w:rPr>
                <w:sz w:val="24"/>
                <w:szCs w:val="24"/>
                <w:lang w:bidi="ar"/>
              </w:rPr>
            </w:pPr>
            <w:r>
              <w:rPr>
                <w:rFonts w:hint="eastAsia"/>
                <w:sz w:val="24"/>
                <w:szCs w:val="24"/>
                <w:lang w:bidi="ar"/>
              </w:rPr>
              <w:t>2、部门具体绩效目标</w:t>
            </w:r>
          </w:p>
          <w:p>
            <w:pPr>
              <w:widowControl w:val="0"/>
              <w:ind w:firstLine="480" w:firstLineChars="200"/>
              <w:rPr>
                <w:sz w:val="24"/>
                <w:szCs w:val="24"/>
                <w:lang w:bidi="ar"/>
              </w:rPr>
            </w:pPr>
            <w:r>
              <w:rPr>
                <w:rFonts w:hint="eastAsia"/>
                <w:sz w:val="24"/>
                <w:szCs w:val="24"/>
                <w:lang w:bidi="ar"/>
              </w:rPr>
              <w:t>（1）落实住房公积金相关政策，扩大住房公积金覆盖面，以提高个贷率为抓手，细化责任分解，强化归集扩面，优化使用政策，推动业务全面发展；</w:t>
            </w:r>
          </w:p>
          <w:p>
            <w:pPr>
              <w:widowControl w:val="0"/>
              <w:ind w:firstLine="480" w:firstLineChars="200"/>
              <w:rPr>
                <w:sz w:val="24"/>
                <w:szCs w:val="24"/>
                <w:lang w:bidi="ar"/>
              </w:rPr>
            </w:pPr>
            <w:r>
              <w:rPr>
                <w:rFonts w:hint="eastAsia"/>
                <w:sz w:val="24"/>
                <w:szCs w:val="24"/>
                <w:lang w:bidi="ar"/>
              </w:rPr>
              <w:t>（2）打造智慧服务平台，不断推进住房公积金业务简办流程，增加公积金业务网办功能，推动公积金业务“网上办”、“掌上办”业务；</w:t>
            </w:r>
          </w:p>
          <w:p>
            <w:pPr>
              <w:widowControl w:val="0"/>
              <w:ind w:firstLine="480" w:firstLineChars="200"/>
              <w:rPr>
                <w:sz w:val="24"/>
                <w:szCs w:val="24"/>
                <w:lang w:bidi="ar"/>
              </w:rPr>
            </w:pPr>
            <w:r>
              <w:rPr>
                <w:rFonts w:hint="eastAsia"/>
                <w:sz w:val="24"/>
                <w:szCs w:val="24"/>
                <w:lang w:bidi="ar"/>
              </w:rPr>
              <w:t>（3）编制、执行住房公积金的归集、使用计划和报告，负责记载职工住房公积金的缴存、提取、使用等情况；</w:t>
            </w:r>
          </w:p>
          <w:p>
            <w:pPr>
              <w:widowControl w:val="0"/>
              <w:ind w:firstLine="480" w:firstLineChars="200"/>
              <w:rPr>
                <w:sz w:val="24"/>
                <w:szCs w:val="24"/>
              </w:rPr>
            </w:pPr>
            <w:r>
              <w:rPr>
                <w:rFonts w:hint="eastAsia"/>
                <w:sz w:val="24"/>
                <w:szCs w:val="24"/>
                <w:lang w:bidi="ar"/>
              </w:rPr>
              <w:t>（4）审批住房公积金的提取、使用，负责住房公积金的保值和归还。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438" w:type="dxa"/>
            <w:gridSpan w:val="4"/>
            <w:tcBorders>
              <w:top w:val="single" w:color="auto" w:sz="4" w:space="0"/>
              <w:left w:val="single" w:color="auto" w:sz="4" w:space="0"/>
              <w:bottom w:val="single" w:color="auto" w:sz="4" w:space="0"/>
              <w:right w:val="single" w:color="auto" w:sz="4" w:space="0"/>
            </w:tcBorders>
          </w:tcPr>
          <w:p>
            <w:pPr>
              <w:widowControl w:val="0"/>
              <w:rPr>
                <w:b/>
                <w:bCs/>
                <w:sz w:val="24"/>
                <w:szCs w:val="24"/>
              </w:rPr>
            </w:pPr>
            <w:r>
              <w:rPr>
                <w:rFonts w:hint="eastAsia"/>
                <w:b/>
                <w:bCs/>
                <w:sz w:val="24"/>
                <w:szCs w:val="24"/>
                <w:lang w:bidi="ar"/>
              </w:rPr>
              <w:t>项目自评情况：</w:t>
            </w:r>
          </w:p>
          <w:p>
            <w:pPr>
              <w:widowControl w:val="0"/>
              <w:ind w:firstLine="480" w:firstLineChars="200"/>
              <w:rPr>
                <w:sz w:val="24"/>
                <w:szCs w:val="24"/>
                <w:lang w:bidi="ar"/>
              </w:rPr>
            </w:pPr>
            <w:r>
              <w:rPr>
                <w:rFonts w:hint="eastAsia"/>
                <w:sz w:val="24"/>
                <w:szCs w:val="24"/>
                <w:lang w:bidi="ar"/>
              </w:rPr>
              <w:t>运城市住房公积金管理中心对2021年部门整体支出进行了自评，自评报告内容包括：部门基本情况、部门整体支出情况、部门整体支出绩效情况（预算配置、预算执行、预算管理、资产管理、职责履行、履职效益方面展开分析）、评价结论与主要绩效、存在问题、改进措施及建议。</w:t>
            </w:r>
          </w:p>
          <w:p>
            <w:pPr>
              <w:widowControl w:val="0"/>
              <w:ind w:firstLine="480" w:firstLineChars="200"/>
              <w:rPr>
                <w:sz w:val="24"/>
                <w:szCs w:val="24"/>
              </w:rPr>
            </w:pPr>
            <w:r>
              <w:rPr>
                <w:rFonts w:hint="eastAsia"/>
                <w:sz w:val="24"/>
                <w:szCs w:val="24"/>
                <w:lang w:bidi="ar"/>
              </w:rPr>
              <w:t>从内容完整性、格式规范性、指标评价准备性方面来看，自评报告编制较好。但是自评报告仍存在缺陷，未对主要经验做法、部门管理存在的主要问题等进行描述分析，提出相应的改进措施和建议。</w:t>
            </w:r>
          </w:p>
        </w:tc>
      </w:tr>
    </w:tbl>
    <w:p>
      <w:pPr>
        <w:pStyle w:val="7"/>
        <w:widowControl w:val="0"/>
        <w:spacing w:line="560" w:lineRule="exact"/>
        <w:jc w:val="left"/>
        <w:outlineLvl w:val="0"/>
        <w:rPr>
          <w:rFonts w:ascii="仿宋" w:eastAsia="仿宋"/>
          <w:sz w:val="22"/>
          <w:szCs w:val="22"/>
        </w:rPr>
        <w:sectPr>
          <w:footerReference r:id="rId13" w:type="default"/>
          <w:pgSz w:w="11906" w:h="16838"/>
          <w:pgMar w:top="1440" w:right="1800" w:bottom="1440" w:left="1800" w:header="851" w:footer="992" w:gutter="0"/>
          <w:cols w:space="425" w:num="1"/>
          <w:docGrid w:type="lines" w:linePitch="312" w:charSpace="0"/>
        </w:sectPr>
      </w:pPr>
    </w:p>
    <w:p>
      <w:pPr>
        <w:pStyle w:val="2"/>
        <w:spacing w:before="0" w:after="0" w:line="480" w:lineRule="auto"/>
        <w:rPr>
          <w:sz w:val="28"/>
        </w:rPr>
      </w:pPr>
      <w:bookmarkStart w:id="308" w:name="_Toc24919"/>
      <w:bookmarkStart w:id="309" w:name="_Toc352"/>
      <w:r>
        <w:rPr>
          <w:rFonts w:hint="eastAsia"/>
          <w:sz w:val="28"/>
        </w:rPr>
        <w:t>附件4：访谈报告</w:t>
      </w:r>
      <w:bookmarkEnd w:id="308"/>
      <w:bookmarkEnd w:id="309"/>
    </w:p>
    <w:p>
      <w:pPr>
        <w:pStyle w:val="61"/>
        <w:widowControl/>
        <w:spacing w:line="560" w:lineRule="exact"/>
        <w:ind w:firstLine="562"/>
        <w:jc w:val="center"/>
        <w:rPr>
          <w:rFonts w:ascii="仿宋" w:hAnsi="仿宋" w:eastAsia="仿宋" w:cs="仿宋"/>
          <w:b/>
          <w:sz w:val="28"/>
          <w:szCs w:val="28"/>
        </w:rPr>
      </w:pPr>
      <w:r>
        <w:rPr>
          <w:rFonts w:hint="eastAsia" w:ascii="仿宋" w:hAnsi="仿宋" w:eastAsia="仿宋" w:cs="仿宋"/>
          <w:b/>
          <w:sz w:val="28"/>
          <w:szCs w:val="28"/>
        </w:rPr>
        <w:t>运城市住房公积金管理中心</w:t>
      </w:r>
    </w:p>
    <w:p>
      <w:pPr>
        <w:pStyle w:val="61"/>
        <w:widowControl/>
        <w:spacing w:line="560" w:lineRule="exact"/>
        <w:ind w:firstLine="562"/>
        <w:jc w:val="center"/>
        <w:rPr>
          <w:rFonts w:ascii="仿宋" w:hAnsi="仿宋" w:eastAsia="仿宋" w:cs="仿宋"/>
          <w:b/>
          <w:sz w:val="28"/>
          <w:szCs w:val="28"/>
        </w:rPr>
      </w:pPr>
      <w:r>
        <w:rPr>
          <w:rFonts w:hint="eastAsia" w:ascii="仿宋" w:hAnsi="仿宋" w:eastAsia="仿宋" w:cs="仿宋"/>
          <w:b/>
          <w:sz w:val="28"/>
          <w:szCs w:val="28"/>
        </w:rPr>
        <w:t>2021年部门整体支出访谈报告</w:t>
      </w:r>
    </w:p>
    <w:p>
      <w:pPr>
        <w:widowControl w:val="0"/>
        <w:spacing w:line="560" w:lineRule="exact"/>
        <w:ind w:firstLine="560" w:firstLineChars="200"/>
        <w:textAlignment w:val="center"/>
        <w:rPr>
          <w:bCs/>
          <w:kern w:val="0"/>
        </w:rPr>
      </w:pPr>
      <w:r>
        <w:rPr>
          <w:rFonts w:hint="eastAsia"/>
          <w:bCs/>
          <w:kern w:val="0"/>
        </w:rPr>
        <w:t xml:space="preserve"> 一、访谈背景</w:t>
      </w:r>
    </w:p>
    <w:p>
      <w:pPr>
        <w:widowControl w:val="0"/>
        <w:spacing w:line="560" w:lineRule="exact"/>
        <w:ind w:firstLine="560" w:firstLineChars="200"/>
        <w:rPr>
          <w:bCs/>
          <w:kern w:val="0"/>
        </w:rPr>
      </w:pPr>
      <w:r>
        <w:rPr>
          <w:rFonts w:hint="eastAsia"/>
          <w:bCs/>
          <w:kern w:val="0"/>
        </w:rPr>
        <w:t>（一）访谈目的</w:t>
      </w:r>
    </w:p>
    <w:p>
      <w:pPr>
        <w:widowControl w:val="0"/>
        <w:spacing w:line="560" w:lineRule="exact"/>
        <w:ind w:firstLine="560" w:firstLineChars="200"/>
      </w:pPr>
      <w:r>
        <w:rPr>
          <w:rFonts w:hint="eastAsia"/>
        </w:rPr>
        <w:t>通过对运城市住房公积金管理中心相关负责人的访谈，了解部门职能、部门核心业能力实现程度和水平、智慧信息平台建设、干部队伍建设、预决算情况、项目立项及实施的效率和效益，发现资金使用和管理中的问题，为更好的使用财政补助资金建言献策。</w:t>
      </w:r>
    </w:p>
    <w:p>
      <w:pPr>
        <w:widowControl w:val="0"/>
        <w:spacing w:line="560" w:lineRule="exact"/>
        <w:ind w:firstLine="560" w:firstLineChars="200"/>
        <w:rPr>
          <w:bCs/>
          <w:kern w:val="0"/>
        </w:rPr>
      </w:pPr>
      <w:r>
        <w:rPr>
          <w:rFonts w:hint="eastAsia"/>
          <w:bCs/>
          <w:kern w:val="0"/>
        </w:rPr>
        <w:t>（二）访谈对象和访谈内容</w:t>
      </w:r>
    </w:p>
    <w:p>
      <w:pPr>
        <w:widowControl w:val="0"/>
        <w:spacing w:line="560" w:lineRule="exact"/>
        <w:ind w:firstLine="560" w:firstLineChars="200"/>
        <w:textAlignment w:val="center"/>
        <w:rPr>
          <w:bCs/>
          <w:kern w:val="0"/>
        </w:rPr>
      </w:pPr>
      <w:r>
        <w:rPr>
          <w:rFonts w:hint="eastAsia"/>
          <w:bCs/>
          <w:kern w:val="0"/>
        </w:rPr>
        <w:t>1、访谈对象</w:t>
      </w:r>
    </w:p>
    <w:p>
      <w:pPr>
        <w:widowControl w:val="0"/>
        <w:spacing w:line="560" w:lineRule="exact"/>
        <w:ind w:firstLine="560" w:firstLineChars="200"/>
      </w:pPr>
      <w:r>
        <w:rPr>
          <w:rFonts w:hint="eastAsia"/>
        </w:rPr>
        <w:t>本次绩效评价访谈对象包括：运城市住房公积金管理中心相关负责人。</w:t>
      </w:r>
    </w:p>
    <w:p>
      <w:pPr>
        <w:widowControl w:val="0"/>
        <w:spacing w:line="560" w:lineRule="exact"/>
        <w:ind w:firstLine="560" w:firstLineChars="200"/>
        <w:textAlignment w:val="center"/>
        <w:rPr>
          <w:bCs/>
          <w:kern w:val="0"/>
        </w:rPr>
      </w:pPr>
      <w:r>
        <w:rPr>
          <w:rFonts w:hint="eastAsia"/>
          <w:bCs/>
          <w:kern w:val="0"/>
        </w:rPr>
        <w:t>2、访谈内容</w:t>
      </w:r>
    </w:p>
    <w:p>
      <w:pPr>
        <w:widowControl w:val="0"/>
        <w:spacing w:line="560" w:lineRule="exact"/>
        <w:ind w:firstLine="560" w:firstLineChars="200"/>
        <w:rPr>
          <w:b/>
          <w:kern w:val="0"/>
        </w:rPr>
      </w:pPr>
      <w:r>
        <w:rPr>
          <w:rFonts w:hint="eastAsia"/>
        </w:rPr>
        <w:t>通过访谈了解部门职能、部门核心业能力实现程度和水平、智慧信息平台建设、干部队伍建设、预决算情况、资产管理情况、财务核算规范、项目立项及实施的效率和效益总体情况；了解预算的申请、审批及拨付流程，专项资金支出情况；部门相关工作的完成情况，项目申请、审批、支付流程及专项资金使用情况，以及项目实施中遇到的问题及建议等。</w:t>
      </w:r>
    </w:p>
    <w:p>
      <w:pPr>
        <w:widowControl w:val="0"/>
        <w:spacing w:line="560" w:lineRule="exact"/>
        <w:ind w:firstLine="560" w:firstLineChars="200"/>
        <w:textAlignment w:val="center"/>
        <w:rPr>
          <w:bCs/>
          <w:kern w:val="0"/>
        </w:rPr>
      </w:pPr>
      <w:r>
        <w:rPr>
          <w:rFonts w:hint="eastAsia"/>
          <w:bCs/>
          <w:kern w:val="0"/>
        </w:rPr>
        <w:t>二、访谈分析</w:t>
      </w:r>
    </w:p>
    <w:p>
      <w:pPr>
        <w:widowControl w:val="0"/>
        <w:spacing w:line="560" w:lineRule="exact"/>
        <w:ind w:firstLine="560" w:firstLineChars="200"/>
        <w:textAlignment w:val="center"/>
        <w:rPr>
          <w:bCs/>
          <w:kern w:val="0"/>
        </w:rPr>
      </w:pPr>
      <w:r>
        <w:rPr>
          <w:rFonts w:hint="eastAsia"/>
          <w:bCs/>
          <w:kern w:val="0"/>
        </w:rPr>
        <w:t>（一）部门的职责和编制人员情况</w:t>
      </w:r>
    </w:p>
    <w:p>
      <w:pPr>
        <w:widowControl w:val="0"/>
        <w:spacing w:line="560" w:lineRule="exact"/>
        <w:ind w:firstLine="560" w:firstLineChars="200"/>
        <w:textAlignment w:val="center"/>
        <w:rPr>
          <w:color w:val="000000"/>
        </w:rPr>
      </w:pPr>
      <w:r>
        <w:rPr>
          <w:rFonts w:hint="eastAsia"/>
          <w:color w:val="000000"/>
        </w:rPr>
        <w:t>现有财政拨款事业编制113名，实有人数173人，其中:财政拨款事业编制88人、自收自支人员85人。</w:t>
      </w:r>
    </w:p>
    <w:p>
      <w:pPr>
        <w:widowControl w:val="0"/>
        <w:spacing w:line="560" w:lineRule="exact"/>
        <w:ind w:firstLine="560" w:firstLineChars="200"/>
        <w:textAlignment w:val="center"/>
        <w:rPr>
          <w:color w:val="000000"/>
        </w:rPr>
      </w:pPr>
      <w:r>
        <w:rPr>
          <w:rFonts w:hint="eastAsia"/>
          <w:color w:val="000000"/>
        </w:rPr>
        <w:t>内设办公室、组织人事部、计划财务部、归集管理部、贷款管理部、信息技术部、审计稽核部、监督管理部、服务管理部9个职能办公室和不具备独立法人资格的管理部14个。</w:t>
      </w:r>
    </w:p>
    <w:p>
      <w:pPr>
        <w:widowControl w:val="0"/>
        <w:spacing w:line="560" w:lineRule="exact"/>
        <w:ind w:firstLine="560" w:firstLineChars="200"/>
        <w:textAlignment w:val="center"/>
        <w:rPr>
          <w:bCs/>
          <w:kern w:val="0"/>
        </w:rPr>
      </w:pPr>
      <w:r>
        <w:rPr>
          <w:rFonts w:hint="eastAsia"/>
          <w:bCs/>
          <w:kern w:val="0"/>
        </w:rPr>
        <w:t>（二）制度制定情况</w:t>
      </w:r>
    </w:p>
    <w:p>
      <w:pPr>
        <w:widowControl w:val="0"/>
        <w:spacing w:line="560" w:lineRule="exact"/>
        <w:ind w:firstLine="560" w:firstLineChars="200"/>
      </w:pPr>
      <w:r>
        <w:rPr>
          <w:rFonts w:hint="eastAsia"/>
          <w:color w:val="000000"/>
        </w:rPr>
        <w:t>2021年将制度文件修订成册，主要包括公积金业务层面、内部规章制度两个部分。</w:t>
      </w:r>
      <w:r>
        <w:rPr>
          <w:rFonts w:hint="eastAsia"/>
        </w:rPr>
        <w:t>公积金业务层面政策文件（含国家、省市、中心业务政策）共31项，涵盖了住房公积金缴存、提取、个人贷款管理、贷款风险防控、资金流动性风险预警机制、内部审计制度等主要经济活动内容；为了贯彻落实《行政事业单位内部控制规范（试行）》，进一步提高单位内部管理水平，规范内部控制，分别制定了</w:t>
      </w:r>
      <w:r>
        <w:rPr>
          <w:rFonts w:hint="eastAsia"/>
          <w:color w:val="000000"/>
        </w:rPr>
        <w:t>“三重一大”集体决策制度实施办法、管理费用财务管理制度、AB岗工作制度、办公用品管理制度、采购管理制度、固定资产管理规定等27项内部规章制度</w:t>
      </w:r>
      <w:r>
        <w:rPr>
          <w:rFonts w:hint="eastAsia"/>
        </w:rPr>
        <w:t>。</w:t>
      </w:r>
    </w:p>
    <w:p>
      <w:pPr>
        <w:widowControl w:val="0"/>
        <w:spacing w:line="560" w:lineRule="exact"/>
        <w:ind w:firstLine="560" w:firstLineChars="200"/>
        <w:textAlignment w:val="center"/>
        <w:rPr>
          <w:bCs/>
          <w:kern w:val="0"/>
        </w:rPr>
      </w:pPr>
      <w:r>
        <w:rPr>
          <w:rFonts w:hint="eastAsia"/>
          <w:bCs/>
          <w:kern w:val="0"/>
        </w:rPr>
        <w:t>（三）部门预算资金分配、配套及使用情况</w:t>
      </w:r>
    </w:p>
    <w:p>
      <w:pPr>
        <w:pStyle w:val="17"/>
        <w:pBdr>
          <w:top w:val="none" w:color="auto" w:sz="0" w:space="1"/>
          <w:left w:val="none" w:color="auto" w:sz="0" w:space="4"/>
          <w:right w:val="none" w:color="auto" w:sz="0" w:space="4"/>
        </w:pBd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2021年预算资金总额3,054.27万元（2020年结余资金0万元，2021年初部门预算资金3,054.27万元）。其中：基本支出1,887.89万元，项目支出1,166.38万元。</w:t>
      </w:r>
    </w:p>
    <w:p>
      <w:pPr>
        <w:pStyle w:val="17"/>
        <w:pBdr>
          <w:top w:val="none" w:color="auto" w:sz="0" w:space="1"/>
          <w:left w:val="none" w:color="auto" w:sz="0" w:space="4"/>
          <w:right w:val="none" w:color="auto" w:sz="0" w:space="4"/>
        </w:pBd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2021年度预算资金实际到位2,872.49万元，部门实际支出资金2,872.49万元，其中：基本支出1,785.75万元，项目支出1,086.74万元，期末部门结余资金0元。</w:t>
      </w:r>
    </w:p>
    <w:p>
      <w:pPr>
        <w:widowControl w:val="0"/>
        <w:spacing w:line="560" w:lineRule="exact"/>
        <w:ind w:firstLine="560" w:firstLineChars="200"/>
        <w:textAlignment w:val="center"/>
        <w:rPr>
          <w:color w:val="000000"/>
        </w:rPr>
      </w:pPr>
      <w:r>
        <w:rPr>
          <w:rFonts w:hint="eastAsia"/>
          <w:color w:val="000000"/>
        </w:rPr>
        <w:t>2021年3月2日，运城市财政局批复了万荣县荣河镇人民政府2021年度部门预算，于2021年3月15日在运城市人民政府网站上公开其部门预算，2021年度部门决算暂未公开。</w:t>
      </w:r>
    </w:p>
    <w:p>
      <w:pPr>
        <w:widowControl w:val="0"/>
        <w:spacing w:line="560" w:lineRule="exact"/>
        <w:ind w:firstLine="560" w:firstLineChars="200"/>
        <w:textAlignment w:val="center"/>
        <w:rPr>
          <w:bCs/>
          <w:kern w:val="0"/>
        </w:rPr>
      </w:pPr>
      <w:r>
        <w:rPr>
          <w:rFonts w:hint="eastAsia"/>
          <w:bCs/>
          <w:kern w:val="0"/>
        </w:rPr>
        <w:t>（四）绩效管理方面</w:t>
      </w:r>
    </w:p>
    <w:p>
      <w:pPr>
        <w:widowControl w:val="0"/>
        <w:spacing w:line="560" w:lineRule="exact"/>
        <w:ind w:firstLine="560" w:firstLineChars="200"/>
        <w:rPr>
          <w:kern w:val="0"/>
          <w:highlight w:val="yellow"/>
        </w:rPr>
      </w:pPr>
      <w:r>
        <w:rPr>
          <w:rFonts w:hint="eastAsia"/>
          <w:kern w:val="0"/>
        </w:rPr>
        <w:t>2021年度编制了住房公积金管理工作运转经费绩效申报表，年底编制了工作运转经费项目绩效自评报告，工作运转经费项目绩效目标申报表未细化、量化产出、效益等指标，绩效自评报告填写不完（如：未填写摘要、项目主要经验做法、存在的主要问题及管理建议等）。</w:t>
      </w:r>
    </w:p>
    <w:p>
      <w:pPr>
        <w:widowControl w:val="0"/>
        <w:spacing w:line="560" w:lineRule="exact"/>
        <w:ind w:firstLine="560" w:firstLineChars="200"/>
        <w:textAlignment w:val="center"/>
        <w:rPr>
          <w:bCs/>
          <w:kern w:val="0"/>
        </w:rPr>
      </w:pPr>
      <w:r>
        <w:rPr>
          <w:rFonts w:hint="eastAsia"/>
          <w:bCs/>
          <w:kern w:val="0"/>
        </w:rPr>
        <w:t>（五）履职效能方面</w:t>
      </w:r>
    </w:p>
    <w:p>
      <w:pPr>
        <w:widowControl w:val="0"/>
        <w:spacing w:line="560" w:lineRule="exact"/>
        <w:ind w:firstLine="560" w:firstLineChars="200"/>
        <w:textAlignment w:val="center"/>
        <w:rPr>
          <w:kern w:val="0"/>
        </w:rPr>
      </w:pPr>
      <w:r>
        <w:rPr>
          <w:rFonts w:hint="eastAsia"/>
          <w:kern w:val="0"/>
        </w:rPr>
        <w:t>1、多功能会议室及职工食堂修</w:t>
      </w:r>
    </w:p>
    <w:p>
      <w:pPr>
        <w:widowControl w:val="0"/>
        <w:spacing w:line="560" w:lineRule="exact"/>
        <w:ind w:firstLine="560" w:firstLineChars="200"/>
        <w:textAlignment w:val="center"/>
        <w:rPr>
          <w:kern w:val="0"/>
        </w:rPr>
      </w:pPr>
      <w:r>
        <w:rPr>
          <w:rFonts w:hint="eastAsia"/>
          <w:kern w:val="0"/>
        </w:rPr>
        <w:t>由于原有会议室吊顶下沉、主席台破损、线路老化，会议室存在安全隐患和功能局限，对多功能会议室及职工食堂进行修缮，该工程于2021年9月13日开工，2021年10月25日完工，多功能会议室修缮工程实施内容包括会议室吊顶、主席台修缮、会议室门窗；职工食堂修缮工程实施内容包括食堂彩钢房、吊顶、墙面喷刷涂料、下水改造等。</w:t>
      </w:r>
    </w:p>
    <w:p>
      <w:pPr>
        <w:widowControl w:val="0"/>
        <w:spacing w:line="560" w:lineRule="exact"/>
        <w:ind w:firstLine="560" w:firstLineChars="200"/>
        <w:textAlignment w:val="center"/>
        <w:rPr>
          <w:kern w:val="0"/>
        </w:rPr>
      </w:pPr>
      <w:r>
        <w:rPr>
          <w:rFonts w:hint="eastAsia"/>
          <w:kern w:val="0"/>
        </w:rPr>
        <w:t>2、永济管理部装修工程：该工程于2021年11月开工，2021年12月完工，已完成内容为一楼、二楼、楼梯、卫生间装修工程，包括木质门、全屋水电、插座灯具、木质吊顶、墙面喷刷涂料、铺设瓷砖、楼梯石材及扶手、卫生间的防水、照明、换气等装修工程。</w:t>
      </w:r>
    </w:p>
    <w:p>
      <w:pPr>
        <w:widowControl w:val="0"/>
        <w:spacing w:line="560" w:lineRule="exact"/>
        <w:ind w:firstLine="560" w:firstLineChars="200"/>
        <w:textAlignment w:val="center"/>
        <w:rPr>
          <w:kern w:val="0"/>
        </w:rPr>
      </w:pPr>
      <w:r>
        <w:rPr>
          <w:rFonts w:hint="eastAsia"/>
          <w:kern w:val="0"/>
        </w:rPr>
        <w:t>3、三楼会议室修缮，该工程于2021年12月完工并验收，主要施工内容为会议室墙体、墙板装饰。</w:t>
      </w:r>
    </w:p>
    <w:p>
      <w:pPr>
        <w:widowControl w:val="0"/>
        <w:spacing w:line="560" w:lineRule="exact"/>
        <w:ind w:firstLine="560" w:firstLineChars="200"/>
        <w:rPr>
          <w:kern w:val="0"/>
        </w:rPr>
      </w:pPr>
      <w:r>
        <w:rPr>
          <w:rFonts w:hint="eastAsia"/>
          <w:kern w:val="0"/>
        </w:rPr>
        <w:t>4、信息网络及软件购置更新，购入OA系统，完成搭建流程管理系统，录入基础数据24个部门、178个用户，流程数据录入15条，对该部门“业务软件功能升级”项目内容进行升级开发，办理一网通办，网办拓展业务。</w:t>
      </w:r>
    </w:p>
    <w:p>
      <w:pPr>
        <w:widowControl w:val="0"/>
        <w:spacing w:line="560" w:lineRule="exact"/>
        <w:ind w:firstLine="560" w:firstLineChars="200"/>
        <w:textAlignment w:val="center"/>
        <w:rPr>
          <w:kern w:val="0"/>
        </w:rPr>
      </w:pPr>
      <w:r>
        <w:rPr>
          <w:rFonts w:hint="eastAsia"/>
          <w:kern w:val="0"/>
        </w:rPr>
        <w:t>5、2021年全市共归集住房公积金31.77亿元，为职工办理住房公积金提取19.2亿元，发放住房公积金个人贷款9107笔34.68亿元，归集、提取、贷款额分别较上年增长了11.28%、26.15%、60.56%，截至年末，全市公积金缴存总额246.37亿元，缴存余额116.35亿元，贷款总额179.21亿元，贷款余额94.29亿元，个贷率81.04%，较年初增长12.66个百分点。</w:t>
      </w:r>
    </w:p>
    <w:p>
      <w:pPr>
        <w:widowControl w:val="0"/>
        <w:spacing w:line="560" w:lineRule="exact"/>
        <w:ind w:firstLine="560" w:firstLineChars="200"/>
        <w:rPr>
          <w:bCs/>
          <w:kern w:val="0"/>
        </w:rPr>
      </w:pPr>
      <w:r>
        <w:rPr>
          <w:rFonts w:hint="eastAsia"/>
          <w:bCs/>
          <w:kern w:val="0"/>
        </w:rPr>
        <w:t>（六）资产管理方面</w:t>
      </w:r>
    </w:p>
    <w:p>
      <w:pPr>
        <w:widowControl w:val="0"/>
        <w:spacing w:line="560" w:lineRule="exact"/>
        <w:ind w:firstLine="560" w:firstLineChars="200"/>
        <w:textAlignment w:val="center"/>
        <w:rPr>
          <w:kern w:val="0"/>
        </w:rPr>
      </w:pPr>
      <w:r>
        <w:rPr>
          <w:rFonts w:hint="eastAsia"/>
          <w:kern w:val="0"/>
        </w:rPr>
        <w:t>通过访谈了解，下设机构未在2021年底对实物资产进行盘点，固定资产实物上未粘贴标签。</w:t>
      </w:r>
    </w:p>
    <w:p>
      <w:pPr>
        <w:widowControl w:val="0"/>
        <w:spacing w:line="560" w:lineRule="exact"/>
        <w:ind w:firstLine="560" w:firstLineChars="200"/>
        <w:rPr>
          <w:bCs/>
          <w:kern w:val="0"/>
        </w:rPr>
      </w:pPr>
      <w:r>
        <w:rPr>
          <w:rFonts w:hint="eastAsia"/>
          <w:bCs/>
          <w:kern w:val="0"/>
        </w:rPr>
        <w:t>（七）存在的问题及建议</w:t>
      </w:r>
    </w:p>
    <w:p>
      <w:pPr>
        <w:widowControl w:val="0"/>
        <w:spacing w:line="560" w:lineRule="exact"/>
        <w:ind w:firstLine="560" w:firstLineChars="200"/>
      </w:pPr>
      <w:r>
        <w:rPr>
          <w:rFonts w:hint="eastAsia"/>
        </w:rPr>
        <w:t>1、项目单位资产管理不规范事项。</w:t>
      </w:r>
    </w:p>
    <w:p>
      <w:pPr>
        <w:widowControl w:val="0"/>
        <w:spacing w:line="560" w:lineRule="exact"/>
        <w:ind w:firstLine="560" w:firstLineChars="200"/>
      </w:pPr>
      <w:r>
        <w:rPr>
          <w:rFonts w:hint="eastAsia"/>
        </w:rPr>
        <w:t>建议：加强制度执行力度，按制度规定对固定资产进行盘点和完善实物资产卡片。</w:t>
      </w:r>
    </w:p>
    <w:p>
      <w:pPr>
        <w:widowControl w:val="0"/>
        <w:spacing w:line="560" w:lineRule="exact"/>
        <w:ind w:firstLine="560" w:firstLineChars="200"/>
      </w:pPr>
      <w:r>
        <w:rPr>
          <w:rFonts w:hint="eastAsia"/>
        </w:rPr>
        <w:t>2、项目产出质量、时效细化、量化方面欠缺，自评报告部分内容填写不完整。</w:t>
      </w:r>
    </w:p>
    <w:p>
      <w:pPr>
        <w:widowControl w:val="0"/>
        <w:spacing w:line="560" w:lineRule="exact"/>
        <w:ind w:firstLine="560" w:firstLineChars="200"/>
        <w:rPr>
          <w:b/>
          <w:bCs/>
        </w:rPr>
      </w:pPr>
      <w:r>
        <w:rPr>
          <w:rFonts w:hint="eastAsia"/>
        </w:rPr>
        <w:t>建议：重视绩效管理工作，制定绩效管理制度，根据业务特点制定切实可行的绩效目标，并对照绩效目标总要求，进一步细化分解项目绩效目标，以目标为方向、制度为依据，切实用好财政资金，经济高效地完成项目工作。</w:t>
      </w:r>
      <w:r>
        <w:rPr>
          <w:rFonts w:hint="eastAsia"/>
        </w:rPr>
        <w:br w:type="page"/>
      </w:r>
      <w:bookmarkStart w:id="310" w:name="_Toc1662"/>
      <w:bookmarkStart w:id="311" w:name="_Toc10678"/>
      <w:bookmarkStart w:id="312" w:name="_Toc10412"/>
      <w:bookmarkStart w:id="313" w:name="_Toc3376"/>
      <w:bookmarkStart w:id="314" w:name="_Toc31091"/>
      <w:r>
        <w:rPr>
          <w:rStyle w:val="57"/>
          <w:rFonts w:hint="eastAsia"/>
          <w:sz w:val="28"/>
        </w:rPr>
        <w:t>附件</w:t>
      </w:r>
      <w:bookmarkEnd w:id="310"/>
      <w:r>
        <w:rPr>
          <w:rStyle w:val="57"/>
          <w:rFonts w:hint="eastAsia"/>
          <w:sz w:val="28"/>
        </w:rPr>
        <w:t>5 合规性报告</w:t>
      </w:r>
      <w:bookmarkEnd w:id="311"/>
      <w:bookmarkEnd w:id="312"/>
      <w:bookmarkEnd w:id="313"/>
      <w:bookmarkEnd w:id="314"/>
    </w:p>
    <w:p>
      <w:pPr>
        <w:pStyle w:val="61"/>
        <w:spacing w:line="560" w:lineRule="exact"/>
        <w:ind w:firstLine="0" w:firstLineChars="0"/>
        <w:jc w:val="center"/>
        <w:rPr>
          <w:rFonts w:ascii="仿宋" w:hAnsi="仿宋" w:eastAsia="仿宋" w:cs="仿宋"/>
          <w:b/>
          <w:sz w:val="28"/>
          <w:szCs w:val="28"/>
        </w:rPr>
      </w:pPr>
      <w:r>
        <w:rPr>
          <w:rFonts w:hint="eastAsia" w:ascii="仿宋" w:hAnsi="仿宋" w:eastAsia="仿宋" w:cs="仿宋"/>
          <w:b/>
          <w:sz w:val="28"/>
          <w:szCs w:val="28"/>
        </w:rPr>
        <w:t>运城市住房公积金管理中心</w:t>
      </w:r>
    </w:p>
    <w:p>
      <w:pPr>
        <w:pStyle w:val="61"/>
        <w:spacing w:line="560" w:lineRule="exact"/>
        <w:ind w:firstLine="0" w:firstLineChars="0"/>
        <w:jc w:val="center"/>
        <w:rPr>
          <w:rFonts w:ascii="仿宋" w:hAnsi="仿宋" w:eastAsia="仿宋" w:cs="仿宋"/>
          <w:b/>
          <w:sz w:val="28"/>
          <w:szCs w:val="28"/>
        </w:rPr>
      </w:pPr>
      <w:r>
        <w:rPr>
          <w:rFonts w:hint="eastAsia" w:ascii="仿宋" w:hAnsi="仿宋" w:eastAsia="仿宋" w:cs="仿宋"/>
          <w:b/>
          <w:sz w:val="28"/>
          <w:szCs w:val="28"/>
        </w:rPr>
        <w:t>2021年部门整体支出合规性检查报告</w:t>
      </w:r>
    </w:p>
    <w:p>
      <w:pPr>
        <w:spacing w:line="560" w:lineRule="exact"/>
        <w:ind w:firstLine="560" w:firstLineChars="200"/>
      </w:pPr>
      <w:r>
        <w:rPr>
          <w:rFonts w:hint="eastAsia"/>
        </w:rPr>
        <w:t>为保证运城市住房公积金管理中心在资金拨付、资金支出、财务管理和项目管理等方面的规范性，特制订合规性检查方案。对2021年运城市住房公积金管理中心部门整体支出资金使用及实施管理展开合规性检查。</w:t>
      </w:r>
    </w:p>
    <w:p>
      <w:pPr>
        <w:spacing w:line="560" w:lineRule="exact"/>
        <w:ind w:firstLine="560" w:firstLineChars="200"/>
      </w:pPr>
      <w:r>
        <w:rPr>
          <w:rFonts w:hint="eastAsia"/>
        </w:rPr>
        <w:t>一、检查范围</w:t>
      </w:r>
    </w:p>
    <w:p>
      <w:pPr>
        <w:spacing w:line="560" w:lineRule="exact"/>
        <w:ind w:firstLine="560" w:firstLineChars="200"/>
      </w:pPr>
      <w:r>
        <w:rPr>
          <w:rFonts w:hint="eastAsia"/>
        </w:rPr>
        <w:t>运城市住房公积金管理中心2021年部门整体支出资金使用、财务管理和项目管理等方面。</w:t>
      </w:r>
    </w:p>
    <w:p>
      <w:pPr>
        <w:spacing w:line="560" w:lineRule="exact"/>
        <w:ind w:firstLine="560" w:firstLineChars="200"/>
      </w:pPr>
      <w:r>
        <w:rPr>
          <w:rFonts w:hint="eastAsia"/>
        </w:rPr>
        <w:t>二、检查依据</w:t>
      </w:r>
    </w:p>
    <w:p>
      <w:pPr>
        <w:spacing w:line="560" w:lineRule="exact"/>
        <w:ind w:firstLine="560" w:firstLineChars="200"/>
      </w:pPr>
      <w:r>
        <w:rPr>
          <w:rFonts w:hint="eastAsia"/>
        </w:rPr>
        <w:t>括但不限于：</w:t>
      </w:r>
    </w:p>
    <w:p>
      <w:pPr>
        <w:spacing w:line="560" w:lineRule="exact"/>
        <w:ind w:firstLine="560" w:firstLineChars="200"/>
      </w:pPr>
      <w:r>
        <w:rPr>
          <w:rFonts w:hint="eastAsia"/>
        </w:rPr>
        <w:t>1、财政部《项目支出绩效评价管理办法》（财预〔2020〕10号）</w:t>
      </w:r>
    </w:p>
    <w:p>
      <w:pPr>
        <w:spacing w:line="560" w:lineRule="exact"/>
        <w:ind w:firstLine="560" w:firstLineChars="200"/>
      </w:pPr>
      <w:r>
        <w:rPr>
          <w:rFonts w:hint="eastAsia"/>
        </w:rPr>
        <w:t>2、《中共山西省委 山西省人民政府关于全面实施预算绩效管理的实施意见》（晋发〔2018〕39号）</w:t>
      </w:r>
    </w:p>
    <w:p>
      <w:pPr>
        <w:spacing w:line="560" w:lineRule="exact"/>
        <w:ind w:firstLine="560" w:firstLineChars="200"/>
      </w:pPr>
      <w:r>
        <w:rPr>
          <w:rFonts w:hint="eastAsia"/>
        </w:rPr>
        <w:t>3、《运城市财政局2022年预算绩效评价实施方案》（运财监〔2022〕6号）</w:t>
      </w:r>
    </w:p>
    <w:p>
      <w:pPr>
        <w:spacing w:line="560" w:lineRule="exact"/>
        <w:ind w:firstLine="560" w:firstLineChars="200"/>
      </w:pPr>
      <w:r>
        <w:rPr>
          <w:rFonts w:hint="eastAsia"/>
        </w:rPr>
        <w:t>4、其他有关的法律、法规规章、政策文件</w:t>
      </w:r>
    </w:p>
    <w:p>
      <w:pPr>
        <w:spacing w:line="560" w:lineRule="exact"/>
        <w:ind w:firstLine="560" w:firstLineChars="200"/>
      </w:pPr>
      <w:r>
        <w:rPr>
          <w:rFonts w:hint="eastAsia"/>
        </w:rPr>
        <w:t>三、合规性检查情况</w:t>
      </w:r>
    </w:p>
    <w:p>
      <w:pPr>
        <w:widowControl w:val="0"/>
        <w:spacing w:line="560" w:lineRule="exact"/>
        <w:ind w:firstLine="560" w:firstLineChars="200"/>
      </w:pPr>
      <w:r>
        <w:rPr>
          <w:rFonts w:hint="eastAsia"/>
        </w:rPr>
        <w:t>（一）资金拨付、支出情况</w:t>
      </w:r>
    </w:p>
    <w:p>
      <w:pPr>
        <w:widowControl w:val="0"/>
        <w:spacing w:line="560" w:lineRule="exact"/>
        <w:ind w:firstLine="560" w:firstLineChars="200"/>
      </w:pPr>
      <w:r>
        <w:rPr>
          <w:rFonts w:hint="eastAsia"/>
        </w:rPr>
        <w:t>2021年预算资金总额3,054.27万元（2020年结余资金0万元，2021年初部门预算资金3,054.27万元）。其中：基本支出1,887.89万元，项目支出1,166.38万元。</w:t>
      </w:r>
    </w:p>
    <w:p>
      <w:pPr>
        <w:widowControl w:val="0"/>
        <w:spacing w:line="560" w:lineRule="exact"/>
        <w:ind w:firstLine="560" w:firstLineChars="200"/>
      </w:pPr>
      <w:r>
        <w:rPr>
          <w:rFonts w:hint="eastAsia"/>
        </w:rPr>
        <w:t>2021年度预算资金实际到位2,872.49万元，部门实际支出资金2,872.49万元，其中：基本支出1,785.75万元，项目支出1,086.74万元，期末部门结余资金0元。</w:t>
      </w:r>
    </w:p>
    <w:p>
      <w:pPr>
        <w:widowControl w:val="0"/>
        <w:spacing w:line="560" w:lineRule="exact"/>
        <w:ind w:firstLine="560" w:firstLineChars="200"/>
      </w:pPr>
      <w:r>
        <w:rPr>
          <w:rFonts w:hint="eastAsia"/>
        </w:rPr>
        <w:t>（二）财务管理情况</w:t>
      </w:r>
    </w:p>
    <w:p>
      <w:pPr>
        <w:widowControl w:val="0"/>
        <w:spacing w:line="560" w:lineRule="exact"/>
        <w:ind w:firstLine="560" w:firstLineChars="200"/>
      </w:pPr>
      <w:r>
        <w:rPr>
          <w:rFonts w:hint="eastAsia"/>
        </w:rPr>
        <w:t>项目实施单位为了规范专项资金的管理与使用，都制定了相应的专项资金管理办法，有健全的财务管理制度，包括管理费用财务管理制度、办公用品管理制度、公车管理制度、采购管理制度、固定资产管理规定等，制定相关管理制度和流程合法、合规、完整。</w:t>
      </w:r>
    </w:p>
    <w:p>
      <w:pPr>
        <w:widowControl w:val="0"/>
        <w:spacing w:line="560" w:lineRule="exact"/>
        <w:ind w:firstLine="560" w:firstLineChars="200"/>
      </w:pPr>
      <w:r>
        <w:rPr>
          <w:rFonts w:hint="eastAsia"/>
        </w:rPr>
        <w:t>（三）检查中发现的问题</w:t>
      </w:r>
    </w:p>
    <w:p>
      <w:pPr>
        <w:pStyle w:val="61"/>
        <w:spacing w:line="56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财务管理相对规范，检查中未发现问题。</w:t>
      </w:r>
    </w:p>
    <w:p>
      <w:pPr>
        <w:widowControl w:val="0"/>
        <w:spacing w:line="560" w:lineRule="exact"/>
        <w:ind w:firstLine="560" w:firstLineChars="200"/>
      </w:pPr>
      <w:r>
        <w:rPr>
          <w:rFonts w:hint="eastAsia"/>
        </w:rPr>
        <w:t>四、检查结论</w:t>
      </w:r>
    </w:p>
    <w:p>
      <w:pPr>
        <w:pStyle w:val="27"/>
        <w:keepNext w:val="0"/>
        <w:keepLines w:val="0"/>
        <w:widowControl w:val="0"/>
        <w:spacing w:before="0" w:after="0" w:line="560" w:lineRule="exact"/>
        <w:ind w:firstLine="560" w:firstLineChars="200"/>
        <w:rPr>
          <w:rFonts w:ascii="仿宋" w:hAnsi="仿宋"/>
          <w:b w:val="0"/>
          <w:bCs w:val="0"/>
          <w:sz w:val="28"/>
          <w:szCs w:val="28"/>
        </w:rPr>
        <w:sectPr>
          <w:pgSz w:w="11906" w:h="16838"/>
          <w:pgMar w:top="1440" w:right="1800" w:bottom="1440" w:left="1800" w:header="851" w:footer="992" w:gutter="0"/>
          <w:cols w:space="425" w:num="1"/>
          <w:docGrid w:type="lines" w:linePitch="312" w:charSpace="0"/>
        </w:sectPr>
      </w:pPr>
      <w:r>
        <w:rPr>
          <w:rFonts w:hint="eastAsia" w:ascii="仿宋" w:hAnsi="仿宋"/>
          <w:b w:val="0"/>
          <w:bCs w:val="0"/>
          <w:sz w:val="28"/>
          <w:szCs w:val="28"/>
        </w:rPr>
        <w:t>运城市住房公积金管理中心结合本单位情况制定了多项规章制度，通过检查财务报表、总账、明细账、记账凭证、原始单据等资料，单位资金使用符合部门预算批复的用途，不存在截留、挤占、挪用、虚列支出等情况，资金使用较为合规。</w:t>
      </w:r>
    </w:p>
    <w:bookmarkEnd w:id="306"/>
    <w:bookmarkEnd w:id="307"/>
    <w:p>
      <w:pPr>
        <w:spacing w:line="560" w:lineRule="atLeast"/>
        <w:outlineLvl w:val="0"/>
        <w:rPr>
          <w:b/>
        </w:rPr>
      </w:pPr>
      <w:bookmarkStart w:id="315" w:name="_Toc12853"/>
      <w:r>
        <w:rPr>
          <w:rFonts w:hint="eastAsia"/>
          <w:b/>
          <w:bCs/>
        </w:rPr>
        <w:t>附件6：</w:t>
      </w:r>
      <w:r>
        <w:rPr>
          <w:rFonts w:hint="eastAsia"/>
          <w:b/>
        </w:rPr>
        <w:t xml:space="preserve">     社会调查问卷(服务对象)汇总分析报告</w:t>
      </w:r>
      <w:bookmarkEnd w:id="315"/>
    </w:p>
    <w:p>
      <w:pPr>
        <w:spacing w:line="560" w:lineRule="exact"/>
        <w:jc w:val="center"/>
        <w:rPr>
          <w:b/>
          <w:bCs/>
        </w:rPr>
      </w:pPr>
      <w:bookmarkStart w:id="316" w:name="_Toc23511"/>
      <w:r>
        <w:rPr>
          <w:rFonts w:hint="eastAsia"/>
          <w:b/>
          <w:bCs/>
        </w:rPr>
        <w:t>2021年运城市住房公积金部门整体支出</w:t>
      </w:r>
      <w:bookmarkEnd w:id="316"/>
    </w:p>
    <w:p>
      <w:pPr>
        <w:spacing w:line="560" w:lineRule="exact"/>
        <w:jc w:val="center"/>
        <w:rPr>
          <w:b/>
          <w:bCs/>
        </w:rPr>
      </w:pPr>
      <w:r>
        <w:rPr>
          <w:rFonts w:hint="eastAsia"/>
          <w:b/>
          <w:bCs/>
        </w:rPr>
        <w:t>绩效评价满意度调查</w:t>
      </w:r>
    </w:p>
    <w:p>
      <w:pPr>
        <w:spacing w:line="560" w:lineRule="exact"/>
        <w:ind w:firstLine="560" w:firstLineChars="200"/>
      </w:pPr>
      <w:bookmarkStart w:id="317" w:name="_Toc14549"/>
      <w:r>
        <w:rPr>
          <w:rFonts w:hint="eastAsia"/>
        </w:rPr>
        <w:t>一、调查对象与调查内容</w:t>
      </w:r>
      <w:bookmarkEnd w:id="317"/>
    </w:p>
    <w:p>
      <w:pPr>
        <w:spacing w:line="560" w:lineRule="exact"/>
        <w:ind w:firstLine="560" w:firstLineChars="200"/>
      </w:pPr>
      <w:r>
        <w:rPr>
          <w:rFonts w:hint="eastAsia"/>
        </w:rPr>
        <w:t>（一）调查对象</w:t>
      </w:r>
    </w:p>
    <w:p>
      <w:pPr>
        <w:spacing w:line="560" w:lineRule="exact"/>
        <w:ind w:firstLine="560" w:firstLineChars="200"/>
      </w:pPr>
      <w:r>
        <w:rPr>
          <w:rFonts w:hint="eastAsia"/>
        </w:rPr>
        <w:t>本次调查对象为运城市住房公积金的服务对象。</w:t>
      </w:r>
    </w:p>
    <w:p>
      <w:pPr>
        <w:spacing w:line="560" w:lineRule="exact"/>
        <w:ind w:firstLine="560" w:firstLineChars="200"/>
      </w:pPr>
      <w:r>
        <w:rPr>
          <w:rFonts w:hint="eastAsia"/>
        </w:rPr>
        <w:t>（二）调查内容</w:t>
      </w:r>
    </w:p>
    <w:p>
      <w:pPr>
        <w:spacing w:line="560" w:lineRule="exact"/>
        <w:ind w:firstLine="560" w:firstLineChars="200"/>
      </w:pPr>
      <w:r>
        <w:rPr>
          <w:rFonts w:hint="eastAsia"/>
        </w:rPr>
        <w:t>调查问卷内容包括：对公积金管理中心政务信息公示情况是否满意；对公积金管理中心服务态度及效率等是否满意；对公积金管理中心窗口环境及设施等是否满意；对公积金管理中心政策宣传力度是否满意；对公积金管理中心整体服务水平是否满意。</w:t>
      </w:r>
    </w:p>
    <w:p>
      <w:pPr>
        <w:spacing w:line="560" w:lineRule="exact"/>
        <w:ind w:firstLine="560" w:firstLineChars="200"/>
      </w:pPr>
      <w:bookmarkStart w:id="318" w:name="_Toc5587"/>
      <w:r>
        <w:rPr>
          <w:rFonts w:hint="eastAsia"/>
        </w:rPr>
        <w:t>二、调查方法与调查方式</w:t>
      </w:r>
      <w:bookmarkEnd w:id="318"/>
    </w:p>
    <w:p>
      <w:pPr>
        <w:spacing w:line="560" w:lineRule="exact"/>
        <w:ind w:firstLine="560" w:firstLineChars="200"/>
      </w:pPr>
      <w:r>
        <w:rPr>
          <w:rFonts w:hint="eastAsia"/>
        </w:rPr>
        <w:t>（一）调查方法</w:t>
      </w:r>
    </w:p>
    <w:p>
      <w:pPr>
        <w:spacing w:line="560" w:lineRule="exact"/>
        <w:ind w:firstLine="560" w:firstLineChars="200"/>
      </w:pPr>
      <w:r>
        <w:rPr>
          <w:rFonts w:hint="eastAsia"/>
        </w:rPr>
        <w:t>针对上述问卷调查对象开展问卷调查，在问卷调查全面开展之前，先对部分样本问卷进行论证，依据论证结果对问卷和问卷方案进行修改和调整，以保证调研切合实际，顺利进行。</w:t>
      </w:r>
    </w:p>
    <w:p>
      <w:pPr>
        <w:spacing w:line="560" w:lineRule="exact"/>
        <w:ind w:firstLine="560" w:firstLineChars="200"/>
      </w:pPr>
      <w:r>
        <w:rPr>
          <w:rFonts w:hint="eastAsia"/>
        </w:rPr>
        <w:t>（二）调查方式</w:t>
      </w:r>
    </w:p>
    <w:p>
      <w:pPr>
        <w:spacing w:line="560" w:lineRule="exact"/>
        <w:ind w:firstLine="560" w:firstLineChars="200"/>
      </w:pPr>
      <w:r>
        <w:rPr>
          <w:rFonts w:hint="eastAsia"/>
        </w:rPr>
        <w:t>本次调查工作人员采用网上发布电子问卷方式。共发放问卷207份，收回207份。</w:t>
      </w:r>
    </w:p>
    <w:p>
      <w:pPr>
        <w:spacing w:line="560" w:lineRule="exact"/>
        <w:ind w:firstLine="560" w:firstLineChars="200"/>
      </w:pPr>
      <w:r>
        <w:rPr>
          <w:rFonts w:hint="eastAsia"/>
        </w:rPr>
        <w:t>（三）调研安排</w:t>
      </w:r>
    </w:p>
    <w:p>
      <w:pPr>
        <w:spacing w:line="560" w:lineRule="exact"/>
        <w:ind w:firstLine="560" w:firstLineChars="200"/>
      </w:pPr>
      <w:r>
        <w:rPr>
          <w:rFonts w:hint="eastAsia"/>
        </w:rPr>
        <w:t>根据项目进度安排，项目组于2022年9月对调查对象开展问卷调查并分析。</w:t>
      </w:r>
    </w:p>
    <w:p>
      <w:pPr>
        <w:spacing w:line="560" w:lineRule="exact"/>
        <w:ind w:firstLine="560" w:firstLineChars="200"/>
      </w:pPr>
      <w:bookmarkStart w:id="319" w:name="_Toc16941"/>
      <w:r>
        <w:rPr>
          <w:rFonts w:hint="eastAsia"/>
        </w:rPr>
        <w:t>三、调查问卷的评价方法</w:t>
      </w:r>
      <w:bookmarkEnd w:id="319"/>
    </w:p>
    <w:p>
      <w:pPr>
        <w:spacing w:line="560" w:lineRule="exact"/>
        <w:ind w:firstLine="560" w:firstLineChars="200"/>
      </w:pPr>
      <w:r>
        <w:rPr>
          <w:rFonts w:hint="eastAsia"/>
        </w:rPr>
        <w:t>调查问卷设置了5个客观题，总分为100分。客观题各选项的评分值：选项非常满意（A）为100%，选项基本满意（B）为75%，选项一般（C）为50%，选项不满意（D）为0%。根据收回调查问卷数量，分别统计5个客观题选项A、B、C、D各自选择百分比，按5个客观题A、B、C、D选择百分比乘以各选项评分值得出各客观题加权平均满意度得分，然后计算出5个客观题算术平均数，将其作为满意度最终得分。</w:t>
      </w:r>
    </w:p>
    <w:p>
      <w:pPr>
        <w:spacing w:line="560" w:lineRule="exact"/>
        <w:ind w:firstLine="560" w:firstLineChars="200"/>
      </w:pPr>
      <w:bookmarkStart w:id="320" w:name="_Toc1809"/>
      <w:r>
        <w:rPr>
          <w:rFonts w:hint="eastAsia"/>
        </w:rPr>
        <w:t>四、调查问卷的分析</w:t>
      </w:r>
      <w:bookmarkEnd w:id="320"/>
    </w:p>
    <w:p>
      <w:pPr>
        <w:spacing w:line="560" w:lineRule="exact"/>
        <w:ind w:firstLine="560" w:firstLineChars="200"/>
      </w:pPr>
      <w:r>
        <w:rPr>
          <w:rFonts w:hint="eastAsia"/>
        </w:rPr>
        <w:t>1、被调查对象代表性分析</w:t>
      </w:r>
    </w:p>
    <w:p>
      <w:pPr>
        <w:spacing w:line="560" w:lineRule="exact"/>
        <w:ind w:firstLine="560" w:firstLineChars="200"/>
      </w:pPr>
      <w:r>
        <w:rPr>
          <w:rFonts w:hint="eastAsia"/>
        </w:rPr>
        <w:t>（1）基本情况</w:t>
      </w:r>
    </w:p>
    <w:p>
      <w:pPr>
        <w:spacing w:line="560" w:lineRule="exact"/>
        <w:ind w:firstLine="560" w:firstLineChars="200"/>
      </w:pPr>
      <w:r>
        <w:rPr>
          <w:rFonts w:hint="eastAsia"/>
        </w:rPr>
        <w:t>被调查的对象为运城市住房公积金服务对象。</w:t>
      </w:r>
    </w:p>
    <w:p>
      <w:pPr>
        <w:spacing w:line="560" w:lineRule="exact"/>
        <w:ind w:firstLine="560" w:firstLineChars="200"/>
      </w:pPr>
      <w:r>
        <w:rPr>
          <w:rFonts w:hint="eastAsia"/>
        </w:rPr>
        <w:t>（2）样本回收率、有效问卷率</w:t>
      </w:r>
    </w:p>
    <w:p>
      <w:pPr>
        <w:spacing w:line="560" w:lineRule="exact"/>
        <w:ind w:firstLine="560" w:firstLineChars="200"/>
      </w:pPr>
      <w:r>
        <w:rPr>
          <w:rFonts w:hint="eastAsia"/>
        </w:rPr>
        <w:t>本次共发放207份，收回207份，有效问卷207份。</w:t>
      </w:r>
    </w:p>
    <w:p>
      <w:pPr>
        <w:spacing w:line="560" w:lineRule="exact"/>
        <w:ind w:firstLine="560" w:firstLineChars="200"/>
      </w:pPr>
      <w:r>
        <w:rPr>
          <w:rFonts w:hint="eastAsia"/>
        </w:rPr>
        <w:t>（3）代表性分析</w:t>
      </w:r>
    </w:p>
    <w:p>
      <w:pPr>
        <w:spacing w:line="560" w:lineRule="exact"/>
        <w:ind w:firstLine="560" w:firstLineChars="200"/>
      </w:pPr>
      <w:r>
        <w:rPr>
          <w:rFonts w:hint="eastAsia"/>
        </w:rPr>
        <w:t>有针对性的选择不同单位、不同部门、不同岗位的207人员进行调查，调查问卷样本选择具有足够的代表性。</w:t>
      </w:r>
    </w:p>
    <w:p>
      <w:pPr>
        <w:spacing w:line="560" w:lineRule="exact"/>
        <w:ind w:firstLine="560" w:firstLineChars="200"/>
      </w:pPr>
      <w:r>
        <w:rPr>
          <w:rFonts w:hint="eastAsia"/>
        </w:rPr>
        <w:t>2.基本问题分析</w:t>
      </w:r>
    </w:p>
    <w:p>
      <w:pPr>
        <w:spacing w:line="560" w:lineRule="exact"/>
        <w:ind w:firstLine="560" w:firstLineChars="200"/>
      </w:pPr>
      <w:r>
        <w:rPr>
          <w:rFonts w:hint="eastAsia"/>
        </w:rPr>
        <w:t>（1）您对公积金管理中心政务信息公示情况是否满意</w:t>
      </w:r>
    </w:p>
    <w:p>
      <w:pPr>
        <w:spacing w:line="560" w:lineRule="exact"/>
        <w:ind w:firstLine="560" w:firstLineChars="200"/>
      </w:pPr>
      <w:r>
        <w:rPr>
          <w:rFonts w:hint="eastAsia"/>
        </w:rPr>
        <w:t>根据调查问卷结果显示，91.3%的受访者表示对公积金管理中心政务信息公示情况非常满意，7.73%的受访者表示对公积金管理中心政务信息公示情况基本满意，0.97%的受访者表示对公积金管理中心政务信息公示情况满意程度一般。分析得出，受访者对公积金管理中心政务信息公示情况非常满意。</w:t>
      </w:r>
    </w:p>
    <w:p>
      <w:pPr>
        <w:spacing w:line="560" w:lineRule="exact"/>
        <w:ind w:firstLine="560" w:firstLineChars="200"/>
      </w:pPr>
      <w:r>
        <w:rPr>
          <w:rFonts w:hint="eastAsia"/>
        </w:rPr>
        <w:t>（2）您对公积金管理中心服务态度及效率等是否满意</w:t>
      </w:r>
    </w:p>
    <w:p>
      <w:pPr>
        <w:spacing w:line="560" w:lineRule="exact"/>
        <w:ind w:firstLine="560" w:firstLineChars="200"/>
      </w:pPr>
      <w:r>
        <w:rPr>
          <w:rFonts w:hint="eastAsia"/>
        </w:rPr>
        <w:t>根据调查问卷结果显示，91.79%的受访者表示对公积金管理中心服务态度及效率等非常满意，6.28%的受访者表示对公积金管理中心服务态度及效率等基本满意，1.93%的受访者表示对公积金管理中心服务态度及效率等满意程度一般。分析得出，受访者对公积金管理中心服务态度及效率等非常满意。</w:t>
      </w:r>
    </w:p>
    <w:p>
      <w:pPr>
        <w:spacing w:line="560" w:lineRule="exact"/>
        <w:ind w:firstLine="560" w:firstLineChars="200"/>
      </w:pPr>
      <w:r>
        <w:rPr>
          <w:rFonts w:hint="eastAsia"/>
        </w:rPr>
        <w:t>(3)您对公积金管理中心窗口环境及设施等是否满意</w:t>
      </w:r>
    </w:p>
    <w:p>
      <w:pPr>
        <w:spacing w:line="560" w:lineRule="exact"/>
        <w:ind w:firstLine="560" w:firstLineChars="200"/>
      </w:pPr>
      <w:r>
        <w:rPr>
          <w:rFonts w:hint="eastAsia"/>
        </w:rPr>
        <w:t>根据调查问卷结果显示，92.27%的受访者表示对公积金管理中心窗口环境及设施等非常满意，7.73%的受访者表示对公积金管理中心窗口环境及设施等基本满意。分析得出，受访者对公积金管理中心窗口环境及设施等非常满意。</w:t>
      </w:r>
    </w:p>
    <w:p>
      <w:pPr>
        <w:spacing w:line="560" w:lineRule="exact"/>
        <w:ind w:firstLine="560" w:firstLineChars="200"/>
      </w:pPr>
      <w:r>
        <w:rPr>
          <w:rFonts w:hint="eastAsia"/>
        </w:rPr>
        <w:t>您对公积金管理中心政策宣传力度是否满意</w:t>
      </w:r>
    </w:p>
    <w:p>
      <w:pPr>
        <w:spacing w:line="560" w:lineRule="exact"/>
        <w:ind w:firstLine="560" w:firstLineChars="200"/>
      </w:pPr>
      <w:r>
        <w:rPr>
          <w:rFonts w:hint="eastAsia"/>
        </w:rPr>
        <w:t>根据调查问卷结果显示，90.34%的受访者表示对公积金管理中心政策宣传力度非常满意，7.25%的受访者表示对公积金管理中心政策宣传力度基本满意，2.41%的受访者表示对公积金管理中心政策宣传力度的满意程度一般。分析得出，受访者对公积金管理中心政策宣传力度非常满意。</w:t>
      </w:r>
    </w:p>
    <w:p>
      <w:pPr>
        <w:spacing w:line="560" w:lineRule="exact"/>
        <w:ind w:firstLine="560" w:firstLineChars="200"/>
      </w:pPr>
      <w:r>
        <w:rPr>
          <w:rFonts w:hint="eastAsia"/>
        </w:rPr>
        <w:t>（5）您对公积金管理中心整体服务水平是否满意</w:t>
      </w:r>
    </w:p>
    <w:p>
      <w:pPr>
        <w:spacing w:line="560" w:lineRule="exact"/>
        <w:ind w:firstLine="560" w:firstLineChars="200"/>
      </w:pPr>
      <w:r>
        <w:rPr>
          <w:rFonts w:hint="eastAsia"/>
        </w:rPr>
        <w:t>根据调查问卷结果显示，90.34%的受访者表示对公积金管理中心整体服务水平非常满意，7.25%的受访者表示对公积金管理中心整体服务水平基本满意，1.93%的受访者表示对公积金管理中心整体服务水平满意程度一般，0.48%的受访者表示对公积金管理中心整体服务水平不满意。分析得出，受访者对公积金管理中心整体服务水平非常满意。</w:t>
      </w:r>
    </w:p>
    <w:p>
      <w:pPr>
        <w:spacing w:line="560" w:lineRule="exact"/>
        <w:ind w:firstLine="560" w:firstLineChars="200"/>
      </w:pPr>
      <w:r>
        <w:rPr>
          <w:rFonts w:hint="eastAsia"/>
        </w:rPr>
        <w:t>3、满意度分析</w:t>
      </w:r>
    </w:p>
    <w:p>
      <w:pPr>
        <w:spacing w:line="560" w:lineRule="exact"/>
        <w:ind w:firstLine="560" w:firstLineChars="200"/>
      </w:pPr>
      <w:r>
        <w:rPr>
          <w:rFonts w:hint="eastAsia"/>
        </w:rPr>
        <w:t>本次问卷调查，共整理207份问卷，综合得分为97.37分，具体满意度分项得分见附表。</w:t>
      </w:r>
    </w:p>
    <w:p>
      <w:pPr>
        <w:spacing w:after="240" w:line="500" w:lineRule="exact"/>
        <w:ind w:firstLine="643"/>
        <w:jc w:val="center"/>
        <w:outlineLvl w:val="2"/>
        <w:rPr>
          <w:b/>
          <w:sz w:val="24"/>
          <w:szCs w:val="24"/>
        </w:rPr>
      </w:pPr>
      <w:r>
        <w:rPr>
          <w:rFonts w:hint="eastAsia"/>
          <w:b/>
          <w:sz w:val="24"/>
          <w:szCs w:val="24"/>
        </w:rPr>
        <w:t>附表满意度分项得分情况</w:t>
      </w:r>
    </w:p>
    <w:tbl>
      <w:tblPr>
        <w:tblStyle w:val="19"/>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4"/>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84" w:type="dxa"/>
            <w:vAlign w:val="center"/>
          </w:tcPr>
          <w:p>
            <w:pPr>
              <w:jc w:val="center"/>
              <w:rPr>
                <w:b/>
                <w:kern w:val="0"/>
                <w:sz w:val="24"/>
                <w:szCs w:val="24"/>
              </w:rPr>
            </w:pPr>
            <w:r>
              <w:rPr>
                <w:rFonts w:hint="eastAsia"/>
                <w:b/>
                <w:kern w:val="0"/>
                <w:sz w:val="24"/>
                <w:szCs w:val="24"/>
              </w:rPr>
              <w:t>满意度评价内容</w:t>
            </w:r>
          </w:p>
        </w:tc>
        <w:tc>
          <w:tcPr>
            <w:tcW w:w="1225" w:type="dxa"/>
            <w:vAlign w:val="center"/>
          </w:tcPr>
          <w:p>
            <w:pPr>
              <w:jc w:val="center"/>
              <w:rPr>
                <w:b/>
                <w:kern w:val="0"/>
                <w:sz w:val="24"/>
                <w:szCs w:val="24"/>
              </w:rPr>
            </w:pPr>
            <w:r>
              <w:rPr>
                <w:rFonts w:hint="eastAsia"/>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1.您对公积金管理中心政务信息公示情况是否满意</w:t>
            </w:r>
          </w:p>
        </w:tc>
        <w:tc>
          <w:tcPr>
            <w:tcW w:w="1225" w:type="dxa"/>
            <w:vAlign w:val="center"/>
          </w:tcPr>
          <w:p>
            <w:pPr>
              <w:jc w:val="center"/>
              <w:rPr>
                <w:kern w:val="0"/>
                <w:sz w:val="24"/>
                <w:szCs w:val="24"/>
              </w:rPr>
            </w:pPr>
            <w:r>
              <w:rPr>
                <w:rFonts w:hint="eastAsia"/>
                <w:kern w:val="0"/>
                <w:sz w:val="24"/>
                <w:szCs w:val="24"/>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2.您对公积金管理中心服务态度及效率等是否满意</w:t>
            </w:r>
          </w:p>
        </w:tc>
        <w:tc>
          <w:tcPr>
            <w:tcW w:w="1225" w:type="dxa"/>
            <w:vAlign w:val="center"/>
          </w:tcPr>
          <w:p>
            <w:pPr>
              <w:jc w:val="center"/>
              <w:rPr>
                <w:kern w:val="0"/>
                <w:sz w:val="24"/>
                <w:szCs w:val="24"/>
              </w:rPr>
            </w:pPr>
            <w:r>
              <w:rPr>
                <w:rFonts w:hint="eastAsia"/>
                <w:kern w:val="0"/>
                <w:sz w:val="24"/>
                <w:szCs w:val="24"/>
              </w:rPr>
              <w:t>97.47%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3.您对公积金管理中心窗口环境及设施等是否满意</w:t>
            </w:r>
          </w:p>
        </w:tc>
        <w:tc>
          <w:tcPr>
            <w:tcW w:w="1225" w:type="dxa"/>
            <w:vAlign w:val="center"/>
          </w:tcPr>
          <w:p>
            <w:pPr>
              <w:jc w:val="center"/>
              <w:rPr>
                <w:kern w:val="0"/>
                <w:sz w:val="24"/>
                <w:szCs w:val="24"/>
              </w:rPr>
            </w:pPr>
            <w:r>
              <w:rPr>
                <w:rFonts w:hint="eastAsia"/>
                <w:kern w:val="0"/>
                <w:sz w:val="24"/>
                <w:szCs w:val="24"/>
              </w:rPr>
              <w:t>98.07%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4.您对公积金管理中心政策宣传力度是否满意</w:t>
            </w:r>
          </w:p>
        </w:tc>
        <w:tc>
          <w:tcPr>
            <w:tcW w:w="1225" w:type="dxa"/>
            <w:vAlign w:val="center"/>
          </w:tcPr>
          <w:p>
            <w:pPr>
              <w:jc w:val="center"/>
              <w:rPr>
                <w:kern w:val="0"/>
                <w:sz w:val="24"/>
                <w:szCs w:val="24"/>
              </w:rPr>
            </w:pPr>
            <w:r>
              <w:rPr>
                <w:rFonts w:hint="eastAsia"/>
                <w:kern w:val="0"/>
                <w:sz w:val="24"/>
                <w:szCs w:val="24"/>
              </w:rPr>
              <w:t>96.99%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5.您对公积金管理中心整体服务水平是否满意</w:t>
            </w:r>
          </w:p>
        </w:tc>
        <w:tc>
          <w:tcPr>
            <w:tcW w:w="1225" w:type="dxa"/>
            <w:vAlign w:val="center"/>
          </w:tcPr>
          <w:p>
            <w:pPr>
              <w:jc w:val="center"/>
              <w:rPr>
                <w:kern w:val="0"/>
                <w:sz w:val="24"/>
                <w:szCs w:val="24"/>
              </w:rPr>
            </w:pPr>
            <w:r>
              <w:rPr>
                <w:rFonts w:hint="eastAsia"/>
                <w:kern w:val="0"/>
                <w:sz w:val="24"/>
                <w:szCs w:val="24"/>
              </w:rPr>
              <w:t>96.74%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jc w:val="center"/>
              <w:rPr>
                <w:b/>
                <w:kern w:val="0"/>
                <w:sz w:val="24"/>
                <w:szCs w:val="24"/>
              </w:rPr>
            </w:pPr>
            <w:r>
              <w:rPr>
                <w:rFonts w:hint="eastAsia"/>
                <w:b/>
                <w:kern w:val="0"/>
                <w:sz w:val="24"/>
                <w:szCs w:val="24"/>
              </w:rPr>
              <w:t>综合满意度</w:t>
            </w:r>
          </w:p>
        </w:tc>
        <w:tc>
          <w:tcPr>
            <w:tcW w:w="1225" w:type="dxa"/>
            <w:vAlign w:val="center"/>
          </w:tcPr>
          <w:p>
            <w:pPr>
              <w:jc w:val="center"/>
              <w:rPr>
                <w:rFonts w:cs="宋体"/>
                <w:b/>
                <w:bCs/>
                <w:color w:val="000000"/>
                <w:sz w:val="24"/>
                <w:szCs w:val="24"/>
              </w:rPr>
            </w:pPr>
            <w:r>
              <w:rPr>
                <w:rFonts w:hint="eastAsia" w:cs="宋体"/>
                <w:b/>
                <w:bCs/>
                <w:color w:val="000000"/>
                <w:sz w:val="24"/>
                <w:szCs w:val="24"/>
              </w:rPr>
              <w:t>97.37%</w:t>
            </w:r>
          </w:p>
        </w:tc>
      </w:tr>
    </w:tbl>
    <w:p>
      <w:pPr>
        <w:pStyle w:val="7"/>
        <w:widowControl w:val="0"/>
        <w:spacing w:line="560" w:lineRule="exact"/>
        <w:jc w:val="left"/>
        <w:outlineLvl w:val="0"/>
        <w:rPr>
          <w:rFonts w:ascii="仿宋" w:eastAsia="仿宋"/>
          <w:sz w:val="22"/>
          <w:szCs w:val="22"/>
        </w:rPr>
      </w:pPr>
    </w:p>
    <w:p/>
    <w:p>
      <w:pPr>
        <w:pStyle w:val="27"/>
        <w:sectPr>
          <w:pgSz w:w="11906" w:h="16838"/>
          <w:pgMar w:top="1440" w:right="1800" w:bottom="1440" w:left="1800" w:header="851" w:footer="992" w:gutter="0"/>
          <w:cols w:space="425" w:num="1"/>
          <w:docGrid w:type="lines" w:linePitch="312" w:charSpace="0"/>
        </w:sectPr>
      </w:pPr>
    </w:p>
    <w:p>
      <w:pPr>
        <w:spacing w:line="560" w:lineRule="atLeast"/>
        <w:outlineLvl w:val="0"/>
        <w:rPr>
          <w:b/>
        </w:rPr>
      </w:pPr>
      <w:bookmarkStart w:id="321" w:name="_Toc22839"/>
      <w:r>
        <w:rPr>
          <w:rFonts w:hint="eastAsia"/>
          <w:b/>
          <w:bCs/>
        </w:rPr>
        <w:t>附件7：</w:t>
      </w:r>
      <w:r>
        <w:rPr>
          <w:rFonts w:hint="eastAsia"/>
          <w:b/>
        </w:rPr>
        <w:t xml:space="preserve">     社会调查问卷(管理对象)汇总分析报告</w:t>
      </w:r>
      <w:bookmarkEnd w:id="321"/>
    </w:p>
    <w:p>
      <w:pPr>
        <w:spacing w:line="560" w:lineRule="exact"/>
        <w:jc w:val="center"/>
        <w:rPr>
          <w:b/>
          <w:bCs/>
        </w:rPr>
      </w:pPr>
      <w:r>
        <w:rPr>
          <w:rFonts w:hint="eastAsia"/>
          <w:b/>
          <w:bCs/>
        </w:rPr>
        <w:t>2021年运城市住房公积金部门整体支出</w:t>
      </w:r>
    </w:p>
    <w:p>
      <w:pPr>
        <w:spacing w:line="560" w:lineRule="exact"/>
        <w:jc w:val="center"/>
        <w:rPr>
          <w:b/>
          <w:bCs/>
        </w:rPr>
      </w:pPr>
      <w:r>
        <w:rPr>
          <w:rFonts w:hint="eastAsia"/>
          <w:b/>
          <w:bCs/>
        </w:rPr>
        <w:t>绩效评价满意度调查</w:t>
      </w:r>
    </w:p>
    <w:p>
      <w:pPr>
        <w:spacing w:line="560" w:lineRule="exact"/>
        <w:ind w:firstLine="560" w:firstLineChars="200"/>
      </w:pPr>
      <w:r>
        <w:rPr>
          <w:rFonts w:hint="eastAsia"/>
        </w:rPr>
        <w:t>一、调查对象与调查内容</w:t>
      </w:r>
    </w:p>
    <w:p>
      <w:pPr>
        <w:spacing w:line="560" w:lineRule="exact"/>
        <w:ind w:firstLine="560" w:firstLineChars="200"/>
      </w:pPr>
      <w:r>
        <w:rPr>
          <w:rFonts w:hint="eastAsia"/>
        </w:rPr>
        <w:t>（一）调查对象</w:t>
      </w:r>
    </w:p>
    <w:p>
      <w:pPr>
        <w:spacing w:line="560" w:lineRule="exact"/>
        <w:ind w:firstLine="560" w:firstLineChars="200"/>
      </w:pPr>
      <w:r>
        <w:rPr>
          <w:rFonts w:hint="eastAsia"/>
        </w:rPr>
        <w:t>本次调查对象为运城市住房公积金中心的部门工作人员。</w:t>
      </w:r>
    </w:p>
    <w:p>
      <w:pPr>
        <w:spacing w:line="560" w:lineRule="exact"/>
        <w:ind w:firstLine="560" w:firstLineChars="200"/>
      </w:pPr>
      <w:r>
        <w:rPr>
          <w:rFonts w:hint="eastAsia"/>
        </w:rPr>
        <w:t>（二）调查内容</w:t>
      </w:r>
    </w:p>
    <w:p>
      <w:pPr>
        <w:spacing w:line="560" w:lineRule="exact"/>
        <w:ind w:firstLine="560" w:firstLineChars="200"/>
      </w:pPr>
      <w:r>
        <w:rPr>
          <w:rFonts w:hint="eastAsia"/>
        </w:rPr>
        <w:t>调查问卷内容包括：对单位配置的信息网络及软件使用效果是否满意；对单位办公大楼设施维修工作是否满意；在单位后勤管理工作（安保、消防、水电、食堂等）是否满意；对单位办公环境整体效果是否满意。</w:t>
      </w:r>
    </w:p>
    <w:p>
      <w:pPr>
        <w:spacing w:line="560" w:lineRule="exact"/>
        <w:ind w:firstLine="560" w:firstLineChars="200"/>
      </w:pPr>
      <w:r>
        <w:rPr>
          <w:rFonts w:hint="eastAsia"/>
        </w:rPr>
        <w:t>二、调查方法与调查方式</w:t>
      </w:r>
    </w:p>
    <w:p>
      <w:pPr>
        <w:spacing w:line="560" w:lineRule="exact"/>
        <w:ind w:firstLine="560" w:firstLineChars="200"/>
      </w:pPr>
      <w:r>
        <w:rPr>
          <w:rFonts w:hint="eastAsia"/>
        </w:rPr>
        <w:t>（一）调查方法</w:t>
      </w:r>
    </w:p>
    <w:p>
      <w:pPr>
        <w:spacing w:line="560" w:lineRule="exact"/>
        <w:ind w:firstLine="560" w:firstLineChars="200"/>
      </w:pPr>
      <w:r>
        <w:rPr>
          <w:rFonts w:hint="eastAsia"/>
        </w:rPr>
        <w:t>针对上述问卷调查对象开展问卷调查，在问卷调查全面开展之前，先对部分样本问卷进行论证，依据论证结果对问卷和问卷方案进行修改和调整，以保证调研切合实际，顺利进行。</w:t>
      </w:r>
    </w:p>
    <w:p>
      <w:pPr>
        <w:spacing w:line="560" w:lineRule="exact"/>
        <w:ind w:firstLine="560" w:firstLineChars="200"/>
      </w:pPr>
      <w:r>
        <w:rPr>
          <w:rFonts w:hint="eastAsia"/>
        </w:rPr>
        <w:t>（二）调查方式</w:t>
      </w:r>
    </w:p>
    <w:p>
      <w:pPr>
        <w:spacing w:line="560" w:lineRule="exact"/>
        <w:ind w:firstLine="560" w:firstLineChars="200"/>
      </w:pPr>
      <w:r>
        <w:rPr>
          <w:rFonts w:hint="eastAsia"/>
        </w:rPr>
        <w:t>本次调查工作人员采用网上发布电子问卷方式。共发放问卷51份，收回51份。</w:t>
      </w:r>
    </w:p>
    <w:p>
      <w:pPr>
        <w:spacing w:line="560" w:lineRule="exact"/>
        <w:ind w:firstLine="560" w:firstLineChars="200"/>
      </w:pPr>
      <w:r>
        <w:rPr>
          <w:rFonts w:hint="eastAsia"/>
        </w:rPr>
        <w:t>（三）调研安排</w:t>
      </w:r>
    </w:p>
    <w:p>
      <w:pPr>
        <w:spacing w:line="560" w:lineRule="exact"/>
        <w:ind w:firstLine="560" w:firstLineChars="200"/>
      </w:pPr>
      <w:r>
        <w:rPr>
          <w:rFonts w:hint="eastAsia"/>
        </w:rPr>
        <w:t>根据项目进度安排，项目组于2022年9月对调查对象开展问卷调查并分析。</w:t>
      </w:r>
    </w:p>
    <w:p>
      <w:pPr>
        <w:spacing w:line="560" w:lineRule="exact"/>
        <w:ind w:firstLine="560" w:firstLineChars="200"/>
      </w:pPr>
      <w:r>
        <w:rPr>
          <w:rFonts w:hint="eastAsia"/>
        </w:rPr>
        <w:t>三、调查问卷的评价方法</w:t>
      </w:r>
    </w:p>
    <w:p>
      <w:pPr>
        <w:spacing w:line="560" w:lineRule="exact"/>
        <w:ind w:firstLine="560" w:firstLineChars="200"/>
      </w:pPr>
      <w:r>
        <w:rPr>
          <w:rFonts w:hint="eastAsia"/>
        </w:rPr>
        <w:t>调查问卷设置了4个客观题，总分为100分。客观题各选项的评分值：选项非常满意（A）为100%，选项基本满意（B）为75%，选项一般（C）为50%，选项不满意（D）为0%。根据收回调查问卷数量，分别统计4个客观题选项A、B、C、D各自选择百分比，按4个客观题A、B、C、D选择百分比乘以各选项评分值得出各客观题加权平均满意度得分，然后计算出4个客观题算术平均数，将其作为满意度最终得分。</w:t>
      </w:r>
    </w:p>
    <w:p>
      <w:pPr>
        <w:spacing w:line="560" w:lineRule="exact"/>
        <w:ind w:firstLine="560" w:firstLineChars="200"/>
      </w:pPr>
      <w:r>
        <w:rPr>
          <w:rFonts w:hint="eastAsia"/>
        </w:rPr>
        <w:t>四、调查问卷的分析</w:t>
      </w:r>
    </w:p>
    <w:p>
      <w:pPr>
        <w:spacing w:line="560" w:lineRule="exact"/>
        <w:ind w:firstLine="560" w:firstLineChars="200"/>
      </w:pPr>
      <w:r>
        <w:rPr>
          <w:rFonts w:hint="eastAsia"/>
        </w:rPr>
        <w:t>1、被调查对象代表性分析</w:t>
      </w:r>
    </w:p>
    <w:p>
      <w:pPr>
        <w:spacing w:line="560" w:lineRule="exact"/>
        <w:ind w:firstLine="560" w:firstLineChars="200"/>
      </w:pPr>
      <w:r>
        <w:rPr>
          <w:rFonts w:hint="eastAsia"/>
        </w:rPr>
        <w:t>（1）基本情况</w:t>
      </w:r>
    </w:p>
    <w:p>
      <w:pPr>
        <w:spacing w:line="560" w:lineRule="exact"/>
        <w:ind w:firstLine="560" w:firstLineChars="200"/>
      </w:pPr>
      <w:r>
        <w:rPr>
          <w:rFonts w:hint="eastAsia"/>
        </w:rPr>
        <w:t>被调查的对象为运城市住房公积金中心的部门工作人员。</w:t>
      </w:r>
    </w:p>
    <w:p>
      <w:pPr>
        <w:spacing w:line="560" w:lineRule="exact"/>
        <w:ind w:firstLine="560" w:firstLineChars="200"/>
      </w:pPr>
      <w:r>
        <w:rPr>
          <w:rFonts w:hint="eastAsia"/>
        </w:rPr>
        <w:t>（2）样本回收率、有效问卷率</w:t>
      </w:r>
    </w:p>
    <w:p>
      <w:pPr>
        <w:spacing w:line="560" w:lineRule="exact"/>
        <w:ind w:firstLine="560" w:firstLineChars="200"/>
      </w:pPr>
      <w:r>
        <w:rPr>
          <w:rFonts w:hint="eastAsia"/>
        </w:rPr>
        <w:t>本次共发放51份，收回51份，有效问卷51份。</w:t>
      </w:r>
    </w:p>
    <w:p>
      <w:pPr>
        <w:spacing w:line="560" w:lineRule="exact"/>
        <w:ind w:firstLine="560" w:firstLineChars="200"/>
      </w:pPr>
      <w:r>
        <w:rPr>
          <w:rFonts w:hint="eastAsia"/>
        </w:rPr>
        <w:t>2.基本问题分析</w:t>
      </w:r>
    </w:p>
    <w:p>
      <w:pPr>
        <w:spacing w:line="560" w:lineRule="exact"/>
        <w:ind w:firstLine="560" w:firstLineChars="200"/>
      </w:pPr>
      <w:r>
        <w:rPr>
          <w:rFonts w:hint="eastAsia"/>
        </w:rPr>
        <w:t>（1）您对单位配置的信息网络及软件使用效果是否满意</w:t>
      </w:r>
    </w:p>
    <w:p>
      <w:pPr>
        <w:spacing w:line="560" w:lineRule="exact"/>
        <w:ind w:firstLine="560" w:firstLineChars="200"/>
      </w:pPr>
      <w:r>
        <w:rPr>
          <w:rFonts w:hint="eastAsia"/>
        </w:rPr>
        <w:t>根据调查问卷结果显示，88.24%的受访者表示对单位配置的信息网络及软件使用效果非常满意，11.76%的受访者表示对单位配置的信息网络及软件使用效果基本满意。分析得出，受访者对单位配置的信息网络及软件使用效果非常满意。</w:t>
      </w:r>
    </w:p>
    <w:p>
      <w:pPr>
        <w:spacing w:line="560" w:lineRule="exact"/>
        <w:ind w:firstLine="560" w:firstLineChars="200"/>
      </w:pPr>
      <w:r>
        <w:rPr>
          <w:rFonts w:hint="eastAsia"/>
        </w:rPr>
        <w:t>（2）您对单位办公大楼设施维修工作是否满意</w:t>
      </w:r>
    </w:p>
    <w:p>
      <w:pPr>
        <w:spacing w:line="560" w:lineRule="exact"/>
        <w:ind w:firstLine="560" w:firstLineChars="200"/>
      </w:pPr>
      <w:r>
        <w:rPr>
          <w:rFonts w:hint="eastAsia"/>
        </w:rPr>
        <w:t>根据调查问卷结果显示，96.08%的受访者表示对单位办公大楼设施维修工作非常满意，3.92%的受访者表示对单位办公大楼设施维修工作基本满意。分析得出，受访者对单位办公大楼设施维修工作非常满意。</w:t>
      </w:r>
    </w:p>
    <w:p>
      <w:pPr>
        <w:spacing w:line="560" w:lineRule="exact"/>
        <w:ind w:firstLine="560" w:firstLineChars="200"/>
      </w:pPr>
      <w:r>
        <w:rPr>
          <w:rFonts w:hint="eastAsia"/>
        </w:rPr>
        <w:t>（3）您对单位后勤管理工作（安保、消防、水电、食堂等）是否满意</w:t>
      </w:r>
    </w:p>
    <w:p>
      <w:pPr>
        <w:spacing w:line="560" w:lineRule="exact"/>
        <w:ind w:firstLine="560" w:firstLineChars="200"/>
      </w:pPr>
      <w:r>
        <w:rPr>
          <w:rFonts w:hint="eastAsia"/>
        </w:rPr>
        <w:t>根据调查问卷结果显示，96.08%的受访者表示对单位后勤管理工作非常满意，3.92%的受访者表示对单位后勤管理工作基本满意。分析得出，受访者对单位后勤管理工作（安保、消防、水电、食堂等）非常满意。</w:t>
      </w:r>
    </w:p>
    <w:p>
      <w:pPr>
        <w:spacing w:line="560" w:lineRule="exact"/>
        <w:ind w:firstLine="560" w:firstLineChars="200"/>
      </w:pPr>
      <w:r>
        <w:rPr>
          <w:rFonts w:hint="eastAsia"/>
        </w:rPr>
        <w:t>（4）您对单位办公环境整体效果是否满意</w:t>
      </w:r>
    </w:p>
    <w:p>
      <w:pPr>
        <w:spacing w:line="560" w:lineRule="exact"/>
        <w:ind w:firstLine="560" w:firstLineChars="200"/>
      </w:pPr>
      <w:r>
        <w:rPr>
          <w:rFonts w:hint="eastAsia"/>
        </w:rPr>
        <w:t>根据调查问卷结果显示，96.08%的受访者表示对单位办公环境整体效果非常满意，3.92%的受访者表示对单位办公环境整体效果基本满意，受访者对单位办公环境整体效果非常满意。</w:t>
      </w:r>
    </w:p>
    <w:p>
      <w:pPr>
        <w:spacing w:line="560" w:lineRule="exact"/>
        <w:ind w:firstLine="560" w:firstLineChars="200"/>
      </w:pPr>
      <w:r>
        <w:rPr>
          <w:rFonts w:hint="eastAsia"/>
        </w:rPr>
        <w:t>3、满意度分析</w:t>
      </w:r>
    </w:p>
    <w:p>
      <w:pPr>
        <w:spacing w:line="560" w:lineRule="exact"/>
        <w:ind w:firstLine="560" w:firstLineChars="200"/>
      </w:pPr>
      <w:r>
        <w:rPr>
          <w:rFonts w:hint="eastAsia"/>
        </w:rPr>
        <w:t>本次问卷调查，共整理51份问卷，综合得分为98.53分，具体满意度分项得分见附表。</w:t>
      </w:r>
    </w:p>
    <w:p>
      <w:pPr>
        <w:spacing w:after="240" w:line="500" w:lineRule="exact"/>
        <w:ind w:firstLine="643"/>
        <w:jc w:val="center"/>
        <w:outlineLvl w:val="2"/>
        <w:rPr>
          <w:b/>
          <w:sz w:val="24"/>
          <w:szCs w:val="24"/>
        </w:rPr>
      </w:pPr>
      <w:r>
        <w:rPr>
          <w:rFonts w:hint="eastAsia"/>
          <w:b/>
          <w:sz w:val="24"/>
          <w:szCs w:val="24"/>
        </w:rPr>
        <w:t>附表满意度分项得分情况</w:t>
      </w:r>
    </w:p>
    <w:tbl>
      <w:tblPr>
        <w:tblStyle w:val="19"/>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4"/>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84" w:type="dxa"/>
            <w:vAlign w:val="center"/>
          </w:tcPr>
          <w:p>
            <w:pPr>
              <w:jc w:val="center"/>
              <w:rPr>
                <w:b/>
                <w:kern w:val="0"/>
                <w:sz w:val="24"/>
                <w:szCs w:val="24"/>
              </w:rPr>
            </w:pPr>
            <w:r>
              <w:rPr>
                <w:rFonts w:hint="eastAsia"/>
                <w:b/>
                <w:kern w:val="0"/>
                <w:sz w:val="24"/>
                <w:szCs w:val="24"/>
              </w:rPr>
              <w:t>满意度评价内容</w:t>
            </w:r>
          </w:p>
        </w:tc>
        <w:tc>
          <w:tcPr>
            <w:tcW w:w="1225" w:type="dxa"/>
            <w:vAlign w:val="center"/>
          </w:tcPr>
          <w:p>
            <w:pPr>
              <w:jc w:val="center"/>
              <w:rPr>
                <w:b/>
                <w:kern w:val="0"/>
                <w:sz w:val="24"/>
                <w:szCs w:val="24"/>
              </w:rPr>
            </w:pPr>
            <w:r>
              <w:rPr>
                <w:rFonts w:hint="eastAsia"/>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1.您对单位配置的信息网络及软件使用效果是否满意</w:t>
            </w:r>
          </w:p>
        </w:tc>
        <w:tc>
          <w:tcPr>
            <w:tcW w:w="1225" w:type="dxa"/>
            <w:vAlign w:val="center"/>
          </w:tcPr>
          <w:p>
            <w:pPr>
              <w:jc w:val="center"/>
              <w:rPr>
                <w:kern w:val="0"/>
                <w:sz w:val="24"/>
                <w:szCs w:val="24"/>
              </w:rPr>
            </w:pPr>
            <w:r>
              <w:rPr>
                <w:rFonts w:hint="eastAsia"/>
                <w:kern w:val="0"/>
                <w:sz w:val="24"/>
                <w:szCs w:val="24"/>
              </w:rPr>
              <w:t>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2.您对单位办公大楼设施维修工作是否满意</w:t>
            </w:r>
          </w:p>
        </w:tc>
        <w:tc>
          <w:tcPr>
            <w:tcW w:w="1225" w:type="dxa"/>
            <w:vAlign w:val="center"/>
          </w:tcPr>
          <w:p>
            <w:pPr>
              <w:jc w:val="center"/>
              <w:rPr>
                <w:kern w:val="0"/>
                <w:sz w:val="24"/>
                <w:szCs w:val="24"/>
              </w:rPr>
            </w:pPr>
            <w:r>
              <w:rPr>
                <w:rFonts w:hint="eastAsia"/>
                <w:kern w:val="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3.您对单位后勤管理工作（安保、消防、水电、食堂等）是否满意</w:t>
            </w:r>
          </w:p>
        </w:tc>
        <w:tc>
          <w:tcPr>
            <w:tcW w:w="1225" w:type="dxa"/>
            <w:vAlign w:val="center"/>
          </w:tcPr>
          <w:p>
            <w:pPr>
              <w:jc w:val="center"/>
              <w:rPr>
                <w:kern w:val="0"/>
                <w:sz w:val="24"/>
                <w:szCs w:val="24"/>
              </w:rPr>
            </w:pPr>
            <w:r>
              <w:rPr>
                <w:rFonts w:hint="eastAsia"/>
                <w:kern w:val="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rPr>
                <w:kern w:val="0"/>
                <w:sz w:val="24"/>
                <w:szCs w:val="24"/>
              </w:rPr>
            </w:pPr>
            <w:r>
              <w:rPr>
                <w:rFonts w:hint="eastAsia"/>
                <w:kern w:val="0"/>
                <w:sz w:val="24"/>
                <w:szCs w:val="24"/>
              </w:rPr>
              <w:t>4.您对单位办公环境整体效果是否满意</w:t>
            </w:r>
          </w:p>
        </w:tc>
        <w:tc>
          <w:tcPr>
            <w:tcW w:w="1225" w:type="dxa"/>
            <w:vAlign w:val="center"/>
          </w:tcPr>
          <w:p>
            <w:pPr>
              <w:jc w:val="center"/>
              <w:rPr>
                <w:kern w:val="0"/>
                <w:sz w:val="24"/>
                <w:szCs w:val="24"/>
              </w:rPr>
            </w:pPr>
            <w:r>
              <w:rPr>
                <w:rFonts w:hint="eastAsia"/>
                <w:kern w:val="0"/>
                <w:sz w:val="24"/>
                <w:szCs w:val="24"/>
              </w:rPr>
              <w:t>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4" w:type="dxa"/>
            <w:vAlign w:val="center"/>
          </w:tcPr>
          <w:p>
            <w:pPr>
              <w:jc w:val="center"/>
              <w:rPr>
                <w:b/>
                <w:kern w:val="0"/>
                <w:sz w:val="24"/>
                <w:szCs w:val="24"/>
              </w:rPr>
            </w:pPr>
            <w:r>
              <w:rPr>
                <w:rFonts w:hint="eastAsia"/>
                <w:b/>
                <w:kern w:val="0"/>
                <w:sz w:val="24"/>
                <w:szCs w:val="24"/>
              </w:rPr>
              <w:t>综合满意度</w:t>
            </w:r>
          </w:p>
        </w:tc>
        <w:tc>
          <w:tcPr>
            <w:tcW w:w="1225" w:type="dxa"/>
            <w:vAlign w:val="center"/>
          </w:tcPr>
          <w:p>
            <w:pPr>
              <w:jc w:val="center"/>
              <w:rPr>
                <w:rFonts w:cs="宋体"/>
                <w:b/>
                <w:bCs/>
                <w:color w:val="000000"/>
                <w:sz w:val="24"/>
                <w:szCs w:val="24"/>
              </w:rPr>
            </w:pPr>
            <w:r>
              <w:rPr>
                <w:rFonts w:hint="eastAsia" w:cs="宋体"/>
                <w:b/>
                <w:bCs/>
                <w:color w:val="000000"/>
                <w:sz w:val="24"/>
                <w:szCs w:val="24"/>
              </w:rPr>
              <w:t>98.53%</w:t>
            </w:r>
          </w:p>
        </w:tc>
      </w:tr>
    </w:tbl>
    <w:p>
      <w:pPr>
        <w:pStyle w:val="7"/>
        <w:widowControl w:val="0"/>
        <w:spacing w:line="560" w:lineRule="exact"/>
        <w:jc w:val="left"/>
        <w:outlineLvl w:val="0"/>
        <w:rPr>
          <w:rFonts w:ascii="仿宋" w:eastAsia="仿宋"/>
          <w:sz w:val="22"/>
          <w:szCs w:val="22"/>
        </w:rPr>
      </w:pPr>
    </w:p>
    <w:p/>
    <w:p>
      <w:pPr>
        <w:pStyle w:val="27"/>
        <w:sectPr>
          <w:pgSz w:w="11906" w:h="16838"/>
          <w:pgMar w:top="1440" w:right="1800" w:bottom="1440" w:left="1800" w:header="851" w:footer="992" w:gutter="0"/>
          <w:cols w:space="425" w:num="1"/>
          <w:docGrid w:type="lines" w:linePitch="312" w:charSpace="0"/>
        </w:sectPr>
      </w:pPr>
    </w:p>
    <w:p>
      <w:pPr>
        <w:pStyle w:val="2"/>
        <w:spacing w:before="0" w:after="0" w:line="560" w:lineRule="exact"/>
        <w:rPr>
          <w:sz w:val="28"/>
        </w:rPr>
      </w:pPr>
      <w:bookmarkStart w:id="322" w:name="_Toc5040"/>
      <w:r>
        <w:rPr>
          <w:rFonts w:hint="eastAsia"/>
          <w:sz w:val="28"/>
        </w:rPr>
        <w:t>附件8：                实地调研照片</w:t>
      </w:r>
      <w:bookmarkEnd w:id="322"/>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57145" cy="1796415"/>
                  <wp:effectExtent l="0" t="0" r="14605" b="13335"/>
                  <wp:docPr id="3" name="图片 3" descr="9fdf54bee501f197c52cff2b8a0b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df54bee501f197c52cff2b8a0b832"/>
                          <pic:cNvPicPr>
                            <a:picLocks noChangeAspect="1"/>
                          </pic:cNvPicPr>
                        </pic:nvPicPr>
                        <pic:blipFill>
                          <a:blip r:embed="rId15"/>
                          <a:stretch>
                            <a:fillRect/>
                          </a:stretch>
                        </pic:blipFill>
                        <pic:spPr>
                          <a:xfrm>
                            <a:off x="0" y="0"/>
                            <a:ext cx="2557145" cy="1796415"/>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0320" cy="1757045"/>
                  <wp:effectExtent l="0" t="0" r="11430" b="14605"/>
                  <wp:docPr id="4" name="图片 4" descr="d907fea54a3211e604b8db53051b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07fea54a3211e604b8db53051bbee"/>
                          <pic:cNvPicPr>
                            <a:picLocks noChangeAspect="1"/>
                          </pic:cNvPicPr>
                        </pic:nvPicPr>
                        <pic:blipFill>
                          <a:blip r:embed="rId16"/>
                          <a:stretch>
                            <a:fillRect/>
                          </a:stretch>
                        </pic:blipFill>
                        <pic:spPr>
                          <a:xfrm>
                            <a:off x="0" y="0"/>
                            <a:ext cx="2560320" cy="1757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rPr>
            </w:pPr>
            <w:r>
              <w:rPr>
                <w:rFonts w:hint="eastAsia"/>
                <w:sz w:val="22"/>
              </w:rPr>
              <w:t>六层多功能会议厅修缮安装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62225" cy="1789430"/>
                  <wp:effectExtent l="0" t="0" r="9525" b="1270"/>
                  <wp:docPr id="12" name="图片 12" descr="音响、电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音响、电视"/>
                          <pic:cNvPicPr>
                            <a:picLocks noChangeAspect="1"/>
                          </pic:cNvPicPr>
                        </pic:nvPicPr>
                        <pic:blipFill>
                          <a:blip r:embed="rId17"/>
                          <a:stretch>
                            <a:fillRect/>
                          </a:stretch>
                        </pic:blipFill>
                        <pic:spPr>
                          <a:xfrm>
                            <a:off x="0" y="0"/>
                            <a:ext cx="2562225" cy="178943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7305" cy="1781810"/>
                  <wp:effectExtent l="0" t="0" r="4445" b="8890"/>
                  <wp:docPr id="17" name="图片 17" descr="音响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音响设备"/>
                          <pic:cNvPicPr>
                            <a:picLocks noChangeAspect="1"/>
                          </pic:cNvPicPr>
                        </pic:nvPicPr>
                        <pic:blipFill>
                          <a:blip r:embed="rId18"/>
                          <a:stretch>
                            <a:fillRect/>
                          </a:stretch>
                        </pic:blipFill>
                        <pic:spPr>
                          <a:xfrm>
                            <a:off x="0" y="0"/>
                            <a:ext cx="2567305" cy="1781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六层多功能会议厅修缮、音响安装等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20" name="图片 20" descr="7185a73c4af9e8f23c5266a8d3b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185a73c4af9e8f23c5266a8d3ba850"/>
                          <pic:cNvPicPr>
                            <a:picLocks noChangeAspect="1"/>
                          </pic:cNvPicPr>
                        </pic:nvPicPr>
                        <pic:blipFill>
                          <a:blip r:embed="rId19"/>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21" name="图片 21" descr="a3807a317e7488cb345fd8cc1e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3807a317e7488cb345fd8cc1e02051"/>
                          <pic:cNvPicPr>
                            <a:picLocks noChangeAspect="1"/>
                          </pic:cNvPicPr>
                        </pic:nvPicPr>
                        <pic:blipFill>
                          <a:blip r:embed="rId20"/>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公积金管理中心食堂装饰装修工程</w:t>
            </w:r>
          </w:p>
        </w:tc>
      </w:tr>
    </w:tbl>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48" name="图片 48" descr="d1b1c741827b124e135ef7c5e733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1b1c741827b124e135ef7c5e733b54"/>
                          <pic:cNvPicPr>
                            <a:picLocks noChangeAspect="1"/>
                          </pic:cNvPicPr>
                        </pic:nvPicPr>
                        <pic:blipFill>
                          <a:blip r:embed="rId21"/>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49" name="图片 49" descr="e50c844e1cbb10c4e76db47b6012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50c844e1cbb10c4e76db47b6012bc7"/>
                          <pic:cNvPicPr>
                            <a:picLocks noChangeAspect="1"/>
                          </pic:cNvPicPr>
                        </pic:nvPicPr>
                        <pic:blipFill>
                          <a:blip r:embed="rId22"/>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rPr>
            </w:pPr>
            <w:r>
              <w:rPr>
                <w:rFonts w:hint="eastAsia"/>
                <w:sz w:val="22"/>
              </w:rPr>
              <w:t>食堂地板、吊顶等装饰装修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50" name="图片 50" descr="438b8f269b314756c41790084bb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38b8f269b314756c41790084bb7175"/>
                          <pic:cNvPicPr>
                            <a:picLocks noChangeAspect="1"/>
                          </pic:cNvPicPr>
                        </pic:nvPicPr>
                        <pic:blipFill>
                          <a:blip r:embed="rId23"/>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51" name="图片 51" descr="db867e2ff8d68203fd160587cf05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b867e2ff8d68203fd160587cf050e4"/>
                          <pic:cNvPicPr>
                            <a:picLocks noChangeAspect="1"/>
                          </pic:cNvPicPr>
                        </pic:nvPicPr>
                        <pic:blipFill>
                          <a:blip r:embed="rId24"/>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rPr>
              <w:t>食堂地板、墙面装饰装修</w:t>
            </w:r>
          </w:p>
        </w:tc>
        <w:tc>
          <w:tcPr>
            <w:tcW w:w="4262" w:type="dxa"/>
            <w:vAlign w:val="center"/>
          </w:tcPr>
          <w:p>
            <w:pPr>
              <w:jc w:val="center"/>
              <w:rPr>
                <w:sz w:val="22"/>
                <w:szCs w:val="22"/>
              </w:rPr>
            </w:pPr>
            <w:r>
              <w:rPr>
                <w:rFonts w:hint="eastAsia"/>
                <w:sz w:val="22"/>
                <w:szCs w:val="22"/>
              </w:rPr>
              <w:t>食堂侧房</w:t>
            </w:r>
            <w:r>
              <w:rPr>
                <w:rFonts w:hint="eastAsia"/>
                <w:sz w:val="22"/>
              </w:rPr>
              <w:t>装饰装修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67940" cy="1925955"/>
                  <wp:effectExtent l="0" t="0" r="3810" b="17145"/>
                  <wp:docPr id="52" name="图片 52" descr="54e0c067ddae8009b4b5ffa6f1c8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4e0c067ddae8009b4b5ffa6f1c8f9a"/>
                          <pic:cNvPicPr>
                            <a:picLocks noChangeAspect="1"/>
                          </pic:cNvPicPr>
                        </pic:nvPicPr>
                        <pic:blipFill>
                          <a:blip r:embed="rId25"/>
                          <a:stretch>
                            <a:fillRect/>
                          </a:stretch>
                        </pic:blipFill>
                        <pic:spPr>
                          <a:xfrm>
                            <a:off x="0" y="0"/>
                            <a:ext cx="2567940" cy="1925955"/>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7940" cy="1925955"/>
                  <wp:effectExtent l="0" t="0" r="3810" b="17145"/>
                  <wp:docPr id="53" name="图片 53" descr="f8456e3e3e3e77a81fad9c4e7dcc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456e3e3e3e77a81fad9c4e7dccbe5"/>
                          <pic:cNvPicPr>
                            <a:picLocks noChangeAspect="1"/>
                          </pic:cNvPicPr>
                        </pic:nvPicPr>
                        <pic:blipFill>
                          <a:blip r:embed="rId26"/>
                          <a:stretch>
                            <a:fillRect/>
                          </a:stretch>
                        </pic:blipFill>
                        <pic:spPr>
                          <a:xfrm>
                            <a:off x="0" y="0"/>
                            <a:ext cx="2567940" cy="1925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三楼会议室修缮</w:t>
            </w:r>
          </w:p>
        </w:tc>
      </w:tr>
    </w:tbl>
    <w:p>
      <w:pPr>
        <w:pStyle w:val="7"/>
        <w:jc w:val="left"/>
        <w:rPr>
          <w:rFonts w:ascii="仿宋" w:eastAsia="仿宋"/>
          <w:b/>
          <w:bCs/>
          <w:sz w:val="28"/>
        </w:rPr>
      </w:pPr>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66035" cy="3274060"/>
                  <wp:effectExtent l="0" t="0" r="5715" b="2540"/>
                  <wp:docPr id="142" name="图片 142" descr="8497932d05f257e8dd1565bbfbce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8497932d05f257e8dd1565bbfbce25a"/>
                          <pic:cNvPicPr>
                            <a:picLocks noChangeAspect="1"/>
                          </pic:cNvPicPr>
                        </pic:nvPicPr>
                        <pic:blipFill>
                          <a:blip r:embed="rId27"/>
                          <a:stretch>
                            <a:fillRect/>
                          </a:stretch>
                        </pic:blipFill>
                        <pic:spPr>
                          <a:xfrm>
                            <a:off x="0" y="0"/>
                            <a:ext cx="2566035" cy="327406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0320" cy="3412490"/>
                  <wp:effectExtent l="0" t="0" r="11430" b="16510"/>
                  <wp:docPr id="143" name="图片 143" descr="69cd09114d40b05ea2c7eba95dcc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69cd09114d40b05ea2c7eba95dcccf9"/>
                          <pic:cNvPicPr>
                            <a:picLocks noChangeAspect="1"/>
                          </pic:cNvPicPr>
                        </pic:nvPicPr>
                        <pic:blipFill>
                          <a:blip r:embed="rId28"/>
                          <a:stretch>
                            <a:fillRect/>
                          </a:stretch>
                        </pic:blipFill>
                        <pic:spPr>
                          <a:xfrm>
                            <a:off x="0" y="0"/>
                            <a:ext cx="2560320" cy="3412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rPr>
            </w:pPr>
            <w:r>
              <w:rPr>
                <w:rFonts w:hint="eastAsia"/>
                <w:sz w:val="22"/>
              </w:rPr>
              <w:t>永济管理部修缮工程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62225" cy="1809115"/>
                  <wp:effectExtent l="0" t="0" r="9525" b="635"/>
                  <wp:docPr id="140" name="图片 140" descr="8b5c77a513850e3b227fe87ac0d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8b5c77a513850e3b227fe87ac0d0400"/>
                          <pic:cNvPicPr>
                            <a:picLocks noChangeAspect="1"/>
                          </pic:cNvPicPr>
                        </pic:nvPicPr>
                        <pic:blipFill>
                          <a:blip r:embed="rId29"/>
                          <a:stretch>
                            <a:fillRect/>
                          </a:stretch>
                        </pic:blipFill>
                        <pic:spPr>
                          <a:xfrm>
                            <a:off x="0" y="0"/>
                            <a:ext cx="2562225" cy="1809115"/>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6035" cy="1813560"/>
                  <wp:effectExtent l="0" t="0" r="5715" b="15240"/>
                  <wp:docPr id="141" name="图片 141" descr="539bb600c87713bf09e47c5fea38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539bb600c87713bf09e47c5fea38df3"/>
                          <pic:cNvPicPr>
                            <a:picLocks noChangeAspect="1"/>
                          </pic:cNvPicPr>
                        </pic:nvPicPr>
                        <pic:blipFill>
                          <a:blip r:embed="rId30"/>
                          <a:stretch>
                            <a:fillRect/>
                          </a:stretch>
                        </pic:blipFill>
                        <pic:spPr>
                          <a:xfrm>
                            <a:off x="0" y="0"/>
                            <a:ext cx="2566035" cy="1813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公积金单位OA系统</w:t>
            </w:r>
          </w:p>
        </w:tc>
      </w:tr>
    </w:tbl>
    <w:p>
      <w:pPr>
        <w:pStyle w:val="7"/>
        <w:rPr>
          <w:rFonts w:ascii="仿宋" w:eastAsia="仿宋"/>
          <w:sz w:val="24"/>
          <w:szCs w:val="24"/>
        </w:rPr>
        <w:sectPr>
          <w:pgSz w:w="11906" w:h="16838"/>
          <w:pgMar w:top="1440" w:right="1800" w:bottom="1440" w:left="1800" w:header="851" w:footer="992" w:gutter="0"/>
          <w:cols w:space="425" w:num="1"/>
          <w:docGrid w:type="lines" w:linePitch="312" w:charSpace="0"/>
        </w:sectPr>
      </w:pPr>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77" name="图片 77" descr="0e71a957490b7a81a5d7e83a510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e71a957490b7a81a5d7e83a5105378"/>
                          <pic:cNvPicPr>
                            <a:picLocks noChangeAspect="1"/>
                          </pic:cNvPicPr>
                        </pic:nvPicPr>
                        <pic:blipFill>
                          <a:blip r:embed="rId31"/>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78" name="图片 78" descr="6e167f1aac51f3c04a764928479e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e167f1aac51f3c04a764928479edfe"/>
                          <pic:cNvPicPr>
                            <a:picLocks noChangeAspect="1"/>
                          </pic:cNvPicPr>
                        </pic:nvPicPr>
                        <pic:blipFill>
                          <a:blip r:embed="rId32"/>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rPr>
            </w:pPr>
            <w:r>
              <w:rPr>
                <w:rFonts w:hint="eastAsia"/>
                <w:sz w:val="22"/>
              </w:rPr>
              <w:t>公务用车(晋MN8081)</w:t>
            </w:r>
          </w:p>
        </w:tc>
        <w:tc>
          <w:tcPr>
            <w:tcW w:w="4262" w:type="dxa"/>
            <w:vAlign w:val="center"/>
          </w:tcPr>
          <w:p>
            <w:pPr>
              <w:jc w:val="center"/>
              <w:rPr>
                <w:sz w:val="22"/>
              </w:rPr>
            </w:pPr>
            <w:r>
              <w:rPr>
                <w:rFonts w:hint="eastAsia"/>
                <w:sz w:val="22"/>
              </w:rPr>
              <w:t>公务用车(晋M620G1)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79" name="图片 79" descr="081fc1bbebfd5b089468783df2e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81fc1bbebfd5b089468783df2e96c4"/>
                          <pic:cNvPicPr>
                            <a:picLocks noChangeAspect="1"/>
                          </pic:cNvPicPr>
                        </pic:nvPicPr>
                        <pic:blipFill>
                          <a:blip r:embed="rId33"/>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80" name="图片 80" descr="743ee0a3628be2ebdf13ef6330ec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743ee0a3628be2ebdf13ef6330ec0b9"/>
                          <pic:cNvPicPr>
                            <a:picLocks noChangeAspect="1"/>
                          </pic:cNvPicPr>
                        </pic:nvPicPr>
                        <pic:blipFill>
                          <a:blip r:embed="rId34"/>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rPr>
              <w:t>公务用车(晋MD17127)</w:t>
            </w:r>
          </w:p>
        </w:tc>
        <w:tc>
          <w:tcPr>
            <w:tcW w:w="4262" w:type="dxa"/>
            <w:vAlign w:val="center"/>
          </w:tcPr>
          <w:p>
            <w:pPr>
              <w:jc w:val="center"/>
              <w:rPr>
                <w:sz w:val="22"/>
                <w:szCs w:val="22"/>
              </w:rPr>
            </w:pPr>
            <w:r>
              <w:rPr>
                <w:rFonts w:hint="eastAsia"/>
                <w:sz w:val="22"/>
              </w:rPr>
              <w:t>公务用车(晋MA0506)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81" name="图片 81" descr="021142f449a59b19dcd8cea4f753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21142f449a59b19dcd8cea4f753f66"/>
                          <pic:cNvPicPr>
                            <a:picLocks noChangeAspect="1"/>
                          </pic:cNvPicPr>
                        </pic:nvPicPr>
                        <pic:blipFill>
                          <a:blip r:embed="rId35"/>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82" name="图片 82" descr="5077fac9ef69bbd13bd46cf3d490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5077fac9ef69bbd13bd46cf3d4904ef"/>
                          <pic:cNvPicPr>
                            <a:picLocks noChangeAspect="1"/>
                          </pic:cNvPicPr>
                        </pic:nvPicPr>
                        <pic:blipFill>
                          <a:blip r:embed="rId36"/>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szCs w:val="22"/>
              </w:rPr>
              <w:t>视频监控</w:t>
            </w:r>
          </w:p>
        </w:tc>
      </w:tr>
    </w:tbl>
    <w:p>
      <w:pPr>
        <w:spacing w:line="20" w:lineRule="exact"/>
        <w:sectPr>
          <w:pgSz w:w="11906" w:h="16838"/>
          <w:pgMar w:top="1440" w:right="1800" w:bottom="1440" w:left="1800" w:header="851" w:footer="992" w:gutter="0"/>
          <w:cols w:space="425" w:num="1"/>
          <w:docGrid w:type="lines" w:linePitch="312" w:charSpace="0"/>
        </w:sectPr>
      </w:pPr>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93" name="图片 93" descr="公积金大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公积金大楼2"/>
                          <pic:cNvPicPr>
                            <a:picLocks noChangeAspect="1"/>
                          </pic:cNvPicPr>
                        </pic:nvPicPr>
                        <pic:blipFill>
                          <a:blip r:embed="rId37"/>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94" name="图片 94" descr="桌、椅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桌、椅类"/>
                          <pic:cNvPicPr>
                            <a:picLocks noChangeAspect="1"/>
                          </pic:cNvPicPr>
                        </pic:nvPicPr>
                        <pic:blipFill>
                          <a:blip r:embed="rId38"/>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rPr>
            </w:pPr>
            <w:r>
              <w:rPr>
                <w:rFonts w:hint="eastAsia"/>
                <w:sz w:val="22"/>
              </w:rPr>
              <w:t>办公用房</w:t>
            </w:r>
          </w:p>
        </w:tc>
        <w:tc>
          <w:tcPr>
            <w:tcW w:w="4262" w:type="dxa"/>
            <w:vAlign w:val="center"/>
          </w:tcPr>
          <w:p>
            <w:pPr>
              <w:jc w:val="center"/>
              <w:rPr>
                <w:sz w:val="22"/>
              </w:rPr>
            </w:pPr>
            <w:r>
              <w:rPr>
                <w:rFonts w:hint="eastAsia"/>
                <w:sz w:val="22"/>
              </w:rPr>
              <w:t>办公桌椅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102" name="图片 102" descr="桌、椅、文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桌、椅、文件柜"/>
                          <pic:cNvPicPr>
                            <a:picLocks noChangeAspect="1"/>
                          </pic:cNvPicPr>
                        </pic:nvPicPr>
                        <pic:blipFill>
                          <a:blip r:embed="rId39"/>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101" name="图片 101" descr="餐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餐椅"/>
                          <pic:cNvPicPr>
                            <a:picLocks noChangeAspect="1"/>
                          </pic:cNvPicPr>
                        </pic:nvPicPr>
                        <pic:blipFill>
                          <a:blip r:embed="rId40"/>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rPr>
              <w:t>办公桌椅、文件柜</w:t>
            </w:r>
          </w:p>
        </w:tc>
        <w:tc>
          <w:tcPr>
            <w:tcW w:w="4262" w:type="dxa"/>
            <w:vAlign w:val="center"/>
          </w:tcPr>
          <w:p>
            <w:pPr>
              <w:jc w:val="center"/>
              <w:rPr>
                <w:sz w:val="22"/>
                <w:szCs w:val="22"/>
              </w:rPr>
            </w:pPr>
            <w:r>
              <w:rPr>
                <w:rFonts w:hint="eastAsia"/>
                <w:sz w:val="22"/>
                <w:szCs w:val="22"/>
              </w:rPr>
              <w:t>餐椅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55875" cy="1438275"/>
                  <wp:effectExtent l="0" t="0" r="15875" b="9525"/>
                  <wp:docPr id="100" name="图片 100" descr="接待室沙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接待室沙发2"/>
                          <pic:cNvPicPr>
                            <a:picLocks noChangeAspect="1"/>
                          </pic:cNvPicPr>
                        </pic:nvPicPr>
                        <pic:blipFill>
                          <a:blip r:embed="rId41"/>
                          <a:stretch>
                            <a:fillRect/>
                          </a:stretch>
                        </pic:blipFill>
                        <pic:spPr>
                          <a:xfrm>
                            <a:off x="0" y="0"/>
                            <a:ext cx="2555875" cy="1438275"/>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2860" cy="1442085"/>
                  <wp:effectExtent l="0" t="0" r="8890" b="5715"/>
                  <wp:docPr id="103" name="图片 103" descr="接待室沙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接待室沙发1"/>
                          <pic:cNvPicPr>
                            <a:picLocks noChangeAspect="1"/>
                          </pic:cNvPicPr>
                        </pic:nvPicPr>
                        <pic:blipFill>
                          <a:blip r:embed="rId42"/>
                          <a:stretch>
                            <a:fillRect/>
                          </a:stretch>
                        </pic:blipFill>
                        <pic:spPr>
                          <a:xfrm>
                            <a:off x="0" y="0"/>
                            <a:ext cx="2562860" cy="1442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rPr>
              <w:t>接待室沙发</w:t>
            </w:r>
          </w:p>
        </w:tc>
        <w:tc>
          <w:tcPr>
            <w:tcW w:w="4262" w:type="dxa"/>
            <w:vAlign w:val="center"/>
          </w:tcPr>
          <w:p>
            <w:pPr>
              <w:jc w:val="center"/>
              <w:rPr>
                <w:sz w:val="22"/>
                <w:szCs w:val="22"/>
              </w:rPr>
            </w:pPr>
            <w:r>
              <w:rPr>
                <w:rFonts w:hint="eastAsia"/>
                <w:sz w:val="22"/>
              </w:rPr>
              <w:t>接待室沙发</w:t>
            </w:r>
          </w:p>
        </w:tc>
      </w:tr>
    </w:tbl>
    <w:p>
      <w:pPr>
        <w:rPr>
          <w:b/>
          <w:bCs/>
        </w:rPr>
      </w:pPr>
      <w:r>
        <w:rPr>
          <w:rFonts w:hint="eastAsia"/>
          <w:b/>
          <w:bCs/>
        </w:rPr>
        <w:br w:type="page"/>
      </w:r>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110" name="图片 110" descr="3b444d07fdb27cff7324f5e7ed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b444d07fdb27cff7324f5e7ed15656"/>
                          <pic:cNvPicPr>
                            <a:picLocks noChangeAspect="1"/>
                          </pic:cNvPicPr>
                        </pic:nvPicPr>
                        <pic:blipFill>
                          <a:blip r:embed="rId43"/>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111" name="图片 111" descr="d581a94fd11e40dbef21fa421f59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581a94fd11e40dbef21fa421f59aa1"/>
                          <pic:cNvPicPr>
                            <a:picLocks noChangeAspect="1"/>
                          </pic:cNvPicPr>
                        </pic:nvPicPr>
                        <pic:blipFill>
                          <a:blip r:embed="rId44"/>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rPr>
            </w:pPr>
            <w:r>
              <w:rPr>
                <w:rFonts w:hint="eastAsia"/>
                <w:sz w:val="22"/>
              </w:rPr>
              <w:t>市政务大厅业务办理中心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144" name="图片 144" descr="28156fab7f9dd04ba89c411c03a4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8156fab7f9dd04ba89c411c03a4f2d"/>
                          <pic:cNvPicPr>
                            <a:picLocks noChangeAspect="1"/>
                          </pic:cNvPicPr>
                        </pic:nvPicPr>
                        <pic:blipFill>
                          <a:blip r:embed="rId45"/>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145" name="图片 145" descr="af2f8f5bf9de286a5eb3d0a0c78a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af2f8f5bf9de286a5eb3d0a0c78acbb"/>
                          <pic:cNvPicPr>
                            <a:picLocks noChangeAspect="1"/>
                          </pic:cNvPicPr>
                        </pic:nvPicPr>
                        <pic:blipFill>
                          <a:blip r:embed="rId46"/>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市政务大厅业务办理中心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34920" cy="1901190"/>
                  <wp:effectExtent l="0" t="0" r="17780" b="3810"/>
                  <wp:docPr id="112" name="图片 112" descr="d12d4283b9010e7a37d59329003e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12d4283b9010e7a37d59329003e988"/>
                          <pic:cNvPicPr>
                            <a:picLocks noChangeAspect="1"/>
                          </pic:cNvPicPr>
                        </pic:nvPicPr>
                        <pic:blipFill>
                          <a:blip r:embed="rId47"/>
                          <a:stretch>
                            <a:fillRect/>
                          </a:stretch>
                        </pic:blipFill>
                        <pic:spPr>
                          <a:xfrm>
                            <a:off x="0" y="0"/>
                            <a:ext cx="2534920" cy="19011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113" name="图片 113" descr="da56f257092400a6a81b2ac624fa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da56f257092400a6a81b2ac624fa0d6"/>
                          <pic:cNvPicPr>
                            <a:picLocks noChangeAspect="1"/>
                          </pic:cNvPicPr>
                        </pic:nvPicPr>
                        <pic:blipFill>
                          <a:blip r:embed="rId48"/>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szCs w:val="22"/>
              </w:rPr>
            </w:pPr>
            <w:r>
              <w:rPr>
                <w:rFonts w:hint="eastAsia"/>
                <w:sz w:val="22"/>
              </w:rPr>
              <w:t>政务大厅多功能一体机</w:t>
            </w:r>
          </w:p>
        </w:tc>
      </w:tr>
    </w:tbl>
    <w:p>
      <w:pPr>
        <w:rPr>
          <w:b/>
          <w:bCs/>
        </w:rPr>
      </w:pPr>
      <w:r>
        <w:rPr>
          <w:rFonts w:hint="eastAsia"/>
          <w:b/>
          <w:bCs/>
        </w:rPr>
        <w:br w:type="page"/>
      </w:r>
    </w:p>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p>
      <w:pPr>
        <w:pStyle w:val="7"/>
        <w:jc w:val="left"/>
        <w:rPr>
          <w:rFonts w:ascii="仿宋" w:eastAsia="仿宋"/>
          <w:b/>
          <w:bCs/>
          <w:sz w:val="28"/>
        </w:rPr>
      </w:pP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55240" cy="1776730"/>
                  <wp:effectExtent l="0" t="0" r="16510" b="13970"/>
                  <wp:docPr id="115" name="图片 115" descr="56b339edacdd8400e419725d0eac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56b339edacdd8400e419725d0eacb3f"/>
                          <pic:cNvPicPr>
                            <a:picLocks noChangeAspect="1"/>
                          </pic:cNvPicPr>
                        </pic:nvPicPr>
                        <pic:blipFill>
                          <a:blip r:embed="rId49"/>
                          <a:stretch>
                            <a:fillRect/>
                          </a:stretch>
                        </pic:blipFill>
                        <pic:spPr>
                          <a:xfrm>
                            <a:off x="0" y="0"/>
                            <a:ext cx="2555240" cy="177673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7940" cy="1824355"/>
                  <wp:effectExtent l="0" t="0" r="3810" b="4445"/>
                  <wp:docPr id="114" name="图片 114" descr="7673ab5d2b366c207d8ea8df80a7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7673ab5d2b366c207d8ea8df80a7ca9"/>
                          <pic:cNvPicPr>
                            <a:picLocks noChangeAspect="1"/>
                          </pic:cNvPicPr>
                        </pic:nvPicPr>
                        <pic:blipFill>
                          <a:blip r:embed="rId50"/>
                          <a:stretch>
                            <a:fillRect/>
                          </a:stretch>
                        </pic:blipFill>
                        <pic:spPr>
                          <a:xfrm>
                            <a:off x="0" y="0"/>
                            <a:ext cx="2567940" cy="1824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4" w:type="dxa"/>
            <w:gridSpan w:val="2"/>
            <w:vAlign w:val="center"/>
          </w:tcPr>
          <w:p>
            <w:pPr>
              <w:jc w:val="center"/>
              <w:rPr>
                <w:sz w:val="22"/>
              </w:rPr>
            </w:pPr>
            <w:r>
              <w:rPr>
                <w:rFonts w:hint="eastAsia"/>
                <w:sz w:val="22"/>
                <w:szCs w:val="22"/>
              </w:rPr>
              <w:t>盐湖政务大厅业务办理中心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54605" cy="1437005"/>
                  <wp:effectExtent l="0" t="0" r="17145" b="10795"/>
                  <wp:docPr id="146" name="图片 146" descr="094a36f2502c6e4797a95f4817d0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94a36f2502c6e4797a95f4817d0c61"/>
                          <pic:cNvPicPr>
                            <a:picLocks noChangeAspect="1"/>
                          </pic:cNvPicPr>
                        </pic:nvPicPr>
                        <pic:blipFill>
                          <a:blip r:embed="rId51"/>
                          <a:stretch>
                            <a:fillRect/>
                          </a:stretch>
                        </pic:blipFill>
                        <pic:spPr>
                          <a:xfrm>
                            <a:off x="0" y="0"/>
                            <a:ext cx="2554605" cy="1437005"/>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5400" cy="1443355"/>
                  <wp:effectExtent l="0" t="0" r="6350" b="4445"/>
                  <wp:docPr id="148" name="图片 148" descr="一体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一体机2"/>
                          <pic:cNvPicPr>
                            <a:picLocks noChangeAspect="1"/>
                          </pic:cNvPicPr>
                        </pic:nvPicPr>
                        <pic:blipFill>
                          <a:blip r:embed="rId52"/>
                          <a:stretch>
                            <a:fillRect/>
                          </a:stretch>
                        </pic:blipFill>
                        <pic:spPr>
                          <a:xfrm>
                            <a:off x="0" y="0"/>
                            <a:ext cx="2565400" cy="1443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szCs w:val="22"/>
              </w:rPr>
              <w:t>盐湖政务大厅业务办理中心</w:t>
            </w:r>
          </w:p>
        </w:tc>
        <w:tc>
          <w:tcPr>
            <w:tcW w:w="4262" w:type="dxa"/>
            <w:vAlign w:val="center"/>
          </w:tcPr>
          <w:p>
            <w:pPr>
              <w:jc w:val="center"/>
              <w:rPr>
                <w:sz w:val="22"/>
              </w:rPr>
            </w:pPr>
            <w:r>
              <w:rPr>
                <w:rFonts w:hint="eastAsia"/>
                <w:sz w:val="22"/>
              </w:rPr>
              <w:t>盐湖政务大厅自助机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56510" cy="1860550"/>
                  <wp:effectExtent l="0" t="0" r="15240" b="6350"/>
                  <wp:docPr id="125" name="图片 125" descr="一体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一体机"/>
                          <pic:cNvPicPr>
                            <a:picLocks noChangeAspect="1"/>
                          </pic:cNvPicPr>
                        </pic:nvPicPr>
                        <pic:blipFill>
                          <a:blip r:embed="rId53"/>
                          <a:stretch>
                            <a:fillRect/>
                          </a:stretch>
                        </pic:blipFill>
                        <pic:spPr>
                          <a:xfrm>
                            <a:off x="0" y="0"/>
                            <a:ext cx="2556510" cy="186055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34920" cy="1901190"/>
                  <wp:effectExtent l="0" t="0" r="17780" b="3810"/>
                  <wp:docPr id="124" name="图片 124" descr="c04416cbef365e059e25cca2726f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04416cbef365e059e25cca2726f4ea"/>
                          <pic:cNvPicPr>
                            <a:picLocks noChangeAspect="1"/>
                          </pic:cNvPicPr>
                        </pic:nvPicPr>
                        <pic:blipFill>
                          <a:blip r:embed="rId54"/>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rPr>
              <w:t>盐湖政务大厅自助机</w:t>
            </w:r>
          </w:p>
        </w:tc>
        <w:tc>
          <w:tcPr>
            <w:tcW w:w="4262" w:type="dxa"/>
            <w:vAlign w:val="center"/>
          </w:tcPr>
          <w:p>
            <w:pPr>
              <w:jc w:val="center"/>
              <w:rPr>
                <w:sz w:val="22"/>
                <w:szCs w:val="22"/>
              </w:rPr>
            </w:pPr>
            <w:r>
              <w:rPr>
                <w:rFonts w:hint="eastAsia"/>
                <w:sz w:val="22"/>
              </w:rPr>
              <w:t>盐湖政务大厅自助机</w:t>
            </w:r>
          </w:p>
        </w:tc>
      </w:tr>
    </w:tbl>
    <w:p>
      <w:pPr>
        <w:pStyle w:val="7"/>
      </w:pPr>
    </w:p>
    <w:p>
      <w:pPr>
        <w:pStyle w:val="7"/>
        <w:jc w:val="left"/>
        <w:rPr>
          <w:rFonts w:ascii="仿宋" w:eastAsia="仿宋"/>
          <w:b/>
          <w:bCs/>
          <w:sz w:val="28"/>
        </w:rPr>
      </w:pPr>
      <w:r>
        <w:rPr>
          <w:rFonts w:hint="eastAsia" w:ascii="仿宋" w:eastAsia="仿宋"/>
          <w:b/>
          <w:bCs/>
          <w:sz w:val="28"/>
        </w:rPr>
        <w:t>项目名称：运城市公积金管理中心2021年度部门整体支出绩效评价</w:t>
      </w:r>
    </w:p>
    <w:tbl>
      <w:tblPr>
        <w:tblStyle w:val="20"/>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4264" w:type="dxa"/>
            <w:vAlign w:val="center"/>
          </w:tcPr>
          <w:p>
            <w:pPr>
              <w:jc w:val="center"/>
            </w:pPr>
            <w:r>
              <w:rPr>
                <w:rFonts w:hint="eastAsia"/>
              </w:rPr>
              <w:drawing>
                <wp:inline distT="0" distB="0" distL="114300" distR="114300">
                  <wp:extent cx="2570480" cy="1926590"/>
                  <wp:effectExtent l="0" t="0" r="1270" b="16510"/>
                  <wp:docPr id="137" name="图片 137" descr="daef0f3ab76c399e6fb142cc8c17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daef0f3ab76c399e6fb142cc8c17b6d"/>
                          <pic:cNvPicPr>
                            <a:picLocks noChangeAspect="1"/>
                          </pic:cNvPicPr>
                        </pic:nvPicPr>
                        <pic:blipFill>
                          <a:blip r:embed="rId55"/>
                          <a:stretch>
                            <a:fillRect/>
                          </a:stretch>
                        </pic:blipFill>
                        <pic:spPr>
                          <a:xfrm>
                            <a:off x="0" y="0"/>
                            <a:ext cx="2570480" cy="192659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1590" cy="1920240"/>
                  <wp:effectExtent l="0" t="0" r="10160" b="3810"/>
                  <wp:docPr id="138" name="图片 138" descr="e2784b1127f0f83403fec254d678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e2784b1127f0f83403fec254d678a6d"/>
                          <pic:cNvPicPr>
                            <a:picLocks noChangeAspect="1"/>
                          </pic:cNvPicPr>
                        </pic:nvPicPr>
                        <pic:blipFill>
                          <a:blip r:embed="rId56"/>
                          <a:stretch>
                            <a:fillRect/>
                          </a:stretch>
                        </pic:blipFill>
                        <pic:spPr>
                          <a:xfrm>
                            <a:off x="0" y="0"/>
                            <a:ext cx="256159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rPr>
            </w:pPr>
            <w:r>
              <w:rPr>
                <w:rFonts w:hint="eastAsia"/>
                <w:sz w:val="22"/>
                <w:szCs w:val="22"/>
              </w:rPr>
              <w:t>河津政务大厅</w:t>
            </w:r>
          </w:p>
        </w:tc>
        <w:tc>
          <w:tcPr>
            <w:tcW w:w="4262" w:type="dxa"/>
            <w:vAlign w:val="center"/>
          </w:tcPr>
          <w:p>
            <w:pPr>
              <w:jc w:val="center"/>
              <w:rPr>
                <w:sz w:val="22"/>
              </w:rPr>
            </w:pPr>
            <w:r>
              <w:rPr>
                <w:rFonts w:hint="eastAsia"/>
                <w:sz w:val="22"/>
                <w:szCs w:val="22"/>
              </w:rPr>
              <w:t>绛县政务大厅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61590" cy="1920240"/>
                  <wp:effectExtent l="0" t="0" r="10160" b="3810"/>
                  <wp:docPr id="139" name="图片 139" descr="f3f3860c8eba79efcf6c30da314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f3f3860c8eba79efcf6c30da3140094"/>
                          <pic:cNvPicPr>
                            <a:picLocks noChangeAspect="1"/>
                          </pic:cNvPicPr>
                        </pic:nvPicPr>
                        <pic:blipFill>
                          <a:blip r:embed="rId57"/>
                          <a:stretch>
                            <a:fillRect/>
                          </a:stretch>
                        </pic:blipFill>
                        <pic:spPr>
                          <a:xfrm>
                            <a:off x="0" y="0"/>
                            <a:ext cx="2561590" cy="192024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70480" cy="1926590"/>
                  <wp:effectExtent l="0" t="0" r="1270" b="16510"/>
                  <wp:docPr id="126" name="图片 126" descr="3f46e2d02de2de608bd656374acd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3f46e2d02de2de608bd656374acdc43"/>
                          <pic:cNvPicPr>
                            <a:picLocks noChangeAspect="1"/>
                          </pic:cNvPicPr>
                        </pic:nvPicPr>
                        <pic:blipFill>
                          <a:blip r:embed="rId58"/>
                          <a:stretch>
                            <a:fillRect/>
                          </a:stretch>
                        </pic:blipFill>
                        <pic:spPr>
                          <a:xfrm>
                            <a:off x="0" y="0"/>
                            <a:ext cx="2570480"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szCs w:val="22"/>
              </w:rPr>
              <w:t>万荣政务大厅</w:t>
            </w:r>
          </w:p>
        </w:tc>
        <w:tc>
          <w:tcPr>
            <w:tcW w:w="4262" w:type="dxa"/>
            <w:vAlign w:val="center"/>
          </w:tcPr>
          <w:p>
            <w:pPr>
              <w:jc w:val="center"/>
              <w:rPr>
                <w:sz w:val="22"/>
                <w:szCs w:val="22"/>
              </w:rPr>
            </w:pPr>
            <w:r>
              <w:rPr>
                <w:rFonts w:hint="eastAsia"/>
                <w:sz w:val="22"/>
                <w:szCs w:val="22"/>
              </w:rPr>
              <w:t>垣曲政务大厅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264" w:type="dxa"/>
            <w:vAlign w:val="center"/>
          </w:tcPr>
          <w:p>
            <w:pPr>
              <w:jc w:val="center"/>
            </w:pPr>
            <w:r>
              <w:rPr>
                <w:rFonts w:hint="eastAsia"/>
              </w:rPr>
              <w:drawing>
                <wp:inline distT="0" distB="0" distL="114300" distR="114300">
                  <wp:extent cx="2561590" cy="1920240"/>
                  <wp:effectExtent l="0" t="0" r="10160" b="3810"/>
                  <wp:docPr id="127" name="图片 127" descr="6e78a0f5ea79924900285db2fdcf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6e78a0f5ea79924900285db2fdcf39e"/>
                          <pic:cNvPicPr>
                            <a:picLocks noChangeAspect="1"/>
                          </pic:cNvPicPr>
                        </pic:nvPicPr>
                        <pic:blipFill>
                          <a:blip r:embed="rId59"/>
                          <a:stretch>
                            <a:fillRect/>
                          </a:stretch>
                        </pic:blipFill>
                        <pic:spPr>
                          <a:xfrm>
                            <a:off x="0" y="0"/>
                            <a:ext cx="2561590" cy="1920240"/>
                          </a:xfrm>
                          <a:prstGeom prst="rect">
                            <a:avLst/>
                          </a:prstGeom>
                        </pic:spPr>
                      </pic:pic>
                    </a:graphicData>
                  </a:graphic>
                </wp:inline>
              </w:drawing>
            </w:r>
          </w:p>
        </w:tc>
        <w:tc>
          <w:tcPr>
            <w:tcW w:w="4260" w:type="dxa"/>
            <w:vAlign w:val="center"/>
          </w:tcPr>
          <w:p>
            <w:pPr>
              <w:jc w:val="center"/>
            </w:pPr>
            <w:r>
              <w:rPr>
                <w:rFonts w:hint="eastAsia"/>
              </w:rPr>
              <w:drawing>
                <wp:inline distT="0" distB="0" distL="114300" distR="114300">
                  <wp:extent cx="2561590" cy="1920240"/>
                  <wp:effectExtent l="0" t="0" r="10160" b="3810"/>
                  <wp:docPr id="147" name="图片 147" descr="3771418c30c60dc17d578b7e11cc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771418c30c60dc17d578b7e11cc08d"/>
                          <pic:cNvPicPr>
                            <a:picLocks noChangeAspect="1"/>
                          </pic:cNvPicPr>
                        </pic:nvPicPr>
                        <pic:blipFill>
                          <a:blip r:embed="rId60"/>
                          <a:stretch>
                            <a:fillRect/>
                          </a:stretch>
                        </pic:blipFill>
                        <pic:spPr>
                          <a:xfrm>
                            <a:off x="0" y="0"/>
                            <a:ext cx="256159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2" w:type="dxa"/>
            <w:vAlign w:val="center"/>
          </w:tcPr>
          <w:p>
            <w:pPr>
              <w:jc w:val="center"/>
              <w:rPr>
                <w:sz w:val="22"/>
                <w:szCs w:val="22"/>
              </w:rPr>
            </w:pPr>
            <w:r>
              <w:rPr>
                <w:rFonts w:hint="eastAsia"/>
                <w:sz w:val="22"/>
                <w:szCs w:val="22"/>
              </w:rPr>
              <w:t>新绛政务大厅</w:t>
            </w:r>
          </w:p>
        </w:tc>
        <w:tc>
          <w:tcPr>
            <w:tcW w:w="4262" w:type="dxa"/>
            <w:vAlign w:val="center"/>
          </w:tcPr>
          <w:p>
            <w:pPr>
              <w:jc w:val="center"/>
              <w:rPr>
                <w:sz w:val="22"/>
                <w:szCs w:val="22"/>
              </w:rPr>
            </w:pPr>
            <w:r>
              <w:rPr>
                <w:rFonts w:hint="eastAsia"/>
                <w:sz w:val="22"/>
                <w:szCs w:val="22"/>
              </w:rPr>
              <w:t>永济政务大厅</w:t>
            </w:r>
          </w:p>
        </w:tc>
      </w:tr>
    </w:tbl>
    <w:p>
      <w:pPr>
        <w:pStyle w:val="7"/>
        <w:jc w:val="left"/>
        <w:rPr>
          <w:rFonts w:ascii="仿宋" w:eastAsia="仿宋"/>
          <w:b/>
          <w:bCs/>
          <w:sz w:val="28"/>
        </w:rPr>
      </w:pPr>
    </w:p>
    <w:sectPr>
      <w:pgSz w:w="11906" w:h="16838"/>
      <w:pgMar w:top="1247" w:right="1701" w:bottom="1247" w:left="1701" w:header="851" w:footer="850" w:gutter="0"/>
      <w:cols w:space="720"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Cf8cUBAACRAwAADgAAAGRycy9lMm9Eb2MueG1srVPNjtMwEL4j8Q6W&#10;79RpF6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bmhxHGLE798/3b58evy8ytZ&#10;Vi9XWaI+QI2Z9wFz0/DGD7g4sx/QmZkPKtr8RU4E4yjw+SqwHBIR+dF6tV5XGBIYmy+Izx6ehwjp&#10;rfSWZKOhESdYhOWn95DG1DklV3P+ThtTpmjcXw7EzB6Wex97zFYa9sNEaO/bM/LpcfgNdbjrlJh3&#10;DrXNezIbcTb2k5FrQHh9TFi49JNRR6ipGE6qMJq2Kq/Cn/eS9fAn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2gn/HFAQAAkQMAAA4AAAAAAAAAAQAgAAAAHgEAAGRycy9lMm9Eb2MueG1s&#10;UEsFBgAAAAAGAAYAWQEAAFU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423038736"/>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7"/>
                          </w:pPr>
                        </w:p>
                      </w:txbxContent>
                    </wps:txbx>
                    <wps:bodyPr wrap="none" lIns="0" tIns="0" rIns="0" bIns="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theMQBAACRAwAADgAAAGRycy9lMm9Eb2MueG1srVPNjtMwEL4j8Q6W&#10;79RpWa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e4CTeUOG5x4pfv3y4/fl1+fiXL&#10;6uVNlqgPUGPmfcDcNLzxA6bPfkBnZj6oaPMXORGMo8Dnq8BySETkR+vVel1hSGBsviA+e3geIqS3&#10;0luSjYZGnGARlp/eQxpT55Rczfk7bUyZonF/ORAze1jufewxW2nYDxOhvW/PyKfH4TfU4a5TYt45&#10;1DbvyWzE2dhPRq4B4fUxYeHST0YdoaZiOKnCaNqqvAp/3kvWw5+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ttheMQBAACRAwAADgAAAAAAAAABACAAAAAeAQAAZHJzL2Uyb0RvYy54bWxQ&#10;SwUGAAAAAAYABgBZAQAAVAUAAAAA&#10;">
              <v:fill on="f" focussize="0,0"/>
              <v:stroke on="f"/>
              <v:imagedata o:title=""/>
              <o:lock v:ext="edit" aspectratio="f"/>
              <v:textbox inset="0mm,0mm,0mm,0mm" style="mso-fit-shape-to-text:t;">
                <w:txbxContent>
                  <w:sdt>
                    <w:sdtPr>
                      <w:id w:val="-423038736"/>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7"/>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64283505"/>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7"/>
                          </w:pPr>
                        </w:p>
                      </w:txbxContent>
                    </wps:txbx>
                    <wps:bodyPr wrap="none" lIns="0" tIns="0" rIns="0" bIns="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Fe4EcQBAACR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BtKHLc48cv3b5cfvy4/v5Jl&#10;9fJVlqgPUGPmfcDcNLzxA6bPfkBnZj6oaPMXORGMo8Dnq8BySETkR+vVel1hSGBsviA+e3geIqS3&#10;0luSjYZGnGARlp/eQxpT55Rczfk7bUyZonF/ORAze1jufewxW2nYDxOhvW/PyKfH4TfU4a5TYt45&#10;1DbvyWzE2dhPRq4B4fUxYeHST0YdoaZiOKnCaNqqvAp/3kvWw5+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cFe4EcQBAACRAwAADgAAAAAAAAABACAAAAAeAQAAZHJzL2Uyb0RvYy54bWxQ&#10;SwUGAAAAAAYABgBZAQAAVAUAAAAA&#10;">
              <v:fill on="f" focussize="0,0"/>
              <v:stroke on="f"/>
              <v:imagedata o:title=""/>
              <o:lock v:ext="edit" aspectratio="f"/>
              <v:textbox inset="0mm,0mm,0mm,0mm" style="mso-fit-shape-to-text:t;">
                <w:txbxContent>
                  <w:sdt>
                    <w:sdtPr>
                      <w:id w:val="164283505"/>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1"/>
        <w:left w:val="none" w:color="auto" w:sz="0" w:space="4"/>
        <w:bottom w:val="none" w:color="auto" w:sz="0" w:space="1"/>
        <w:right w:val="none" w:color="auto" w:sz="0" w:space="4"/>
      </w:pBdr>
    </w:pPr>
    <w:r>
      <w:rPr>
        <w:rFonts w:hint="eastAsia"/>
      </w:rPr>
      <w:t>地址：运城经济技术开发区库东路1号尚东SOHO楼1511室            电话：0359-2020283、2068977</w:t>
    </w:r>
  </w:p>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0lY7tAAAAAFAQAADwAAAAAAAAABACAAAAAiAAAAZHJzL2Rvd25y&#10;ZXYueG1sUEsBAhQAFAAAAAgAh07iQPKBERXNAQAAmQMAAA4AAAAAAAAAAQAgAAAAHwEAAGRycy9l&#10;Mm9Eb2MueG1sUEsFBgAAAAAGAAYAWQEAAF4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spacing w:line="288"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6A09C"/>
    <w:multiLevelType w:val="singleLevel"/>
    <w:tmpl w:val="8C86A09C"/>
    <w:lvl w:ilvl="0" w:tentative="0">
      <w:start w:val="2"/>
      <w:numFmt w:val="decimal"/>
      <w:suff w:val="nothing"/>
      <w:lvlText w:val="%1、"/>
      <w:lvlJc w:val="left"/>
    </w:lvl>
  </w:abstractNum>
  <w:abstractNum w:abstractNumId="1">
    <w:nsid w:val="BF8F77F9"/>
    <w:multiLevelType w:val="singleLevel"/>
    <w:tmpl w:val="BF8F77F9"/>
    <w:lvl w:ilvl="0" w:tentative="0">
      <w:start w:val="1"/>
      <w:numFmt w:val="decimal"/>
      <w:suff w:val="nothing"/>
      <w:lvlText w:val="（%1）"/>
      <w:lvlJc w:val="left"/>
    </w:lvl>
  </w:abstractNum>
  <w:abstractNum w:abstractNumId="2">
    <w:nsid w:val="63627FA0"/>
    <w:multiLevelType w:val="multilevel"/>
    <w:tmpl w:val="63627FA0"/>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72A8A02F"/>
    <w:multiLevelType w:val="singleLevel"/>
    <w:tmpl w:val="72A8A02F"/>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mZGZkNWI5ZjJkNGQwMGU5YWQyNzZkMzczN2IyZmIifQ=="/>
  </w:docVars>
  <w:rsids>
    <w:rsidRoot w:val="00172A27"/>
    <w:rsid w:val="00000046"/>
    <w:rsid w:val="00000335"/>
    <w:rsid w:val="00000503"/>
    <w:rsid w:val="0000105F"/>
    <w:rsid w:val="000010EB"/>
    <w:rsid w:val="00001744"/>
    <w:rsid w:val="00001803"/>
    <w:rsid w:val="00001D26"/>
    <w:rsid w:val="000024AB"/>
    <w:rsid w:val="000025F8"/>
    <w:rsid w:val="00002AA2"/>
    <w:rsid w:val="00002BB6"/>
    <w:rsid w:val="00002C15"/>
    <w:rsid w:val="000030AA"/>
    <w:rsid w:val="00003659"/>
    <w:rsid w:val="000038BB"/>
    <w:rsid w:val="000038D6"/>
    <w:rsid w:val="00003C90"/>
    <w:rsid w:val="0000428E"/>
    <w:rsid w:val="000048FA"/>
    <w:rsid w:val="00004E10"/>
    <w:rsid w:val="00005030"/>
    <w:rsid w:val="0000559C"/>
    <w:rsid w:val="0000579A"/>
    <w:rsid w:val="00005C29"/>
    <w:rsid w:val="00005D80"/>
    <w:rsid w:val="000064C5"/>
    <w:rsid w:val="0000650C"/>
    <w:rsid w:val="000070E2"/>
    <w:rsid w:val="0000739C"/>
    <w:rsid w:val="00007E92"/>
    <w:rsid w:val="00010DE1"/>
    <w:rsid w:val="00010ECC"/>
    <w:rsid w:val="00010F84"/>
    <w:rsid w:val="0001147A"/>
    <w:rsid w:val="000118E8"/>
    <w:rsid w:val="00011BB6"/>
    <w:rsid w:val="00012049"/>
    <w:rsid w:val="00012304"/>
    <w:rsid w:val="000123D3"/>
    <w:rsid w:val="0001254A"/>
    <w:rsid w:val="00012621"/>
    <w:rsid w:val="00012C33"/>
    <w:rsid w:val="00012CAF"/>
    <w:rsid w:val="00013090"/>
    <w:rsid w:val="000133CD"/>
    <w:rsid w:val="0001346C"/>
    <w:rsid w:val="00013B21"/>
    <w:rsid w:val="00013D73"/>
    <w:rsid w:val="00013EF1"/>
    <w:rsid w:val="00013FED"/>
    <w:rsid w:val="00014654"/>
    <w:rsid w:val="00014716"/>
    <w:rsid w:val="00014AEE"/>
    <w:rsid w:val="00014CCD"/>
    <w:rsid w:val="00014F7E"/>
    <w:rsid w:val="00014FBF"/>
    <w:rsid w:val="0001511F"/>
    <w:rsid w:val="00015BAF"/>
    <w:rsid w:val="00016085"/>
    <w:rsid w:val="0001652C"/>
    <w:rsid w:val="0001655C"/>
    <w:rsid w:val="000168EF"/>
    <w:rsid w:val="0001731C"/>
    <w:rsid w:val="00017886"/>
    <w:rsid w:val="00017923"/>
    <w:rsid w:val="000179AB"/>
    <w:rsid w:val="00017FA5"/>
    <w:rsid w:val="00017FE9"/>
    <w:rsid w:val="000200F2"/>
    <w:rsid w:val="00020148"/>
    <w:rsid w:val="00020B77"/>
    <w:rsid w:val="00020E98"/>
    <w:rsid w:val="000214DE"/>
    <w:rsid w:val="0002180D"/>
    <w:rsid w:val="00021D51"/>
    <w:rsid w:val="0002263B"/>
    <w:rsid w:val="000227EE"/>
    <w:rsid w:val="000232D3"/>
    <w:rsid w:val="00023848"/>
    <w:rsid w:val="0002414D"/>
    <w:rsid w:val="0002479F"/>
    <w:rsid w:val="0002489A"/>
    <w:rsid w:val="00024A08"/>
    <w:rsid w:val="00024D58"/>
    <w:rsid w:val="00025490"/>
    <w:rsid w:val="00025B1A"/>
    <w:rsid w:val="00025E0C"/>
    <w:rsid w:val="000260CF"/>
    <w:rsid w:val="00026286"/>
    <w:rsid w:val="0002659A"/>
    <w:rsid w:val="00026B03"/>
    <w:rsid w:val="000271BF"/>
    <w:rsid w:val="00027402"/>
    <w:rsid w:val="00027901"/>
    <w:rsid w:val="00027E6C"/>
    <w:rsid w:val="00027FC8"/>
    <w:rsid w:val="0003050C"/>
    <w:rsid w:val="00030D93"/>
    <w:rsid w:val="00030E8F"/>
    <w:rsid w:val="000323CA"/>
    <w:rsid w:val="00032EE2"/>
    <w:rsid w:val="000332FB"/>
    <w:rsid w:val="00033609"/>
    <w:rsid w:val="00033C97"/>
    <w:rsid w:val="00034220"/>
    <w:rsid w:val="00034566"/>
    <w:rsid w:val="0003458B"/>
    <w:rsid w:val="00035084"/>
    <w:rsid w:val="000351CA"/>
    <w:rsid w:val="00035578"/>
    <w:rsid w:val="0003613B"/>
    <w:rsid w:val="000364B7"/>
    <w:rsid w:val="00036959"/>
    <w:rsid w:val="00036FE7"/>
    <w:rsid w:val="00037091"/>
    <w:rsid w:val="000376AA"/>
    <w:rsid w:val="00037B7E"/>
    <w:rsid w:val="0004001A"/>
    <w:rsid w:val="00040266"/>
    <w:rsid w:val="00040709"/>
    <w:rsid w:val="000409BC"/>
    <w:rsid w:val="00041FCD"/>
    <w:rsid w:val="00041FD7"/>
    <w:rsid w:val="00042A12"/>
    <w:rsid w:val="000430A7"/>
    <w:rsid w:val="000432D3"/>
    <w:rsid w:val="0004368B"/>
    <w:rsid w:val="0004381F"/>
    <w:rsid w:val="00043D3D"/>
    <w:rsid w:val="0004482A"/>
    <w:rsid w:val="000449CF"/>
    <w:rsid w:val="00044B17"/>
    <w:rsid w:val="00044B2C"/>
    <w:rsid w:val="000458DC"/>
    <w:rsid w:val="00045A37"/>
    <w:rsid w:val="00045D55"/>
    <w:rsid w:val="00045F1C"/>
    <w:rsid w:val="0004617B"/>
    <w:rsid w:val="0004669A"/>
    <w:rsid w:val="00046762"/>
    <w:rsid w:val="00046C4F"/>
    <w:rsid w:val="00046E0C"/>
    <w:rsid w:val="000472EE"/>
    <w:rsid w:val="00047887"/>
    <w:rsid w:val="00047CF9"/>
    <w:rsid w:val="00047D8B"/>
    <w:rsid w:val="00050019"/>
    <w:rsid w:val="000508E3"/>
    <w:rsid w:val="00050938"/>
    <w:rsid w:val="000509EC"/>
    <w:rsid w:val="00051940"/>
    <w:rsid w:val="00051FAB"/>
    <w:rsid w:val="0005214A"/>
    <w:rsid w:val="000522AE"/>
    <w:rsid w:val="0005263B"/>
    <w:rsid w:val="0005296C"/>
    <w:rsid w:val="00052D62"/>
    <w:rsid w:val="00053254"/>
    <w:rsid w:val="000534A9"/>
    <w:rsid w:val="0005363E"/>
    <w:rsid w:val="00053B7A"/>
    <w:rsid w:val="0005409B"/>
    <w:rsid w:val="00054BCA"/>
    <w:rsid w:val="00054DA2"/>
    <w:rsid w:val="000556CF"/>
    <w:rsid w:val="00055DAC"/>
    <w:rsid w:val="00056066"/>
    <w:rsid w:val="00056418"/>
    <w:rsid w:val="0005670A"/>
    <w:rsid w:val="00056A7D"/>
    <w:rsid w:val="00056DA6"/>
    <w:rsid w:val="000571DE"/>
    <w:rsid w:val="000575B7"/>
    <w:rsid w:val="00057687"/>
    <w:rsid w:val="00057914"/>
    <w:rsid w:val="00057BA1"/>
    <w:rsid w:val="0006008B"/>
    <w:rsid w:val="00060497"/>
    <w:rsid w:val="000608FD"/>
    <w:rsid w:val="0006093D"/>
    <w:rsid w:val="0006149D"/>
    <w:rsid w:val="00061652"/>
    <w:rsid w:val="00061F5E"/>
    <w:rsid w:val="00062B1F"/>
    <w:rsid w:val="00062BCF"/>
    <w:rsid w:val="00062DDA"/>
    <w:rsid w:val="00062FF7"/>
    <w:rsid w:val="00063072"/>
    <w:rsid w:val="000632CF"/>
    <w:rsid w:val="00063930"/>
    <w:rsid w:val="00063E5E"/>
    <w:rsid w:val="00063E83"/>
    <w:rsid w:val="000641B7"/>
    <w:rsid w:val="0006470D"/>
    <w:rsid w:val="00064730"/>
    <w:rsid w:val="00064835"/>
    <w:rsid w:val="000651F5"/>
    <w:rsid w:val="00065766"/>
    <w:rsid w:val="00065CAB"/>
    <w:rsid w:val="0006643C"/>
    <w:rsid w:val="0006674D"/>
    <w:rsid w:val="0006687E"/>
    <w:rsid w:val="00066B3C"/>
    <w:rsid w:val="000670B2"/>
    <w:rsid w:val="0006712E"/>
    <w:rsid w:val="00067265"/>
    <w:rsid w:val="000679BB"/>
    <w:rsid w:val="00067C01"/>
    <w:rsid w:val="000700CB"/>
    <w:rsid w:val="000707E1"/>
    <w:rsid w:val="00070CB9"/>
    <w:rsid w:val="00070CFB"/>
    <w:rsid w:val="000712FA"/>
    <w:rsid w:val="00071C07"/>
    <w:rsid w:val="0007230B"/>
    <w:rsid w:val="000738AA"/>
    <w:rsid w:val="00073997"/>
    <w:rsid w:val="00073C8A"/>
    <w:rsid w:val="00073CE0"/>
    <w:rsid w:val="00073D13"/>
    <w:rsid w:val="00073E6C"/>
    <w:rsid w:val="000742D0"/>
    <w:rsid w:val="00074CB9"/>
    <w:rsid w:val="0007595F"/>
    <w:rsid w:val="00075BF2"/>
    <w:rsid w:val="00075F98"/>
    <w:rsid w:val="00075FDD"/>
    <w:rsid w:val="00076BCD"/>
    <w:rsid w:val="00076C5A"/>
    <w:rsid w:val="00076C96"/>
    <w:rsid w:val="00076E35"/>
    <w:rsid w:val="000770BE"/>
    <w:rsid w:val="0007775B"/>
    <w:rsid w:val="000778C0"/>
    <w:rsid w:val="00077DD6"/>
    <w:rsid w:val="00080669"/>
    <w:rsid w:val="00080ABE"/>
    <w:rsid w:val="00081025"/>
    <w:rsid w:val="0008130B"/>
    <w:rsid w:val="00081523"/>
    <w:rsid w:val="00081770"/>
    <w:rsid w:val="0008194C"/>
    <w:rsid w:val="000819DE"/>
    <w:rsid w:val="00081C2B"/>
    <w:rsid w:val="00081CCD"/>
    <w:rsid w:val="00082602"/>
    <w:rsid w:val="00082DE8"/>
    <w:rsid w:val="000831C4"/>
    <w:rsid w:val="00083690"/>
    <w:rsid w:val="0008384E"/>
    <w:rsid w:val="0008411A"/>
    <w:rsid w:val="00084A8D"/>
    <w:rsid w:val="00084BA1"/>
    <w:rsid w:val="00084BC2"/>
    <w:rsid w:val="000851D0"/>
    <w:rsid w:val="000852BC"/>
    <w:rsid w:val="000854C8"/>
    <w:rsid w:val="0008554B"/>
    <w:rsid w:val="000856BB"/>
    <w:rsid w:val="000858E6"/>
    <w:rsid w:val="00085A0B"/>
    <w:rsid w:val="00085BA2"/>
    <w:rsid w:val="0008659B"/>
    <w:rsid w:val="0008697E"/>
    <w:rsid w:val="00086A93"/>
    <w:rsid w:val="00086D9D"/>
    <w:rsid w:val="00086F68"/>
    <w:rsid w:val="00087026"/>
    <w:rsid w:val="0008724F"/>
    <w:rsid w:val="000873BC"/>
    <w:rsid w:val="00087832"/>
    <w:rsid w:val="00087A6B"/>
    <w:rsid w:val="00087E17"/>
    <w:rsid w:val="00090463"/>
    <w:rsid w:val="0009107B"/>
    <w:rsid w:val="000917F6"/>
    <w:rsid w:val="00091C86"/>
    <w:rsid w:val="00091F6C"/>
    <w:rsid w:val="000926B5"/>
    <w:rsid w:val="00092C43"/>
    <w:rsid w:val="0009391B"/>
    <w:rsid w:val="0009466A"/>
    <w:rsid w:val="000946D1"/>
    <w:rsid w:val="00094887"/>
    <w:rsid w:val="00094892"/>
    <w:rsid w:val="00095501"/>
    <w:rsid w:val="00095636"/>
    <w:rsid w:val="00095A0C"/>
    <w:rsid w:val="00096058"/>
    <w:rsid w:val="0009621F"/>
    <w:rsid w:val="00096286"/>
    <w:rsid w:val="000963DB"/>
    <w:rsid w:val="0009645F"/>
    <w:rsid w:val="00096518"/>
    <w:rsid w:val="000966D4"/>
    <w:rsid w:val="00096854"/>
    <w:rsid w:val="00096E0B"/>
    <w:rsid w:val="00096F58"/>
    <w:rsid w:val="00097089"/>
    <w:rsid w:val="0009730E"/>
    <w:rsid w:val="000975AA"/>
    <w:rsid w:val="00097A64"/>
    <w:rsid w:val="000A06B3"/>
    <w:rsid w:val="000A0CBF"/>
    <w:rsid w:val="000A1174"/>
    <w:rsid w:val="000A1598"/>
    <w:rsid w:val="000A15AA"/>
    <w:rsid w:val="000A1874"/>
    <w:rsid w:val="000A1895"/>
    <w:rsid w:val="000A1B3E"/>
    <w:rsid w:val="000A1E15"/>
    <w:rsid w:val="000A2B85"/>
    <w:rsid w:val="000A3086"/>
    <w:rsid w:val="000A3379"/>
    <w:rsid w:val="000A3D94"/>
    <w:rsid w:val="000A3EE8"/>
    <w:rsid w:val="000A49D6"/>
    <w:rsid w:val="000A4A16"/>
    <w:rsid w:val="000A4A6E"/>
    <w:rsid w:val="000A4B29"/>
    <w:rsid w:val="000A4B92"/>
    <w:rsid w:val="000A4C36"/>
    <w:rsid w:val="000A4F87"/>
    <w:rsid w:val="000A53CD"/>
    <w:rsid w:val="000A56B0"/>
    <w:rsid w:val="000A649F"/>
    <w:rsid w:val="000A686D"/>
    <w:rsid w:val="000A6C08"/>
    <w:rsid w:val="000A6E2C"/>
    <w:rsid w:val="000A7280"/>
    <w:rsid w:val="000A74E6"/>
    <w:rsid w:val="000A7905"/>
    <w:rsid w:val="000A7D1D"/>
    <w:rsid w:val="000B0127"/>
    <w:rsid w:val="000B043E"/>
    <w:rsid w:val="000B047A"/>
    <w:rsid w:val="000B08C6"/>
    <w:rsid w:val="000B0F4B"/>
    <w:rsid w:val="000B1C58"/>
    <w:rsid w:val="000B2E24"/>
    <w:rsid w:val="000B348A"/>
    <w:rsid w:val="000B37A5"/>
    <w:rsid w:val="000B3BFF"/>
    <w:rsid w:val="000B3EF1"/>
    <w:rsid w:val="000B487F"/>
    <w:rsid w:val="000B5694"/>
    <w:rsid w:val="000B5821"/>
    <w:rsid w:val="000B59DE"/>
    <w:rsid w:val="000B5F31"/>
    <w:rsid w:val="000B5FE8"/>
    <w:rsid w:val="000B61E3"/>
    <w:rsid w:val="000B627D"/>
    <w:rsid w:val="000B739A"/>
    <w:rsid w:val="000B76D4"/>
    <w:rsid w:val="000B7983"/>
    <w:rsid w:val="000B7DC7"/>
    <w:rsid w:val="000C0ADF"/>
    <w:rsid w:val="000C1819"/>
    <w:rsid w:val="000C1CDB"/>
    <w:rsid w:val="000C1F17"/>
    <w:rsid w:val="000C24C1"/>
    <w:rsid w:val="000C28EA"/>
    <w:rsid w:val="000C2959"/>
    <w:rsid w:val="000C2D83"/>
    <w:rsid w:val="000C39AA"/>
    <w:rsid w:val="000C3B9C"/>
    <w:rsid w:val="000C3EFC"/>
    <w:rsid w:val="000C41E5"/>
    <w:rsid w:val="000C44F8"/>
    <w:rsid w:val="000C51A0"/>
    <w:rsid w:val="000C5320"/>
    <w:rsid w:val="000C5388"/>
    <w:rsid w:val="000C5D57"/>
    <w:rsid w:val="000C6772"/>
    <w:rsid w:val="000C681E"/>
    <w:rsid w:val="000C716C"/>
    <w:rsid w:val="000C741C"/>
    <w:rsid w:val="000C7903"/>
    <w:rsid w:val="000C7AEE"/>
    <w:rsid w:val="000C7EBD"/>
    <w:rsid w:val="000C7F4A"/>
    <w:rsid w:val="000D01E3"/>
    <w:rsid w:val="000D058E"/>
    <w:rsid w:val="000D0D05"/>
    <w:rsid w:val="000D1002"/>
    <w:rsid w:val="000D11C1"/>
    <w:rsid w:val="000D12BC"/>
    <w:rsid w:val="000D1584"/>
    <w:rsid w:val="000D1A27"/>
    <w:rsid w:val="000D1BC2"/>
    <w:rsid w:val="000D2067"/>
    <w:rsid w:val="000D2CF7"/>
    <w:rsid w:val="000D2E36"/>
    <w:rsid w:val="000D2FD3"/>
    <w:rsid w:val="000D318E"/>
    <w:rsid w:val="000D3F77"/>
    <w:rsid w:val="000D45A7"/>
    <w:rsid w:val="000D5424"/>
    <w:rsid w:val="000D57E7"/>
    <w:rsid w:val="000D598F"/>
    <w:rsid w:val="000D6820"/>
    <w:rsid w:val="000D69BD"/>
    <w:rsid w:val="000D71A9"/>
    <w:rsid w:val="000D75CE"/>
    <w:rsid w:val="000D771F"/>
    <w:rsid w:val="000D7EFB"/>
    <w:rsid w:val="000E0037"/>
    <w:rsid w:val="000E0592"/>
    <w:rsid w:val="000E06FD"/>
    <w:rsid w:val="000E0A39"/>
    <w:rsid w:val="000E0B71"/>
    <w:rsid w:val="000E1555"/>
    <w:rsid w:val="000E1A5B"/>
    <w:rsid w:val="000E1FFB"/>
    <w:rsid w:val="000E222C"/>
    <w:rsid w:val="000E2BE1"/>
    <w:rsid w:val="000E2F93"/>
    <w:rsid w:val="000E3166"/>
    <w:rsid w:val="000E383F"/>
    <w:rsid w:val="000E4638"/>
    <w:rsid w:val="000E4B7D"/>
    <w:rsid w:val="000E598E"/>
    <w:rsid w:val="000E59CA"/>
    <w:rsid w:val="000E5C87"/>
    <w:rsid w:val="000E6422"/>
    <w:rsid w:val="000E69E0"/>
    <w:rsid w:val="000E69FD"/>
    <w:rsid w:val="000E6BF0"/>
    <w:rsid w:val="000E746F"/>
    <w:rsid w:val="000E7501"/>
    <w:rsid w:val="000E7B05"/>
    <w:rsid w:val="000E7F7A"/>
    <w:rsid w:val="000F0836"/>
    <w:rsid w:val="000F0CAB"/>
    <w:rsid w:val="000F0E6D"/>
    <w:rsid w:val="000F12A8"/>
    <w:rsid w:val="000F141D"/>
    <w:rsid w:val="000F208F"/>
    <w:rsid w:val="000F2127"/>
    <w:rsid w:val="000F25E4"/>
    <w:rsid w:val="000F2BF2"/>
    <w:rsid w:val="000F31E5"/>
    <w:rsid w:val="000F3841"/>
    <w:rsid w:val="000F3E62"/>
    <w:rsid w:val="000F42D5"/>
    <w:rsid w:val="000F4F76"/>
    <w:rsid w:val="000F5032"/>
    <w:rsid w:val="000F50AA"/>
    <w:rsid w:val="000F541F"/>
    <w:rsid w:val="000F56A7"/>
    <w:rsid w:val="000F594C"/>
    <w:rsid w:val="000F626F"/>
    <w:rsid w:val="000F6507"/>
    <w:rsid w:val="000F6DF2"/>
    <w:rsid w:val="000F70A2"/>
    <w:rsid w:val="0010005E"/>
    <w:rsid w:val="00100627"/>
    <w:rsid w:val="001008EF"/>
    <w:rsid w:val="00100AB4"/>
    <w:rsid w:val="00100F9D"/>
    <w:rsid w:val="0010111D"/>
    <w:rsid w:val="00101364"/>
    <w:rsid w:val="0010170B"/>
    <w:rsid w:val="001020BD"/>
    <w:rsid w:val="0010243D"/>
    <w:rsid w:val="00102876"/>
    <w:rsid w:val="00102CD5"/>
    <w:rsid w:val="00103170"/>
    <w:rsid w:val="001035EF"/>
    <w:rsid w:val="00103897"/>
    <w:rsid w:val="00103D6B"/>
    <w:rsid w:val="00103D81"/>
    <w:rsid w:val="00104A04"/>
    <w:rsid w:val="00105556"/>
    <w:rsid w:val="001060DC"/>
    <w:rsid w:val="001068C7"/>
    <w:rsid w:val="001068EC"/>
    <w:rsid w:val="001070B6"/>
    <w:rsid w:val="001074D7"/>
    <w:rsid w:val="00107D76"/>
    <w:rsid w:val="00107DC7"/>
    <w:rsid w:val="00107FBA"/>
    <w:rsid w:val="00110C77"/>
    <w:rsid w:val="001111D4"/>
    <w:rsid w:val="00111270"/>
    <w:rsid w:val="00111577"/>
    <w:rsid w:val="00111837"/>
    <w:rsid w:val="00111D83"/>
    <w:rsid w:val="00112111"/>
    <w:rsid w:val="001121E9"/>
    <w:rsid w:val="001123D3"/>
    <w:rsid w:val="001127C9"/>
    <w:rsid w:val="00112AC2"/>
    <w:rsid w:val="00112FF1"/>
    <w:rsid w:val="00113CEF"/>
    <w:rsid w:val="00113EFA"/>
    <w:rsid w:val="001144A4"/>
    <w:rsid w:val="001153B8"/>
    <w:rsid w:val="001154AC"/>
    <w:rsid w:val="00115C6F"/>
    <w:rsid w:val="00116002"/>
    <w:rsid w:val="001162D6"/>
    <w:rsid w:val="0011660D"/>
    <w:rsid w:val="00116781"/>
    <w:rsid w:val="001167DA"/>
    <w:rsid w:val="00116EE7"/>
    <w:rsid w:val="0011731D"/>
    <w:rsid w:val="00117456"/>
    <w:rsid w:val="0011745A"/>
    <w:rsid w:val="00117A79"/>
    <w:rsid w:val="00117FC1"/>
    <w:rsid w:val="0012027C"/>
    <w:rsid w:val="0012072D"/>
    <w:rsid w:val="00120AEA"/>
    <w:rsid w:val="00120E3C"/>
    <w:rsid w:val="00120FC6"/>
    <w:rsid w:val="0012106E"/>
    <w:rsid w:val="001211E2"/>
    <w:rsid w:val="00121681"/>
    <w:rsid w:val="0012199C"/>
    <w:rsid w:val="00121EDB"/>
    <w:rsid w:val="001222AD"/>
    <w:rsid w:val="00122415"/>
    <w:rsid w:val="00122BD0"/>
    <w:rsid w:val="0012341D"/>
    <w:rsid w:val="00123B5F"/>
    <w:rsid w:val="00123C49"/>
    <w:rsid w:val="00123CDF"/>
    <w:rsid w:val="00123D4B"/>
    <w:rsid w:val="001242F2"/>
    <w:rsid w:val="00124319"/>
    <w:rsid w:val="00124A68"/>
    <w:rsid w:val="001256E4"/>
    <w:rsid w:val="001257E6"/>
    <w:rsid w:val="00125B27"/>
    <w:rsid w:val="00125CAC"/>
    <w:rsid w:val="00125F71"/>
    <w:rsid w:val="001264E9"/>
    <w:rsid w:val="00126751"/>
    <w:rsid w:val="00126AFD"/>
    <w:rsid w:val="00127170"/>
    <w:rsid w:val="00130112"/>
    <w:rsid w:val="0013057D"/>
    <w:rsid w:val="001307A5"/>
    <w:rsid w:val="00130873"/>
    <w:rsid w:val="00130CAA"/>
    <w:rsid w:val="00130CD4"/>
    <w:rsid w:val="00130D37"/>
    <w:rsid w:val="00130F11"/>
    <w:rsid w:val="00131270"/>
    <w:rsid w:val="001317C4"/>
    <w:rsid w:val="0013200D"/>
    <w:rsid w:val="0013214B"/>
    <w:rsid w:val="00132C5E"/>
    <w:rsid w:val="00133330"/>
    <w:rsid w:val="0013343D"/>
    <w:rsid w:val="00133B31"/>
    <w:rsid w:val="00133BC4"/>
    <w:rsid w:val="00133C04"/>
    <w:rsid w:val="00133ECA"/>
    <w:rsid w:val="001342C0"/>
    <w:rsid w:val="001354B0"/>
    <w:rsid w:val="00136C43"/>
    <w:rsid w:val="00136F54"/>
    <w:rsid w:val="001371EE"/>
    <w:rsid w:val="0013759E"/>
    <w:rsid w:val="00137959"/>
    <w:rsid w:val="00137A73"/>
    <w:rsid w:val="00137D91"/>
    <w:rsid w:val="001405A6"/>
    <w:rsid w:val="0014064A"/>
    <w:rsid w:val="00140926"/>
    <w:rsid w:val="0014097D"/>
    <w:rsid w:val="00140E5F"/>
    <w:rsid w:val="001412BC"/>
    <w:rsid w:val="00141A83"/>
    <w:rsid w:val="00143197"/>
    <w:rsid w:val="00143205"/>
    <w:rsid w:val="001439DB"/>
    <w:rsid w:val="00144F63"/>
    <w:rsid w:val="001456CB"/>
    <w:rsid w:val="001457C8"/>
    <w:rsid w:val="00145917"/>
    <w:rsid w:val="0014616F"/>
    <w:rsid w:val="0014617A"/>
    <w:rsid w:val="001462FC"/>
    <w:rsid w:val="00146634"/>
    <w:rsid w:val="0014669A"/>
    <w:rsid w:val="00146A6D"/>
    <w:rsid w:val="00146C5B"/>
    <w:rsid w:val="00146CA7"/>
    <w:rsid w:val="00146F7A"/>
    <w:rsid w:val="00147059"/>
    <w:rsid w:val="0014747A"/>
    <w:rsid w:val="001476F6"/>
    <w:rsid w:val="00150406"/>
    <w:rsid w:val="00150A90"/>
    <w:rsid w:val="0015113A"/>
    <w:rsid w:val="001511D2"/>
    <w:rsid w:val="0015135C"/>
    <w:rsid w:val="0015137F"/>
    <w:rsid w:val="0015143B"/>
    <w:rsid w:val="0015165A"/>
    <w:rsid w:val="00151C86"/>
    <w:rsid w:val="00151E73"/>
    <w:rsid w:val="001528D2"/>
    <w:rsid w:val="00152B86"/>
    <w:rsid w:val="00152D6A"/>
    <w:rsid w:val="001537B1"/>
    <w:rsid w:val="001539B2"/>
    <w:rsid w:val="00153BD2"/>
    <w:rsid w:val="00153C03"/>
    <w:rsid w:val="00153E07"/>
    <w:rsid w:val="00154516"/>
    <w:rsid w:val="001546B4"/>
    <w:rsid w:val="001548B7"/>
    <w:rsid w:val="001548CF"/>
    <w:rsid w:val="00154B90"/>
    <w:rsid w:val="0015546C"/>
    <w:rsid w:val="00155942"/>
    <w:rsid w:val="00155BE6"/>
    <w:rsid w:val="0015675F"/>
    <w:rsid w:val="00156BE6"/>
    <w:rsid w:val="00156C24"/>
    <w:rsid w:val="00157569"/>
    <w:rsid w:val="001575B6"/>
    <w:rsid w:val="00157D68"/>
    <w:rsid w:val="00157DEB"/>
    <w:rsid w:val="00160165"/>
    <w:rsid w:val="001606BA"/>
    <w:rsid w:val="001606E8"/>
    <w:rsid w:val="00160E5C"/>
    <w:rsid w:val="00161656"/>
    <w:rsid w:val="00161C33"/>
    <w:rsid w:val="001625CB"/>
    <w:rsid w:val="00162B2A"/>
    <w:rsid w:val="00162BA9"/>
    <w:rsid w:val="00162F1F"/>
    <w:rsid w:val="00163806"/>
    <w:rsid w:val="00163CE4"/>
    <w:rsid w:val="00164B93"/>
    <w:rsid w:val="00164CE5"/>
    <w:rsid w:val="0016549F"/>
    <w:rsid w:val="00165979"/>
    <w:rsid w:val="001659A8"/>
    <w:rsid w:val="00165A8E"/>
    <w:rsid w:val="00165AAF"/>
    <w:rsid w:val="00165C51"/>
    <w:rsid w:val="00165C7E"/>
    <w:rsid w:val="00165F31"/>
    <w:rsid w:val="00166095"/>
    <w:rsid w:val="001662FC"/>
    <w:rsid w:val="00166346"/>
    <w:rsid w:val="00166CBB"/>
    <w:rsid w:val="0016786C"/>
    <w:rsid w:val="00167870"/>
    <w:rsid w:val="00167EFF"/>
    <w:rsid w:val="00167FB1"/>
    <w:rsid w:val="001701E5"/>
    <w:rsid w:val="00170C06"/>
    <w:rsid w:val="00170CCE"/>
    <w:rsid w:val="00171646"/>
    <w:rsid w:val="0017172C"/>
    <w:rsid w:val="00171DF0"/>
    <w:rsid w:val="00172A27"/>
    <w:rsid w:val="00173088"/>
    <w:rsid w:val="0017317E"/>
    <w:rsid w:val="001736C3"/>
    <w:rsid w:val="0017412E"/>
    <w:rsid w:val="0017453D"/>
    <w:rsid w:val="001746E6"/>
    <w:rsid w:val="00174A95"/>
    <w:rsid w:val="00174DEC"/>
    <w:rsid w:val="001753ED"/>
    <w:rsid w:val="001766B3"/>
    <w:rsid w:val="00176E72"/>
    <w:rsid w:val="001770B9"/>
    <w:rsid w:val="0017713E"/>
    <w:rsid w:val="00180764"/>
    <w:rsid w:val="001809BE"/>
    <w:rsid w:val="00180AB2"/>
    <w:rsid w:val="00180B72"/>
    <w:rsid w:val="00180F2A"/>
    <w:rsid w:val="001811E4"/>
    <w:rsid w:val="001812D5"/>
    <w:rsid w:val="0018156D"/>
    <w:rsid w:val="001819A7"/>
    <w:rsid w:val="00181BBB"/>
    <w:rsid w:val="00181C28"/>
    <w:rsid w:val="00181E3B"/>
    <w:rsid w:val="0018227F"/>
    <w:rsid w:val="001829DE"/>
    <w:rsid w:val="00182AE1"/>
    <w:rsid w:val="0018304B"/>
    <w:rsid w:val="0018386B"/>
    <w:rsid w:val="00183FAC"/>
    <w:rsid w:val="0018408E"/>
    <w:rsid w:val="0018415F"/>
    <w:rsid w:val="001842A6"/>
    <w:rsid w:val="00184499"/>
    <w:rsid w:val="00184D6F"/>
    <w:rsid w:val="00184EEE"/>
    <w:rsid w:val="00185091"/>
    <w:rsid w:val="001852DD"/>
    <w:rsid w:val="00185AF7"/>
    <w:rsid w:val="00186166"/>
    <w:rsid w:val="00186170"/>
    <w:rsid w:val="00186435"/>
    <w:rsid w:val="00186527"/>
    <w:rsid w:val="0018680E"/>
    <w:rsid w:val="00186874"/>
    <w:rsid w:val="00186AA1"/>
    <w:rsid w:val="001870D9"/>
    <w:rsid w:val="001870F6"/>
    <w:rsid w:val="00187166"/>
    <w:rsid w:val="001871DE"/>
    <w:rsid w:val="00187B80"/>
    <w:rsid w:val="00187ED1"/>
    <w:rsid w:val="00187FCC"/>
    <w:rsid w:val="001900B7"/>
    <w:rsid w:val="00190233"/>
    <w:rsid w:val="00190266"/>
    <w:rsid w:val="001905B3"/>
    <w:rsid w:val="00191123"/>
    <w:rsid w:val="00191195"/>
    <w:rsid w:val="00191BCE"/>
    <w:rsid w:val="00191DCC"/>
    <w:rsid w:val="001920B2"/>
    <w:rsid w:val="0019236A"/>
    <w:rsid w:val="00192704"/>
    <w:rsid w:val="0019285A"/>
    <w:rsid w:val="00192F78"/>
    <w:rsid w:val="00193CCB"/>
    <w:rsid w:val="00193D28"/>
    <w:rsid w:val="001942B9"/>
    <w:rsid w:val="001942C9"/>
    <w:rsid w:val="0019468C"/>
    <w:rsid w:val="001959E2"/>
    <w:rsid w:val="00195C02"/>
    <w:rsid w:val="00195EC3"/>
    <w:rsid w:val="001963C6"/>
    <w:rsid w:val="00197092"/>
    <w:rsid w:val="0019767F"/>
    <w:rsid w:val="0019799F"/>
    <w:rsid w:val="00197DCB"/>
    <w:rsid w:val="00197E09"/>
    <w:rsid w:val="001A00A7"/>
    <w:rsid w:val="001A1196"/>
    <w:rsid w:val="001A11A8"/>
    <w:rsid w:val="001A1269"/>
    <w:rsid w:val="001A19DB"/>
    <w:rsid w:val="001A1E91"/>
    <w:rsid w:val="001A2591"/>
    <w:rsid w:val="001A2663"/>
    <w:rsid w:val="001A27EC"/>
    <w:rsid w:val="001A2DA1"/>
    <w:rsid w:val="001A3501"/>
    <w:rsid w:val="001A3571"/>
    <w:rsid w:val="001A35B3"/>
    <w:rsid w:val="001A3AA0"/>
    <w:rsid w:val="001A44E7"/>
    <w:rsid w:val="001A46EC"/>
    <w:rsid w:val="001A4B52"/>
    <w:rsid w:val="001A543D"/>
    <w:rsid w:val="001A5906"/>
    <w:rsid w:val="001A5FFB"/>
    <w:rsid w:val="001A6777"/>
    <w:rsid w:val="001A7BF5"/>
    <w:rsid w:val="001B1077"/>
    <w:rsid w:val="001B1316"/>
    <w:rsid w:val="001B1425"/>
    <w:rsid w:val="001B1971"/>
    <w:rsid w:val="001B1FA5"/>
    <w:rsid w:val="001B2049"/>
    <w:rsid w:val="001B2807"/>
    <w:rsid w:val="001B2CD6"/>
    <w:rsid w:val="001B3043"/>
    <w:rsid w:val="001B3210"/>
    <w:rsid w:val="001B3528"/>
    <w:rsid w:val="001B3628"/>
    <w:rsid w:val="001B3B9A"/>
    <w:rsid w:val="001B5075"/>
    <w:rsid w:val="001B5732"/>
    <w:rsid w:val="001B5A21"/>
    <w:rsid w:val="001B611A"/>
    <w:rsid w:val="001B659D"/>
    <w:rsid w:val="001B6C66"/>
    <w:rsid w:val="001B7817"/>
    <w:rsid w:val="001B7A46"/>
    <w:rsid w:val="001B7E03"/>
    <w:rsid w:val="001C0139"/>
    <w:rsid w:val="001C04CF"/>
    <w:rsid w:val="001C051B"/>
    <w:rsid w:val="001C0520"/>
    <w:rsid w:val="001C06FC"/>
    <w:rsid w:val="001C0D97"/>
    <w:rsid w:val="001C13BB"/>
    <w:rsid w:val="001C145D"/>
    <w:rsid w:val="001C1AE5"/>
    <w:rsid w:val="001C1CA3"/>
    <w:rsid w:val="001C2531"/>
    <w:rsid w:val="001C2B2C"/>
    <w:rsid w:val="001C2D31"/>
    <w:rsid w:val="001C3595"/>
    <w:rsid w:val="001C3F19"/>
    <w:rsid w:val="001C3FA6"/>
    <w:rsid w:val="001C4293"/>
    <w:rsid w:val="001C43C9"/>
    <w:rsid w:val="001C4808"/>
    <w:rsid w:val="001C4A55"/>
    <w:rsid w:val="001C4BE4"/>
    <w:rsid w:val="001C4F2A"/>
    <w:rsid w:val="001C529B"/>
    <w:rsid w:val="001C5C0B"/>
    <w:rsid w:val="001C6063"/>
    <w:rsid w:val="001C619E"/>
    <w:rsid w:val="001C6348"/>
    <w:rsid w:val="001C63C1"/>
    <w:rsid w:val="001C7164"/>
    <w:rsid w:val="001C7400"/>
    <w:rsid w:val="001C7BC8"/>
    <w:rsid w:val="001C7D85"/>
    <w:rsid w:val="001D00D8"/>
    <w:rsid w:val="001D0581"/>
    <w:rsid w:val="001D0DE6"/>
    <w:rsid w:val="001D0DF7"/>
    <w:rsid w:val="001D0E15"/>
    <w:rsid w:val="001D1055"/>
    <w:rsid w:val="001D116B"/>
    <w:rsid w:val="001D1750"/>
    <w:rsid w:val="001D2F46"/>
    <w:rsid w:val="001D3125"/>
    <w:rsid w:val="001D383F"/>
    <w:rsid w:val="001D3B51"/>
    <w:rsid w:val="001D3BBF"/>
    <w:rsid w:val="001D3C3D"/>
    <w:rsid w:val="001D3E0E"/>
    <w:rsid w:val="001D3E66"/>
    <w:rsid w:val="001D46F8"/>
    <w:rsid w:val="001D4745"/>
    <w:rsid w:val="001D4D7F"/>
    <w:rsid w:val="001D553C"/>
    <w:rsid w:val="001D565D"/>
    <w:rsid w:val="001D6D5A"/>
    <w:rsid w:val="001D6D9F"/>
    <w:rsid w:val="001D6F05"/>
    <w:rsid w:val="001D7101"/>
    <w:rsid w:val="001D71C4"/>
    <w:rsid w:val="001D790C"/>
    <w:rsid w:val="001D7AE1"/>
    <w:rsid w:val="001E065C"/>
    <w:rsid w:val="001E084B"/>
    <w:rsid w:val="001E08BA"/>
    <w:rsid w:val="001E0F69"/>
    <w:rsid w:val="001E1A19"/>
    <w:rsid w:val="001E1B25"/>
    <w:rsid w:val="001E1B3A"/>
    <w:rsid w:val="001E1D79"/>
    <w:rsid w:val="001E1DB4"/>
    <w:rsid w:val="001E2B2E"/>
    <w:rsid w:val="001E3340"/>
    <w:rsid w:val="001E34E3"/>
    <w:rsid w:val="001E372F"/>
    <w:rsid w:val="001E3DCA"/>
    <w:rsid w:val="001E3DD6"/>
    <w:rsid w:val="001E3DF7"/>
    <w:rsid w:val="001E4798"/>
    <w:rsid w:val="001E48FD"/>
    <w:rsid w:val="001E4F57"/>
    <w:rsid w:val="001E53B5"/>
    <w:rsid w:val="001E58AE"/>
    <w:rsid w:val="001E5917"/>
    <w:rsid w:val="001E595F"/>
    <w:rsid w:val="001E5981"/>
    <w:rsid w:val="001E61B4"/>
    <w:rsid w:val="001E68B4"/>
    <w:rsid w:val="001E6905"/>
    <w:rsid w:val="001E6AA1"/>
    <w:rsid w:val="001E6AC2"/>
    <w:rsid w:val="001E6AD9"/>
    <w:rsid w:val="001E6D61"/>
    <w:rsid w:val="001E76FE"/>
    <w:rsid w:val="001E7E9C"/>
    <w:rsid w:val="001F04A6"/>
    <w:rsid w:val="001F05FD"/>
    <w:rsid w:val="001F0F32"/>
    <w:rsid w:val="001F0F7C"/>
    <w:rsid w:val="001F1460"/>
    <w:rsid w:val="001F1B61"/>
    <w:rsid w:val="001F27DF"/>
    <w:rsid w:val="001F31B0"/>
    <w:rsid w:val="001F32A3"/>
    <w:rsid w:val="001F3617"/>
    <w:rsid w:val="001F3D6C"/>
    <w:rsid w:val="001F3E14"/>
    <w:rsid w:val="001F3EF8"/>
    <w:rsid w:val="001F404F"/>
    <w:rsid w:val="001F446B"/>
    <w:rsid w:val="001F4A27"/>
    <w:rsid w:val="001F4B13"/>
    <w:rsid w:val="001F4B40"/>
    <w:rsid w:val="001F4C13"/>
    <w:rsid w:val="001F5666"/>
    <w:rsid w:val="001F5AB5"/>
    <w:rsid w:val="001F5C37"/>
    <w:rsid w:val="001F5D4B"/>
    <w:rsid w:val="001F5D9E"/>
    <w:rsid w:val="001F5F16"/>
    <w:rsid w:val="001F6088"/>
    <w:rsid w:val="001F60B6"/>
    <w:rsid w:val="001F6A01"/>
    <w:rsid w:val="001F6AFD"/>
    <w:rsid w:val="001F6B44"/>
    <w:rsid w:val="001F6CA0"/>
    <w:rsid w:val="001F7084"/>
    <w:rsid w:val="001F74F2"/>
    <w:rsid w:val="001F74F6"/>
    <w:rsid w:val="001F7750"/>
    <w:rsid w:val="001F7E97"/>
    <w:rsid w:val="00200145"/>
    <w:rsid w:val="00200A48"/>
    <w:rsid w:val="00201402"/>
    <w:rsid w:val="0020158D"/>
    <w:rsid w:val="00201730"/>
    <w:rsid w:val="002018A2"/>
    <w:rsid w:val="00202B77"/>
    <w:rsid w:val="002038B5"/>
    <w:rsid w:val="00203C38"/>
    <w:rsid w:val="00203EED"/>
    <w:rsid w:val="00204E60"/>
    <w:rsid w:val="0020599D"/>
    <w:rsid w:val="0020655A"/>
    <w:rsid w:val="00206B30"/>
    <w:rsid w:val="00206BE2"/>
    <w:rsid w:val="00207092"/>
    <w:rsid w:val="00207323"/>
    <w:rsid w:val="0020781F"/>
    <w:rsid w:val="00210058"/>
    <w:rsid w:val="0021044D"/>
    <w:rsid w:val="00210652"/>
    <w:rsid w:val="00210715"/>
    <w:rsid w:val="0021090D"/>
    <w:rsid w:val="0021157A"/>
    <w:rsid w:val="00211602"/>
    <w:rsid w:val="00211A35"/>
    <w:rsid w:val="00211B81"/>
    <w:rsid w:val="0021213A"/>
    <w:rsid w:val="0021294B"/>
    <w:rsid w:val="00212A0A"/>
    <w:rsid w:val="0021314D"/>
    <w:rsid w:val="00213239"/>
    <w:rsid w:val="00213508"/>
    <w:rsid w:val="00213929"/>
    <w:rsid w:val="002147C4"/>
    <w:rsid w:val="0021500E"/>
    <w:rsid w:val="002152A4"/>
    <w:rsid w:val="002155E9"/>
    <w:rsid w:val="002157D1"/>
    <w:rsid w:val="00215E80"/>
    <w:rsid w:val="00216FB2"/>
    <w:rsid w:val="00217582"/>
    <w:rsid w:val="0021772D"/>
    <w:rsid w:val="00217CC0"/>
    <w:rsid w:val="00217EDD"/>
    <w:rsid w:val="00220575"/>
    <w:rsid w:val="00220577"/>
    <w:rsid w:val="0022064D"/>
    <w:rsid w:val="00220701"/>
    <w:rsid w:val="00220EEC"/>
    <w:rsid w:val="00221070"/>
    <w:rsid w:val="002211EA"/>
    <w:rsid w:val="00221A10"/>
    <w:rsid w:val="00221A53"/>
    <w:rsid w:val="00221BA7"/>
    <w:rsid w:val="00221D3B"/>
    <w:rsid w:val="002220A9"/>
    <w:rsid w:val="002222EE"/>
    <w:rsid w:val="00222407"/>
    <w:rsid w:val="002224CD"/>
    <w:rsid w:val="00222796"/>
    <w:rsid w:val="00222AF2"/>
    <w:rsid w:val="00222B0B"/>
    <w:rsid w:val="00222C4B"/>
    <w:rsid w:val="00222C4F"/>
    <w:rsid w:val="00223288"/>
    <w:rsid w:val="00223328"/>
    <w:rsid w:val="00223406"/>
    <w:rsid w:val="00223590"/>
    <w:rsid w:val="0022383D"/>
    <w:rsid w:val="00224668"/>
    <w:rsid w:val="00224F63"/>
    <w:rsid w:val="00225606"/>
    <w:rsid w:val="00226977"/>
    <w:rsid w:val="00226CFF"/>
    <w:rsid w:val="00226D38"/>
    <w:rsid w:val="0022757B"/>
    <w:rsid w:val="00230B32"/>
    <w:rsid w:val="00230B72"/>
    <w:rsid w:val="00230C59"/>
    <w:rsid w:val="00231077"/>
    <w:rsid w:val="00232C63"/>
    <w:rsid w:val="00232F11"/>
    <w:rsid w:val="0023301F"/>
    <w:rsid w:val="0023387B"/>
    <w:rsid w:val="0023449A"/>
    <w:rsid w:val="00234652"/>
    <w:rsid w:val="002346BA"/>
    <w:rsid w:val="00234AC7"/>
    <w:rsid w:val="00234C15"/>
    <w:rsid w:val="00235615"/>
    <w:rsid w:val="0023566D"/>
    <w:rsid w:val="00235E65"/>
    <w:rsid w:val="0023630D"/>
    <w:rsid w:val="002364E7"/>
    <w:rsid w:val="00236710"/>
    <w:rsid w:val="0023683E"/>
    <w:rsid w:val="0023687E"/>
    <w:rsid w:val="00236DA5"/>
    <w:rsid w:val="00237527"/>
    <w:rsid w:val="00237785"/>
    <w:rsid w:val="00237797"/>
    <w:rsid w:val="002378FA"/>
    <w:rsid w:val="00237AFA"/>
    <w:rsid w:val="00237E36"/>
    <w:rsid w:val="00240D0E"/>
    <w:rsid w:val="0024135F"/>
    <w:rsid w:val="0024167D"/>
    <w:rsid w:val="00241CFE"/>
    <w:rsid w:val="00241FB1"/>
    <w:rsid w:val="00242040"/>
    <w:rsid w:val="002422DC"/>
    <w:rsid w:val="00242782"/>
    <w:rsid w:val="00242ED1"/>
    <w:rsid w:val="00243342"/>
    <w:rsid w:val="002433FC"/>
    <w:rsid w:val="002437C3"/>
    <w:rsid w:val="00243DA3"/>
    <w:rsid w:val="00244523"/>
    <w:rsid w:val="00244668"/>
    <w:rsid w:val="00244A2B"/>
    <w:rsid w:val="00245E85"/>
    <w:rsid w:val="0024682B"/>
    <w:rsid w:val="00246BEC"/>
    <w:rsid w:val="00246E22"/>
    <w:rsid w:val="00247BCD"/>
    <w:rsid w:val="00247CB9"/>
    <w:rsid w:val="00247E0F"/>
    <w:rsid w:val="00247E92"/>
    <w:rsid w:val="00250152"/>
    <w:rsid w:val="0025020F"/>
    <w:rsid w:val="00250313"/>
    <w:rsid w:val="0025039A"/>
    <w:rsid w:val="00250BDD"/>
    <w:rsid w:val="00250CD2"/>
    <w:rsid w:val="00250CE1"/>
    <w:rsid w:val="00250E19"/>
    <w:rsid w:val="00250EB1"/>
    <w:rsid w:val="00251451"/>
    <w:rsid w:val="00251B19"/>
    <w:rsid w:val="00251B41"/>
    <w:rsid w:val="00251F12"/>
    <w:rsid w:val="00252256"/>
    <w:rsid w:val="00252579"/>
    <w:rsid w:val="00252B94"/>
    <w:rsid w:val="00252C8E"/>
    <w:rsid w:val="00252D02"/>
    <w:rsid w:val="002531AD"/>
    <w:rsid w:val="002534DB"/>
    <w:rsid w:val="00253B77"/>
    <w:rsid w:val="00253CE2"/>
    <w:rsid w:val="002545CE"/>
    <w:rsid w:val="00254937"/>
    <w:rsid w:val="00254AB5"/>
    <w:rsid w:val="00254D93"/>
    <w:rsid w:val="00254ECD"/>
    <w:rsid w:val="00255450"/>
    <w:rsid w:val="0025550D"/>
    <w:rsid w:val="00255781"/>
    <w:rsid w:val="00255AC9"/>
    <w:rsid w:val="00255AD3"/>
    <w:rsid w:val="0025622E"/>
    <w:rsid w:val="00256730"/>
    <w:rsid w:val="00256E15"/>
    <w:rsid w:val="00257206"/>
    <w:rsid w:val="002579EB"/>
    <w:rsid w:val="00257C82"/>
    <w:rsid w:val="00260548"/>
    <w:rsid w:val="00261628"/>
    <w:rsid w:val="00261C8D"/>
    <w:rsid w:val="00261DC8"/>
    <w:rsid w:val="00262387"/>
    <w:rsid w:val="00262398"/>
    <w:rsid w:val="002628A4"/>
    <w:rsid w:val="00262A1F"/>
    <w:rsid w:val="00262A6B"/>
    <w:rsid w:val="00262FCF"/>
    <w:rsid w:val="00263B34"/>
    <w:rsid w:val="00263CC6"/>
    <w:rsid w:val="002644D0"/>
    <w:rsid w:val="00264721"/>
    <w:rsid w:val="00264A37"/>
    <w:rsid w:val="00264C18"/>
    <w:rsid w:val="00264F9A"/>
    <w:rsid w:val="00265185"/>
    <w:rsid w:val="00265557"/>
    <w:rsid w:val="00265F24"/>
    <w:rsid w:val="002670C4"/>
    <w:rsid w:val="00267480"/>
    <w:rsid w:val="002703D1"/>
    <w:rsid w:val="002707E0"/>
    <w:rsid w:val="0027104B"/>
    <w:rsid w:val="00271ECE"/>
    <w:rsid w:val="00272294"/>
    <w:rsid w:val="002723B1"/>
    <w:rsid w:val="0027261B"/>
    <w:rsid w:val="00272967"/>
    <w:rsid w:val="00272B90"/>
    <w:rsid w:val="00272C30"/>
    <w:rsid w:val="002731B5"/>
    <w:rsid w:val="0027384C"/>
    <w:rsid w:val="00273C33"/>
    <w:rsid w:val="002742E8"/>
    <w:rsid w:val="00274397"/>
    <w:rsid w:val="00274E1F"/>
    <w:rsid w:val="0027574C"/>
    <w:rsid w:val="002758CB"/>
    <w:rsid w:val="002758F6"/>
    <w:rsid w:val="0027590F"/>
    <w:rsid w:val="002759CF"/>
    <w:rsid w:val="00275BD0"/>
    <w:rsid w:val="00275EBE"/>
    <w:rsid w:val="00275F3C"/>
    <w:rsid w:val="00276108"/>
    <w:rsid w:val="0027647E"/>
    <w:rsid w:val="0027649E"/>
    <w:rsid w:val="0027657F"/>
    <w:rsid w:val="002766FD"/>
    <w:rsid w:val="00276B96"/>
    <w:rsid w:val="00276E66"/>
    <w:rsid w:val="00277204"/>
    <w:rsid w:val="00277551"/>
    <w:rsid w:val="00277F84"/>
    <w:rsid w:val="00277F8B"/>
    <w:rsid w:val="00280058"/>
    <w:rsid w:val="002800F0"/>
    <w:rsid w:val="00280ABC"/>
    <w:rsid w:val="00280B86"/>
    <w:rsid w:val="00280D9A"/>
    <w:rsid w:val="00280E29"/>
    <w:rsid w:val="0028122E"/>
    <w:rsid w:val="0028165B"/>
    <w:rsid w:val="00281984"/>
    <w:rsid w:val="00281D4B"/>
    <w:rsid w:val="00282400"/>
    <w:rsid w:val="00282403"/>
    <w:rsid w:val="00282AEF"/>
    <w:rsid w:val="00282B90"/>
    <w:rsid w:val="0028354D"/>
    <w:rsid w:val="0028383E"/>
    <w:rsid w:val="00283A8D"/>
    <w:rsid w:val="002846BA"/>
    <w:rsid w:val="00284CC1"/>
    <w:rsid w:val="00284D07"/>
    <w:rsid w:val="00284D74"/>
    <w:rsid w:val="00285624"/>
    <w:rsid w:val="00286371"/>
    <w:rsid w:val="0028682F"/>
    <w:rsid w:val="002868F2"/>
    <w:rsid w:val="0028691F"/>
    <w:rsid w:val="002871DF"/>
    <w:rsid w:val="002878A6"/>
    <w:rsid w:val="0028794D"/>
    <w:rsid w:val="002905CA"/>
    <w:rsid w:val="002910AA"/>
    <w:rsid w:val="0029112F"/>
    <w:rsid w:val="002914E4"/>
    <w:rsid w:val="002916FF"/>
    <w:rsid w:val="00291AFB"/>
    <w:rsid w:val="00293635"/>
    <w:rsid w:val="002937C0"/>
    <w:rsid w:val="0029389E"/>
    <w:rsid w:val="0029418E"/>
    <w:rsid w:val="00294BD1"/>
    <w:rsid w:val="00294C2D"/>
    <w:rsid w:val="00294CDA"/>
    <w:rsid w:val="0029527F"/>
    <w:rsid w:val="0029565E"/>
    <w:rsid w:val="0029581E"/>
    <w:rsid w:val="00295917"/>
    <w:rsid w:val="00295ADD"/>
    <w:rsid w:val="00295C18"/>
    <w:rsid w:val="00296B5D"/>
    <w:rsid w:val="00296C6F"/>
    <w:rsid w:val="00296D12"/>
    <w:rsid w:val="00297093"/>
    <w:rsid w:val="002970A4"/>
    <w:rsid w:val="002971CD"/>
    <w:rsid w:val="002972DE"/>
    <w:rsid w:val="002972FD"/>
    <w:rsid w:val="002973BD"/>
    <w:rsid w:val="002974B7"/>
    <w:rsid w:val="00297660"/>
    <w:rsid w:val="00297DDA"/>
    <w:rsid w:val="002A02CE"/>
    <w:rsid w:val="002A0634"/>
    <w:rsid w:val="002A096B"/>
    <w:rsid w:val="002A0A27"/>
    <w:rsid w:val="002A14D1"/>
    <w:rsid w:val="002A19BB"/>
    <w:rsid w:val="002A26EC"/>
    <w:rsid w:val="002A272D"/>
    <w:rsid w:val="002A2919"/>
    <w:rsid w:val="002A2A39"/>
    <w:rsid w:val="002A2BB0"/>
    <w:rsid w:val="002A2F22"/>
    <w:rsid w:val="002A350F"/>
    <w:rsid w:val="002A3C1A"/>
    <w:rsid w:val="002A3DAA"/>
    <w:rsid w:val="002A43EC"/>
    <w:rsid w:val="002A456B"/>
    <w:rsid w:val="002A46AF"/>
    <w:rsid w:val="002A4779"/>
    <w:rsid w:val="002A4875"/>
    <w:rsid w:val="002A4D7D"/>
    <w:rsid w:val="002A4FB3"/>
    <w:rsid w:val="002A59CB"/>
    <w:rsid w:val="002A5D2E"/>
    <w:rsid w:val="002A5F79"/>
    <w:rsid w:val="002A6456"/>
    <w:rsid w:val="002A6536"/>
    <w:rsid w:val="002A696E"/>
    <w:rsid w:val="002A6A6D"/>
    <w:rsid w:val="002A7486"/>
    <w:rsid w:val="002A7543"/>
    <w:rsid w:val="002A7836"/>
    <w:rsid w:val="002A7903"/>
    <w:rsid w:val="002B00D8"/>
    <w:rsid w:val="002B0A15"/>
    <w:rsid w:val="002B0BC5"/>
    <w:rsid w:val="002B0D5F"/>
    <w:rsid w:val="002B0FF1"/>
    <w:rsid w:val="002B1383"/>
    <w:rsid w:val="002B1EB0"/>
    <w:rsid w:val="002B20D6"/>
    <w:rsid w:val="002B243B"/>
    <w:rsid w:val="002B248F"/>
    <w:rsid w:val="002B24A4"/>
    <w:rsid w:val="002B270E"/>
    <w:rsid w:val="002B28CF"/>
    <w:rsid w:val="002B2AC2"/>
    <w:rsid w:val="002B3275"/>
    <w:rsid w:val="002B3352"/>
    <w:rsid w:val="002B33EA"/>
    <w:rsid w:val="002B3CE3"/>
    <w:rsid w:val="002B46FB"/>
    <w:rsid w:val="002B599E"/>
    <w:rsid w:val="002B61FA"/>
    <w:rsid w:val="002B63E7"/>
    <w:rsid w:val="002B64F6"/>
    <w:rsid w:val="002B6EB4"/>
    <w:rsid w:val="002B7024"/>
    <w:rsid w:val="002B75AA"/>
    <w:rsid w:val="002B765B"/>
    <w:rsid w:val="002B78A1"/>
    <w:rsid w:val="002B7C73"/>
    <w:rsid w:val="002B7CD9"/>
    <w:rsid w:val="002C07EA"/>
    <w:rsid w:val="002C09BF"/>
    <w:rsid w:val="002C11A6"/>
    <w:rsid w:val="002C192B"/>
    <w:rsid w:val="002C1CE8"/>
    <w:rsid w:val="002C26E7"/>
    <w:rsid w:val="002C28F0"/>
    <w:rsid w:val="002C3400"/>
    <w:rsid w:val="002C3F20"/>
    <w:rsid w:val="002C4182"/>
    <w:rsid w:val="002C46FE"/>
    <w:rsid w:val="002C479F"/>
    <w:rsid w:val="002C4C18"/>
    <w:rsid w:val="002C5098"/>
    <w:rsid w:val="002C575F"/>
    <w:rsid w:val="002C5812"/>
    <w:rsid w:val="002C5A4D"/>
    <w:rsid w:val="002C5C32"/>
    <w:rsid w:val="002C7204"/>
    <w:rsid w:val="002C72B2"/>
    <w:rsid w:val="002C79FD"/>
    <w:rsid w:val="002C7A83"/>
    <w:rsid w:val="002C7AED"/>
    <w:rsid w:val="002C7E01"/>
    <w:rsid w:val="002C7F87"/>
    <w:rsid w:val="002D03EF"/>
    <w:rsid w:val="002D05EF"/>
    <w:rsid w:val="002D0BC4"/>
    <w:rsid w:val="002D13C6"/>
    <w:rsid w:val="002D13E6"/>
    <w:rsid w:val="002D14F3"/>
    <w:rsid w:val="002D16E4"/>
    <w:rsid w:val="002D1DD9"/>
    <w:rsid w:val="002D24BD"/>
    <w:rsid w:val="002D2CA1"/>
    <w:rsid w:val="002D2F8C"/>
    <w:rsid w:val="002D3322"/>
    <w:rsid w:val="002D34F4"/>
    <w:rsid w:val="002D3930"/>
    <w:rsid w:val="002D3A37"/>
    <w:rsid w:val="002D3A86"/>
    <w:rsid w:val="002D3AC9"/>
    <w:rsid w:val="002D3C4A"/>
    <w:rsid w:val="002D4DD2"/>
    <w:rsid w:val="002D4EBE"/>
    <w:rsid w:val="002D5073"/>
    <w:rsid w:val="002D5836"/>
    <w:rsid w:val="002D5EB9"/>
    <w:rsid w:val="002D609D"/>
    <w:rsid w:val="002D65D3"/>
    <w:rsid w:val="002D680F"/>
    <w:rsid w:val="002D6A45"/>
    <w:rsid w:val="002D6DFC"/>
    <w:rsid w:val="002D7392"/>
    <w:rsid w:val="002D7B2C"/>
    <w:rsid w:val="002E0AED"/>
    <w:rsid w:val="002E11F0"/>
    <w:rsid w:val="002E1311"/>
    <w:rsid w:val="002E1717"/>
    <w:rsid w:val="002E235A"/>
    <w:rsid w:val="002E2B88"/>
    <w:rsid w:val="002E3242"/>
    <w:rsid w:val="002E33BD"/>
    <w:rsid w:val="002E385A"/>
    <w:rsid w:val="002E394A"/>
    <w:rsid w:val="002E3D34"/>
    <w:rsid w:val="002E4421"/>
    <w:rsid w:val="002E4AFC"/>
    <w:rsid w:val="002E5242"/>
    <w:rsid w:val="002E5260"/>
    <w:rsid w:val="002E531A"/>
    <w:rsid w:val="002E5595"/>
    <w:rsid w:val="002E5B07"/>
    <w:rsid w:val="002E5BBD"/>
    <w:rsid w:val="002E747C"/>
    <w:rsid w:val="002E75F8"/>
    <w:rsid w:val="002E77D2"/>
    <w:rsid w:val="002E788F"/>
    <w:rsid w:val="002E7A67"/>
    <w:rsid w:val="002E7DE8"/>
    <w:rsid w:val="002F0ACA"/>
    <w:rsid w:val="002F1560"/>
    <w:rsid w:val="002F1700"/>
    <w:rsid w:val="002F24E5"/>
    <w:rsid w:val="002F256B"/>
    <w:rsid w:val="002F2C47"/>
    <w:rsid w:val="002F2CFD"/>
    <w:rsid w:val="002F3210"/>
    <w:rsid w:val="002F37A8"/>
    <w:rsid w:val="002F3915"/>
    <w:rsid w:val="002F3AB1"/>
    <w:rsid w:val="002F4775"/>
    <w:rsid w:val="002F4CA6"/>
    <w:rsid w:val="002F51CB"/>
    <w:rsid w:val="002F564A"/>
    <w:rsid w:val="002F5E89"/>
    <w:rsid w:val="002F5ED6"/>
    <w:rsid w:val="002F607F"/>
    <w:rsid w:val="002F60D4"/>
    <w:rsid w:val="002F62AA"/>
    <w:rsid w:val="002F63DF"/>
    <w:rsid w:val="002F64EE"/>
    <w:rsid w:val="002F6D12"/>
    <w:rsid w:val="002F6E00"/>
    <w:rsid w:val="002F7034"/>
    <w:rsid w:val="002F71EC"/>
    <w:rsid w:val="002F7299"/>
    <w:rsid w:val="002F74B7"/>
    <w:rsid w:val="002F7C13"/>
    <w:rsid w:val="002F7C4B"/>
    <w:rsid w:val="002F7EEA"/>
    <w:rsid w:val="00300670"/>
    <w:rsid w:val="003006C1"/>
    <w:rsid w:val="00300D3E"/>
    <w:rsid w:val="00301B17"/>
    <w:rsid w:val="00301D0F"/>
    <w:rsid w:val="00301E9A"/>
    <w:rsid w:val="0030222E"/>
    <w:rsid w:val="00302303"/>
    <w:rsid w:val="00302BB4"/>
    <w:rsid w:val="00302DB3"/>
    <w:rsid w:val="00302F8B"/>
    <w:rsid w:val="0030311F"/>
    <w:rsid w:val="003033CB"/>
    <w:rsid w:val="00303550"/>
    <w:rsid w:val="00304CD8"/>
    <w:rsid w:val="00304E7B"/>
    <w:rsid w:val="003053B6"/>
    <w:rsid w:val="003054B0"/>
    <w:rsid w:val="003058B8"/>
    <w:rsid w:val="00305EE2"/>
    <w:rsid w:val="003061D1"/>
    <w:rsid w:val="00306470"/>
    <w:rsid w:val="00306A36"/>
    <w:rsid w:val="00306BE6"/>
    <w:rsid w:val="00306C10"/>
    <w:rsid w:val="00306F3B"/>
    <w:rsid w:val="003074CF"/>
    <w:rsid w:val="00307882"/>
    <w:rsid w:val="00307AAE"/>
    <w:rsid w:val="00307EA3"/>
    <w:rsid w:val="00307F81"/>
    <w:rsid w:val="00310476"/>
    <w:rsid w:val="00310697"/>
    <w:rsid w:val="00310821"/>
    <w:rsid w:val="00310A59"/>
    <w:rsid w:val="00310DB6"/>
    <w:rsid w:val="00311107"/>
    <w:rsid w:val="00311356"/>
    <w:rsid w:val="0031142F"/>
    <w:rsid w:val="003116E9"/>
    <w:rsid w:val="0031267D"/>
    <w:rsid w:val="0031291E"/>
    <w:rsid w:val="00312A47"/>
    <w:rsid w:val="00312C6A"/>
    <w:rsid w:val="00312D5C"/>
    <w:rsid w:val="00312D8C"/>
    <w:rsid w:val="0031314A"/>
    <w:rsid w:val="0031353B"/>
    <w:rsid w:val="00314940"/>
    <w:rsid w:val="003149AE"/>
    <w:rsid w:val="00314A36"/>
    <w:rsid w:val="00314C27"/>
    <w:rsid w:val="00314E26"/>
    <w:rsid w:val="00315073"/>
    <w:rsid w:val="00315266"/>
    <w:rsid w:val="00315889"/>
    <w:rsid w:val="00315D7E"/>
    <w:rsid w:val="00316088"/>
    <w:rsid w:val="0031615E"/>
    <w:rsid w:val="00316311"/>
    <w:rsid w:val="00316B86"/>
    <w:rsid w:val="003173A3"/>
    <w:rsid w:val="003173E5"/>
    <w:rsid w:val="003174FB"/>
    <w:rsid w:val="00317708"/>
    <w:rsid w:val="00317B71"/>
    <w:rsid w:val="00317FA8"/>
    <w:rsid w:val="003203C0"/>
    <w:rsid w:val="00320AD1"/>
    <w:rsid w:val="00320E33"/>
    <w:rsid w:val="00321164"/>
    <w:rsid w:val="00321338"/>
    <w:rsid w:val="003213DE"/>
    <w:rsid w:val="003218D7"/>
    <w:rsid w:val="00321DC2"/>
    <w:rsid w:val="00321F40"/>
    <w:rsid w:val="00322851"/>
    <w:rsid w:val="0032298C"/>
    <w:rsid w:val="00322EBF"/>
    <w:rsid w:val="0032326E"/>
    <w:rsid w:val="00323B93"/>
    <w:rsid w:val="00324A5F"/>
    <w:rsid w:val="00324B8E"/>
    <w:rsid w:val="00325441"/>
    <w:rsid w:val="003254C0"/>
    <w:rsid w:val="00325D61"/>
    <w:rsid w:val="00326130"/>
    <w:rsid w:val="00326149"/>
    <w:rsid w:val="0032633F"/>
    <w:rsid w:val="003263CA"/>
    <w:rsid w:val="00326A2F"/>
    <w:rsid w:val="00326C54"/>
    <w:rsid w:val="00326CF1"/>
    <w:rsid w:val="00327129"/>
    <w:rsid w:val="003271C6"/>
    <w:rsid w:val="00327516"/>
    <w:rsid w:val="0032772B"/>
    <w:rsid w:val="003278D5"/>
    <w:rsid w:val="00327CB7"/>
    <w:rsid w:val="00327FCE"/>
    <w:rsid w:val="003308B3"/>
    <w:rsid w:val="00330D00"/>
    <w:rsid w:val="0033120F"/>
    <w:rsid w:val="00331274"/>
    <w:rsid w:val="003313D1"/>
    <w:rsid w:val="003314B3"/>
    <w:rsid w:val="00331BB4"/>
    <w:rsid w:val="00331C92"/>
    <w:rsid w:val="003320A0"/>
    <w:rsid w:val="00332219"/>
    <w:rsid w:val="003324EC"/>
    <w:rsid w:val="003324F1"/>
    <w:rsid w:val="0033318E"/>
    <w:rsid w:val="00333397"/>
    <w:rsid w:val="00333426"/>
    <w:rsid w:val="003339CF"/>
    <w:rsid w:val="00333AF2"/>
    <w:rsid w:val="00333C00"/>
    <w:rsid w:val="0033404C"/>
    <w:rsid w:val="00334402"/>
    <w:rsid w:val="003344A0"/>
    <w:rsid w:val="003349FC"/>
    <w:rsid w:val="00334B9A"/>
    <w:rsid w:val="0033529E"/>
    <w:rsid w:val="003358D7"/>
    <w:rsid w:val="00336091"/>
    <w:rsid w:val="0033619C"/>
    <w:rsid w:val="00336222"/>
    <w:rsid w:val="0033658A"/>
    <w:rsid w:val="0033687F"/>
    <w:rsid w:val="00336ADF"/>
    <w:rsid w:val="0033797E"/>
    <w:rsid w:val="00337CC2"/>
    <w:rsid w:val="00337E84"/>
    <w:rsid w:val="00340099"/>
    <w:rsid w:val="003409A7"/>
    <w:rsid w:val="00341600"/>
    <w:rsid w:val="00341A82"/>
    <w:rsid w:val="00341BF9"/>
    <w:rsid w:val="00341F3E"/>
    <w:rsid w:val="00341F8B"/>
    <w:rsid w:val="00342335"/>
    <w:rsid w:val="003429AF"/>
    <w:rsid w:val="00342DD2"/>
    <w:rsid w:val="00342E5F"/>
    <w:rsid w:val="003431E0"/>
    <w:rsid w:val="003433E0"/>
    <w:rsid w:val="00343537"/>
    <w:rsid w:val="00343569"/>
    <w:rsid w:val="003438D6"/>
    <w:rsid w:val="00343D18"/>
    <w:rsid w:val="00343DFB"/>
    <w:rsid w:val="00343EF8"/>
    <w:rsid w:val="003443A6"/>
    <w:rsid w:val="003448AF"/>
    <w:rsid w:val="00345C6B"/>
    <w:rsid w:val="00345FE2"/>
    <w:rsid w:val="00346660"/>
    <w:rsid w:val="00346D4D"/>
    <w:rsid w:val="00346F1D"/>
    <w:rsid w:val="0034760D"/>
    <w:rsid w:val="00347AC3"/>
    <w:rsid w:val="00347F92"/>
    <w:rsid w:val="0035016C"/>
    <w:rsid w:val="00350286"/>
    <w:rsid w:val="00350484"/>
    <w:rsid w:val="003504A0"/>
    <w:rsid w:val="00350D92"/>
    <w:rsid w:val="00350EB9"/>
    <w:rsid w:val="00351544"/>
    <w:rsid w:val="00351636"/>
    <w:rsid w:val="00351A0A"/>
    <w:rsid w:val="00351A37"/>
    <w:rsid w:val="00351AF0"/>
    <w:rsid w:val="00351C80"/>
    <w:rsid w:val="003521EB"/>
    <w:rsid w:val="0035233C"/>
    <w:rsid w:val="0035309D"/>
    <w:rsid w:val="00353990"/>
    <w:rsid w:val="00353A70"/>
    <w:rsid w:val="00353B4C"/>
    <w:rsid w:val="00353D77"/>
    <w:rsid w:val="00353EC4"/>
    <w:rsid w:val="0035429B"/>
    <w:rsid w:val="00354322"/>
    <w:rsid w:val="0035481C"/>
    <w:rsid w:val="00355083"/>
    <w:rsid w:val="0035512E"/>
    <w:rsid w:val="0035514E"/>
    <w:rsid w:val="00355313"/>
    <w:rsid w:val="00355662"/>
    <w:rsid w:val="00355712"/>
    <w:rsid w:val="003558F9"/>
    <w:rsid w:val="00355C28"/>
    <w:rsid w:val="00356242"/>
    <w:rsid w:val="00356626"/>
    <w:rsid w:val="00356A72"/>
    <w:rsid w:val="00356C13"/>
    <w:rsid w:val="00357AF2"/>
    <w:rsid w:val="00357C46"/>
    <w:rsid w:val="00360326"/>
    <w:rsid w:val="003609A6"/>
    <w:rsid w:val="00360AD9"/>
    <w:rsid w:val="00360C32"/>
    <w:rsid w:val="003611B1"/>
    <w:rsid w:val="003615E0"/>
    <w:rsid w:val="003615E5"/>
    <w:rsid w:val="00361782"/>
    <w:rsid w:val="0036182E"/>
    <w:rsid w:val="00361ABE"/>
    <w:rsid w:val="003620AA"/>
    <w:rsid w:val="003623B8"/>
    <w:rsid w:val="00362CD5"/>
    <w:rsid w:val="00362F65"/>
    <w:rsid w:val="00363B68"/>
    <w:rsid w:val="00363BEE"/>
    <w:rsid w:val="0036411C"/>
    <w:rsid w:val="00364AEE"/>
    <w:rsid w:val="00364FE1"/>
    <w:rsid w:val="00365470"/>
    <w:rsid w:val="00365A32"/>
    <w:rsid w:val="00365B7B"/>
    <w:rsid w:val="00365EDB"/>
    <w:rsid w:val="00365F58"/>
    <w:rsid w:val="003668E0"/>
    <w:rsid w:val="00366AB1"/>
    <w:rsid w:val="00366D16"/>
    <w:rsid w:val="00367002"/>
    <w:rsid w:val="0036737F"/>
    <w:rsid w:val="00367604"/>
    <w:rsid w:val="003677CC"/>
    <w:rsid w:val="003678BB"/>
    <w:rsid w:val="00367F2A"/>
    <w:rsid w:val="00367FB7"/>
    <w:rsid w:val="0037009E"/>
    <w:rsid w:val="003704F8"/>
    <w:rsid w:val="00370A6A"/>
    <w:rsid w:val="00370B30"/>
    <w:rsid w:val="003710D7"/>
    <w:rsid w:val="0037126D"/>
    <w:rsid w:val="003716A6"/>
    <w:rsid w:val="00371BC7"/>
    <w:rsid w:val="00371ECF"/>
    <w:rsid w:val="00371FE9"/>
    <w:rsid w:val="003722DC"/>
    <w:rsid w:val="00372318"/>
    <w:rsid w:val="0037238F"/>
    <w:rsid w:val="00372911"/>
    <w:rsid w:val="00372B53"/>
    <w:rsid w:val="00372B55"/>
    <w:rsid w:val="00372EEE"/>
    <w:rsid w:val="003731E9"/>
    <w:rsid w:val="003737C9"/>
    <w:rsid w:val="00373E18"/>
    <w:rsid w:val="003741DB"/>
    <w:rsid w:val="003745DA"/>
    <w:rsid w:val="00374BC1"/>
    <w:rsid w:val="00375056"/>
    <w:rsid w:val="00375395"/>
    <w:rsid w:val="0037591C"/>
    <w:rsid w:val="00375EC0"/>
    <w:rsid w:val="00376374"/>
    <w:rsid w:val="003768AC"/>
    <w:rsid w:val="003769F6"/>
    <w:rsid w:val="0037768A"/>
    <w:rsid w:val="00377C61"/>
    <w:rsid w:val="003800CE"/>
    <w:rsid w:val="00380230"/>
    <w:rsid w:val="00380853"/>
    <w:rsid w:val="00380D24"/>
    <w:rsid w:val="003818D8"/>
    <w:rsid w:val="00381C63"/>
    <w:rsid w:val="00382324"/>
    <w:rsid w:val="00382331"/>
    <w:rsid w:val="00382B8F"/>
    <w:rsid w:val="00382E72"/>
    <w:rsid w:val="00383055"/>
    <w:rsid w:val="00383C0E"/>
    <w:rsid w:val="00384202"/>
    <w:rsid w:val="003842EB"/>
    <w:rsid w:val="003844DD"/>
    <w:rsid w:val="003845F3"/>
    <w:rsid w:val="003848BA"/>
    <w:rsid w:val="00384BFE"/>
    <w:rsid w:val="003852C0"/>
    <w:rsid w:val="00385641"/>
    <w:rsid w:val="003858D8"/>
    <w:rsid w:val="00385943"/>
    <w:rsid w:val="003859AE"/>
    <w:rsid w:val="003869D3"/>
    <w:rsid w:val="00386B11"/>
    <w:rsid w:val="00386C87"/>
    <w:rsid w:val="003870BB"/>
    <w:rsid w:val="00387377"/>
    <w:rsid w:val="003878A6"/>
    <w:rsid w:val="00387DC3"/>
    <w:rsid w:val="0039006F"/>
    <w:rsid w:val="00390542"/>
    <w:rsid w:val="00390A99"/>
    <w:rsid w:val="00390F24"/>
    <w:rsid w:val="00391514"/>
    <w:rsid w:val="0039164A"/>
    <w:rsid w:val="00391743"/>
    <w:rsid w:val="003918DC"/>
    <w:rsid w:val="003919EA"/>
    <w:rsid w:val="00391A27"/>
    <w:rsid w:val="00391D66"/>
    <w:rsid w:val="0039230E"/>
    <w:rsid w:val="00392506"/>
    <w:rsid w:val="003928C9"/>
    <w:rsid w:val="00392EA3"/>
    <w:rsid w:val="00393183"/>
    <w:rsid w:val="00393277"/>
    <w:rsid w:val="003937FF"/>
    <w:rsid w:val="00393F12"/>
    <w:rsid w:val="00393F1F"/>
    <w:rsid w:val="00393F49"/>
    <w:rsid w:val="00393FED"/>
    <w:rsid w:val="0039404C"/>
    <w:rsid w:val="0039415C"/>
    <w:rsid w:val="00394922"/>
    <w:rsid w:val="00394C58"/>
    <w:rsid w:val="00394E1F"/>
    <w:rsid w:val="00395722"/>
    <w:rsid w:val="00395C83"/>
    <w:rsid w:val="00395CE3"/>
    <w:rsid w:val="00396009"/>
    <w:rsid w:val="003962F3"/>
    <w:rsid w:val="00396C0C"/>
    <w:rsid w:val="00396C36"/>
    <w:rsid w:val="00396C4F"/>
    <w:rsid w:val="00396F63"/>
    <w:rsid w:val="0039755C"/>
    <w:rsid w:val="003976B9"/>
    <w:rsid w:val="003976DE"/>
    <w:rsid w:val="00397FC1"/>
    <w:rsid w:val="003A0003"/>
    <w:rsid w:val="003A0199"/>
    <w:rsid w:val="003A067E"/>
    <w:rsid w:val="003A15FB"/>
    <w:rsid w:val="003A1752"/>
    <w:rsid w:val="003A1942"/>
    <w:rsid w:val="003A1B49"/>
    <w:rsid w:val="003A2459"/>
    <w:rsid w:val="003A2AA8"/>
    <w:rsid w:val="003A2B94"/>
    <w:rsid w:val="003A3443"/>
    <w:rsid w:val="003A350C"/>
    <w:rsid w:val="003A3675"/>
    <w:rsid w:val="003A397C"/>
    <w:rsid w:val="003A4042"/>
    <w:rsid w:val="003A432A"/>
    <w:rsid w:val="003A4331"/>
    <w:rsid w:val="003A438E"/>
    <w:rsid w:val="003A492B"/>
    <w:rsid w:val="003A510E"/>
    <w:rsid w:val="003A639C"/>
    <w:rsid w:val="003A63F4"/>
    <w:rsid w:val="003A669D"/>
    <w:rsid w:val="003A675B"/>
    <w:rsid w:val="003A67A3"/>
    <w:rsid w:val="003A68FE"/>
    <w:rsid w:val="003A6B12"/>
    <w:rsid w:val="003A6DE4"/>
    <w:rsid w:val="003A7584"/>
    <w:rsid w:val="003A7681"/>
    <w:rsid w:val="003A7E6C"/>
    <w:rsid w:val="003A7F24"/>
    <w:rsid w:val="003A7FC2"/>
    <w:rsid w:val="003B0065"/>
    <w:rsid w:val="003B0829"/>
    <w:rsid w:val="003B0BB5"/>
    <w:rsid w:val="003B0F27"/>
    <w:rsid w:val="003B1725"/>
    <w:rsid w:val="003B17E1"/>
    <w:rsid w:val="003B2210"/>
    <w:rsid w:val="003B2361"/>
    <w:rsid w:val="003B28FE"/>
    <w:rsid w:val="003B2AD4"/>
    <w:rsid w:val="003B3BD2"/>
    <w:rsid w:val="003B3D09"/>
    <w:rsid w:val="003B44D9"/>
    <w:rsid w:val="003B4819"/>
    <w:rsid w:val="003B4B50"/>
    <w:rsid w:val="003B4CBE"/>
    <w:rsid w:val="003B4D92"/>
    <w:rsid w:val="003B5456"/>
    <w:rsid w:val="003B561F"/>
    <w:rsid w:val="003B5C10"/>
    <w:rsid w:val="003B5C63"/>
    <w:rsid w:val="003B5CBB"/>
    <w:rsid w:val="003B5D5D"/>
    <w:rsid w:val="003B6777"/>
    <w:rsid w:val="003B6B75"/>
    <w:rsid w:val="003B73AA"/>
    <w:rsid w:val="003B74F2"/>
    <w:rsid w:val="003B7AF3"/>
    <w:rsid w:val="003C0166"/>
    <w:rsid w:val="003C0A8B"/>
    <w:rsid w:val="003C0EA4"/>
    <w:rsid w:val="003C10BC"/>
    <w:rsid w:val="003C1B4C"/>
    <w:rsid w:val="003C1C33"/>
    <w:rsid w:val="003C24A4"/>
    <w:rsid w:val="003C2701"/>
    <w:rsid w:val="003C28BD"/>
    <w:rsid w:val="003C2A1E"/>
    <w:rsid w:val="003C2B46"/>
    <w:rsid w:val="003C2DA6"/>
    <w:rsid w:val="003C3460"/>
    <w:rsid w:val="003C41DB"/>
    <w:rsid w:val="003C44E2"/>
    <w:rsid w:val="003C4697"/>
    <w:rsid w:val="003C4A45"/>
    <w:rsid w:val="003C581F"/>
    <w:rsid w:val="003C61BD"/>
    <w:rsid w:val="003C6214"/>
    <w:rsid w:val="003C67D6"/>
    <w:rsid w:val="003C6ADA"/>
    <w:rsid w:val="003C6F37"/>
    <w:rsid w:val="003C7656"/>
    <w:rsid w:val="003C7AA4"/>
    <w:rsid w:val="003C7C2A"/>
    <w:rsid w:val="003C7C69"/>
    <w:rsid w:val="003D07FC"/>
    <w:rsid w:val="003D0A31"/>
    <w:rsid w:val="003D0BB6"/>
    <w:rsid w:val="003D0BEC"/>
    <w:rsid w:val="003D1596"/>
    <w:rsid w:val="003D188B"/>
    <w:rsid w:val="003D1A70"/>
    <w:rsid w:val="003D20D4"/>
    <w:rsid w:val="003D237E"/>
    <w:rsid w:val="003D23DB"/>
    <w:rsid w:val="003D24F4"/>
    <w:rsid w:val="003D26F8"/>
    <w:rsid w:val="003D2A7A"/>
    <w:rsid w:val="003D2F16"/>
    <w:rsid w:val="003D3146"/>
    <w:rsid w:val="003D40B9"/>
    <w:rsid w:val="003D4374"/>
    <w:rsid w:val="003D47AD"/>
    <w:rsid w:val="003D480A"/>
    <w:rsid w:val="003D4E4C"/>
    <w:rsid w:val="003D5161"/>
    <w:rsid w:val="003D55FD"/>
    <w:rsid w:val="003D5D69"/>
    <w:rsid w:val="003D5E1C"/>
    <w:rsid w:val="003D63C2"/>
    <w:rsid w:val="003D67E1"/>
    <w:rsid w:val="003D6A6A"/>
    <w:rsid w:val="003D6CBA"/>
    <w:rsid w:val="003D6D13"/>
    <w:rsid w:val="003D72B8"/>
    <w:rsid w:val="003D7F75"/>
    <w:rsid w:val="003E026C"/>
    <w:rsid w:val="003E0F23"/>
    <w:rsid w:val="003E159C"/>
    <w:rsid w:val="003E1B81"/>
    <w:rsid w:val="003E2341"/>
    <w:rsid w:val="003E2357"/>
    <w:rsid w:val="003E25FC"/>
    <w:rsid w:val="003E319D"/>
    <w:rsid w:val="003E3C34"/>
    <w:rsid w:val="003E4DF2"/>
    <w:rsid w:val="003E4F8F"/>
    <w:rsid w:val="003E4FE7"/>
    <w:rsid w:val="003E559E"/>
    <w:rsid w:val="003E5982"/>
    <w:rsid w:val="003E5B61"/>
    <w:rsid w:val="003E682C"/>
    <w:rsid w:val="003E6C51"/>
    <w:rsid w:val="003E7474"/>
    <w:rsid w:val="003E7849"/>
    <w:rsid w:val="003E7891"/>
    <w:rsid w:val="003E7B09"/>
    <w:rsid w:val="003F0362"/>
    <w:rsid w:val="003F07FE"/>
    <w:rsid w:val="003F1175"/>
    <w:rsid w:val="003F1746"/>
    <w:rsid w:val="003F1B63"/>
    <w:rsid w:val="003F1BFB"/>
    <w:rsid w:val="003F2A5B"/>
    <w:rsid w:val="003F2BB5"/>
    <w:rsid w:val="003F2BBA"/>
    <w:rsid w:val="003F30E1"/>
    <w:rsid w:val="003F3C60"/>
    <w:rsid w:val="003F4A35"/>
    <w:rsid w:val="003F4EE7"/>
    <w:rsid w:val="003F5476"/>
    <w:rsid w:val="003F689F"/>
    <w:rsid w:val="003F6B42"/>
    <w:rsid w:val="004007BB"/>
    <w:rsid w:val="0040097A"/>
    <w:rsid w:val="00400AD1"/>
    <w:rsid w:val="00400FE7"/>
    <w:rsid w:val="004010D1"/>
    <w:rsid w:val="004015D7"/>
    <w:rsid w:val="0040160A"/>
    <w:rsid w:val="00401FE2"/>
    <w:rsid w:val="00402121"/>
    <w:rsid w:val="00402B0A"/>
    <w:rsid w:val="004031FE"/>
    <w:rsid w:val="004036AB"/>
    <w:rsid w:val="004036D6"/>
    <w:rsid w:val="004036F8"/>
    <w:rsid w:val="00403C03"/>
    <w:rsid w:val="00403DDE"/>
    <w:rsid w:val="0040416F"/>
    <w:rsid w:val="0040423A"/>
    <w:rsid w:val="00404717"/>
    <w:rsid w:val="00404E41"/>
    <w:rsid w:val="004052CC"/>
    <w:rsid w:val="004054BB"/>
    <w:rsid w:val="00405D4E"/>
    <w:rsid w:val="00405F9B"/>
    <w:rsid w:val="00406114"/>
    <w:rsid w:val="0040654E"/>
    <w:rsid w:val="00406599"/>
    <w:rsid w:val="00406DA9"/>
    <w:rsid w:val="00407091"/>
    <w:rsid w:val="004072FC"/>
    <w:rsid w:val="0040773E"/>
    <w:rsid w:val="00407866"/>
    <w:rsid w:val="00407BC4"/>
    <w:rsid w:val="0041001F"/>
    <w:rsid w:val="00410BE9"/>
    <w:rsid w:val="00410C73"/>
    <w:rsid w:val="00410CEF"/>
    <w:rsid w:val="004111E0"/>
    <w:rsid w:val="00411947"/>
    <w:rsid w:val="00411FAA"/>
    <w:rsid w:val="0041221C"/>
    <w:rsid w:val="00412BA6"/>
    <w:rsid w:val="004132D9"/>
    <w:rsid w:val="00413A45"/>
    <w:rsid w:val="00413E2B"/>
    <w:rsid w:val="00414453"/>
    <w:rsid w:val="00414467"/>
    <w:rsid w:val="00414A4B"/>
    <w:rsid w:val="00414CF1"/>
    <w:rsid w:val="004156B4"/>
    <w:rsid w:val="004160EB"/>
    <w:rsid w:val="00416154"/>
    <w:rsid w:val="00416801"/>
    <w:rsid w:val="00416A09"/>
    <w:rsid w:val="00416AB1"/>
    <w:rsid w:val="00416BA2"/>
    <w:rsid w:val="00416C44"/>
    <w:rsid w:val="00416ECE"/>
    <w:rsid w:val="00417CE0"/>
    <w:rsid w:val="00417D0F"/>
    <w:rsid w:val="00417F78"/>
    <w:rsid w:val="0042085C"/>
    <w:rsid w:val="00420B74"/>
    <w:rsid w:val="004214B3"/>
    <w:rsid w:val="00421548"/>
    <w:rsid w:val="0042179F"/>
    <w:rsid w:val="00421CE7"/>
    <w:rsid w:val="0042206F"/>
    <w:rsid w:val="0042208B"/>
    <w:rsid w:val="004228EE"/>
    <w:rsid w:val="00422D78"/>
    <w:rsid w:val="00422DE3"/>
    <w:rsid w:val="00422E01"/>
    <w:rsid w:val="00422FF6"/>
    <w:rsid w:val="00423106"/>
    <w:rsid w:val="00423693"/>
    <w:rsid w:val="004241C6"/>
    <w:rsid w:val="004248FD"/>
    <w:rsid w:val="00424C40"/>
    <w:rsid w:val="00424D92"/>
    <w:rsid w:val="00425143"/>
    <w:rsid w:val="00426471"/>
    <w:rsid w:val="004264CF"/>
    <w:rsid w:val="00426905"/>
    <w:rsid w:val="004269A9"/>
    <w:rsid w:val="00426C42"/>
    <w:rsid w:val="00426CA2"/>
    <w:rsid w:val="00427636"/>
    <w:rsid w:val="004276A9"/>
    <w:rsid w:val="00427907"/>
    <w:rsid w:val="00427DC3"/>
    <w:rsid w:val="004303AD"/>
    <w:rsid w:val="0043047B"/>
    <w:rsid w:val="004307B7"/>
    <w:rsid w:val="00430B63"/>
    <w:rsid w:val="00430FDA"/>
    <w:rsid w:val="00431161"/>
    <w:rsid w:val="004311B8"/>
    <w:rsid w:val="00431A55"/>
    <w:rsid w:val="00431C2E"/>
    <w:rsid w:val="00431E49"/>
    <w:rsid w:val="00432BB8"/>
    <w:rsid w:val="0043328F"/>
    <w:rsid w:val="0043361D"/>
    <w:rsid w:val="00433F7C"/>
    <w:rsid w:val="00434138"/>
    <w:rsid w:val="004344F5"/>
    <w:rsid w:val="00435988"/>
    <w:rsid w:val="00435B43"/>
    <w:rsid w:val="00436300"/>
    <w:rsid w:val="0043670A"/>
    <w:rsid w:val="004369F6"/>
    <w:rsid w:val="00436C97"/>
    <w:rsid w:val="00436D53"/>
    <w:rsid w:val="0043743A"/>
    <w:rsid w:val="0043764D"/>
    <w:rsid w:val="00437814"/>
    <w:rsid w:val="004378DC"/>
    <w:rsid w:val="00437A94"/>
    <w:rsid w:val="00437F00"/>
    <w:rsid w:val="004402B8"/>
    <w:rsid w:val="0044043F"/>
    <w:rsid w:val="004413ED"/>
    <w:rsid w:val="0044146D"/>
    <w:rsid w:val="0044163B"/>
    <w:rsid w:val="004426BB"/>
    <w:rsid w:val="00442EE2"/>
    <w:rsid w:val="004430B5"/>
    <w:rsid w:val="004431D9"/>
    <w:rsid w:val="00443651"/>
    <w:rsid w:val="00443C50"/>
    <w:rsid w:val="004442EB"/>
    <w:rsid w:val="00444693"/>
    <w:rsid w:val="004447F3"/>
    <w:rsid w:val="00444997"/>
    <w:rsid w:val="00444CBF"/>
    <w:rsid w:val="00445502"/>
    <w:rsid w:val="00445658"/>
    <w:rsid w:val="00445693"/>
    <w:rsid w:val="00445731"/>
    <w:rsid w:val="00445BF2"/>
    <w:rsid w:val="00445F28"/>
    <w:rsid w:val="0044620C"/>
    <w:rsid w:val="0044621E"/>
    <w:rsid w:val="00446253"/>
    <w:rsid w:val="00446C65"/>
    <w:rsid w:val="00446F62"/>
    <w:rsid w:val="00446FB2"/>
    <w:rsid w:val="00447289"/>
    <w:rsid w:val="00447375"/>
    <w:rsid w:val="004476A6"/>
    <w:rsid w:val="004507D0"/>
    <w:rsid w:val="0045098A"/>
    <w:rsid w:val="00450B62"/>
    <w:rsid w:val="00450C72"/>
    <w:rsid w:val="004516AA"/>
    <w:rsid w:val="00451FCB"/>
    <w:rsid w:val="00452153"/>
    <w:rsid w:val="0045232D"/>
    <w:rsid w:val="00452D4B"/>
    <w:rsid w:val="00452FDA"/>
    <w:rsid w:val="00454388"/>
    <w:rsid w:val="004545F5"/>
    <w:rsid w:val="00454701"/>
    <w:rsid w:val="0045483C"/>
    <w:rsid w:val="00455081"/>
    <w:rsid w:val="00455453"/>
    <w:rsid w:val="0045582D"/>
    <w:rsid w:val="004558E3"/>
    <w:rsid w:val="00455DD8"/>
    <w:rsid w:val="00455F06"/>
    <w:rsid w:val="004565A2"/>
    <w:rsid w:val="00456C01"/>
    <w:rsid w:val="00457912"/>
    <w:rsid w:val="0045794A"/>
    <w:rsid w:val="00460472"/>
    <w:rsid w:val="00460940"/>
    <w:rsid w:val="00460A57"/>
    <w:rsid w:val="00460AB0"/>
    <w:rsid w:val="00460CA9"/>
    <w:rsid w:val="004613FE"/>
    <w:rsid w:val="00461B3E"/>
    <w:rsid w:val="004624BB"/>
    <w:rsid w:val="0046252C"/>
    <w:rsid w:val="0046265A"/>
    <w:rsid w:val="0046284D"/>
    <w:rsid w:val="00462874"/>
    <w:rsid w:val="00462B39"/>
    <w:rsid w:val="00462E9D"/>
    <w:rsid w:val="00463030"/>
    <w:rsid w:val="0046326F"/>
    <w:rsid w:val="004635AD"/>
    <w:rsid w:val="0046367D"/>
    <w:rsid w:val="004636BD"/>
    <w:rsid w:val="00463905"/>
    <w:rsid w:val="00463B0C"/>
    <w:rsid w:val="00463FDA"/>
    <w:rsid w:val="004648C4"/>
    <w:rsid w:val="00464EB9"/>
    <w:rsid w:val="00464EC1"/>
    <w:rsid w:val="00465144"/>
    <w:rsid w:val="004653A0"/>
    <w:rsid w:val="00465494"/>
    <w:rsid w:val="00465CA0"/>
    <w:rsid w:val="00466413"/>
    <w:rsid w:val="00466AE5"/>
    <w:rsid w:val="00466E1D"/>
    <w:rsid w:val="00467222"/>
    <w:rsid w:val="0046727C"/>
    <w:rsid w:val="00467395"/>
    <w:rsid w:val="00467577"/>
    <w:rsid w:val="00467AB8"/>
    <w:rsid w:val="00467AF2"/>
    <w:rsid w:val="0047002C"/>
    <w:rsid w:val="00470304"/>
    <w:rsid w:val="00470B51"/>
    <w:rsid w:val="0047119D"/>
    <w:rsid w:val="00471627"/>
    <w:rsid w:val="00471E66"/>
    <w:rsid w:val="00472308"/>
    <w:rsid w:val="004728B9"/>
    <w:rsid w:val="00472F0F"/>
    <w:rsid w:val="0047440B"/>
    <w:rsid w:val="00474EE0"/>
    <w:rsid w:val="00475353"/>
    <w:rsid w:val="0047556C"/>
    <w:rsid w:val="004759D7"/>
    <w:rsid w:val="00476231"/>
    <w:rsid w:val="004762C2"/>
    <w:rsid w:val="004764FF"/>
    <w:rsid w:val="00476DC7"/>
    <w:rsid w:val="004770C9"/>
    <w:rsid w:val="004770DA"/>
    <w:rsid w:val="00477220"/>
    <w:rsid w:val="00477336"/>
    <w:rsid w:val="00481210"/>
    <w:rsid w:val="00481C9E"/>
    <w:rsid w:val="00481E4A"/>
    <w:rsid w:val="004823AD"/>
    <w:rsid w:val="00482A3E"/>
    <w:rsid w:val="00482AD7"/>
    <w:rsid w:val="004837DC"/>
    <w:rsid w:val="00483C75"/>
    <w:rsid w:val="00483DE3"/>
    <w:rsid w:val="00483FF2"/>
    <w:rsid w:val="004840CB"/>
    <w:rsid w:val="00484326"/>
    <w:rsid w:val="00484373"/>
    <w:rsid w:val="0048437F"/>
    <w:rsid w:val="0048505A"/>
    <w:rsid w:val="00485545"/>
    <w:rsid w:val="00485C9F"/>
    <w:rsid w:val="00485DE9"/>
    <w:rsid w:val="00485E85"/>
    <w:rsid w:val="00486620"/>
    <w:rsid w:val="004866D4"/>
    <w:rsid w:val="00486A85"/>
    <w:rsid w:val="004872D7"/>
    <w:rsid w:val="00487654"/>
    <w:rsid w:val="00487A1F"/>
    <w:rsid w:val="00487BF2"/>
    <w:rsid w:val="00490C05"/>
    <w:rsid w:val="00490D84"/>
    <w:rsid w:val="00490E85"/>
    <w:rsid w:val="00491056"/>
    <w:rsid w:val="00491172"/>
    <w:rsid w:val="004911FC"/>
    <w:rsid w:val="0049127B"/>
    <w:rsid w:val="004919C5"/>
    <w:rsid w:val="00491C35"/>
    <w:rsid w:val="00491E4E"/>
    <w:rsid w:val="00491EEA"/>
    <w:rsid w:val="00492702"/>
    <w:rsid w:val="00492820"/>
    <w:rsid w:val="00492833"/>
    <w:rsid w:val="0049284A"/>
    <w:rsid w:val="00492ABE"/>
    <w:rsid w:val="004930AD"/>
    <w:rsid w:val="00493144"/>
    <w:rsid w:val="0049344C"/>
    <w:rsid w:val="004938FC"/>
    <w:rsid w:val="0049427E"/>
    <w:rsid w:val="00494418"/>
    <w:rsid w:val="00494722"/>
    <w:rsid w:val="0049497B"/>
    <w:rsid w:val="00495593"/>
    <w:rsid w:val="00495733"/>
    <w:rsid w:val="00495A4C"/>
    <w:rsid w:val="004964CD"/>
    <w:rsid w:val="00497005"/>
    <w:rsid w:val="00497959"/>
    <w:rsid w:val="00497B4E"/>
    <w:rsid w:val="00497C18"/>
    <w:rsid w:val="00497F93"/>
    <w:rsid w:val="004A0060"/>
    <w:rsid w:val="004A0229"/>
    <w:rsid w:val="004A062D"/>
    <w:rsid w:val="004A118B"/>
    <w:rsid w:val="004A1D62"/>
    <w:rsid w:val="004A1DE6"/>
    <w:rsid w:val="004A1F7C"/>
    <w:rsid w:val="004A241A"/>
    <w:rsid w:val="004A25AB"/>
    <w:rsid w:val="004A2AA1"/>
    <w:rsid w:val="004A2D9B"/>
    <w:rsid w:val="004A3B20"/>
    <w:rsid w:val="004A40C2"/>
    <w:rsid w:val="004A448C"/>
    <w:rsid w:val="004A44DA"/>
    <w:rsid w:val="004A4500"/>
    <w:rsid w:val="004A4539"/>
    <w:rsid w:val="004A4BE0"/>
    <w:rsid w:val="004A57D1"/>
    <w:rsid w:val="004A5808"/>
    <w:rsid w:val="004A593C"/>
    <w:rsid w:val="004A59F2"/>
    <w:rsid w:val="004A5DBE"/>
    <w:rsid w:val="004A6023"/>
    <w:rsid w:val="004A6297"/>
    <w:rsid w:val="004A6310"/>
    <w:rsid w:val="004A78C0"/>
    <w:rsid w:val="004A7926"/>
    <w:rsid w:val="004A7AF7"/>
    <w:rsid w:val="004A7F72"/>
    <w:rsid w:val="004B00AD"/>
    <w:rsid w:val="004B054F"/>
    <w:rsid w:val="004B0728"/>
    <w:rsid w:val="004B134B"/>
    <w:rsid w:val="004B1740"/>
    <w:rsid w:val="004B1AEB"/>
    <w:rsid w:val="004B1E4F"/>
    <w:rsid w:val="004B20D5"/>
    <w:rsid w:val="004B21F5"/>
    <w:rsid w:val="004B251E"/>
    <w:rsid w:val="004B281F"/>
    <w:rsid w:val="004B2A2A"/>
    <w:rsid w:val="004B2C79"/>
    <w:rsid w:val="004B3B87"/>
    <w:rsid w:val="004B3CE0"/>
    <w:rsid w:val="004B4959"/>
    <w:rsid w:val="004B5171"/>
    <w:rsid w:val="004B53B6"/>
    <w:rsid w:val="004B5828"/>
    <w:rsid w:val="004B5912"/>
    <w:rsid w:val="004B598C"/>
    <w:rsid w:val="004B5AA5"/>
    <w:rsid w:val="004B6021"/>
    <w:rsid w:val="004B6039"/>
    <w:rsid w:val="004B6055"/>
    <w:rsid w:val="004B685A"/>
    <w:rsid w:val="004B6A2F"/>
    <w:rsid w:val="004B6E8D"/>
    <w:rsid w:val="004B7027"/>
    <w:rsid w:val="004B71FB"/>
    <w:rsid w:val="004B74D1"/>
    <w:rsid w:val="004B75CA"/>
    <w:rsid w:val="004B7692"/>
    <w:rsid w:val="004B7877"/>
    <w:rsid w:val="004B7900"/>
    <w:rsid w:val="004B7DDC"/>
    <w:rsid w:val="004C002E"/>
    <w:rsid w:val="004C01C2"/>
    <w:rsid w:val="004C05A0"/>
    <w:rsid w:val="004C07F0"/>
    <w:rsid w:val="004C0C4A"/>
    <w:rsid w:val="004C0D70"/>
    <w:rsid w:val="004C11E3"/>
    <w:rsid w:val="004C124A"/>
    <w:rsid w:val="004C1698"/>
    <w:rsid w:val="004C1A98"/>
    <w:rsid w:val="004C1CA2"/>
    <w:rsid w:val="004C1E59"/>
    <w:rsid w:val="004C2317"/>
    <w:rsid w:val="004C2502"/>
    <w:rsid w:val="004C26D1"/>
    <w:rsid w:val="004C27F7"/>
    <w:rsid w:val="004C28B6"/>
    <w:rsid w:val="004C3043"/>
    <w:rsid w:val="004C3363"/>
    <w:rsid w:val="004C3476"/>
    <w:rsid w:val="004C35D4"/>
    <w:rsid w:val="004C36FF"/>
    <w:rsid w:val="004C3B4C"/>
    <w:rsid w:val="004C431C"/>
    <w:rsid w:val="004C4578"/>
    <w:rsid w:val="004C470F"/>
    <w:rsid w:val="004C4DAE"/>
    <w:rsid w:val="004C5149"/>
    <w:rsid w:val="004C515E"/>
    <w:rsid w:val="004C5496"/>
    <w:rsid w:val="004C54F0"/>
    <w:rsid w:val="004C58A0"/>
    <w:rsid w:val="004C58AB"/>
    <w:rsid w:val="004C694C"/>
    <w:rsid w:val="004C733C"/>
    <w:rsid w:val="004C75A0"/>
    <w:rsid w:val="004C796E"/>
    <w:rsid w:val="004C7BAE"/>
    <w:rsid w:val="004C7C8A"/>
    <w:rsid w:val="004D015C"/>
    <w:rsid w:val="004D0D1C"/>
    <w:rsid w:val="004D0DCE"/>
    <w:rsid w:val="004D1A2D"/>
    <w:rsid w:val="004D2889"/>
    <w:rsid w:val="004D2E8E"/>
    <w:rsid w:val="004D2ED4"/>
    <w:rsid w:val="004D3037"/>
    <w:rsid w:val="004D3734"/>
    <w:rsid w:val="004D39E1"/>
    <w:rsid w:val="004D3A59"/>
    <w:rsid w:val="004D4046"/>
    <w:rsid w:val="004D4060"/>
    <w:rsid w:val="004D42C6"/>
    <w:rsid w:val="004D434A"/>
    <w:rsid w:val="004D44F3"/>
    <w:rsid w:val="004D49AD"/>
    <w:rsid w:val="004D4D06"/>
    <w:rsid w:val="004D4DD4"/>
    <w:rsid w:val="004D539B"/>
    <w:rsid w:val="004D58E4"/>
    <w:rsid w:val="004D5C7A"/>
    <w:rsid w:val="004D5C86"/>
    <w:rsid w:val="004D5E86"/>
    <w:rsid w:val="004D7349"/>
    <w:rsid w:val="004D7814"/>
    <w:rsid w:val="004E02B1"/>
    <w:rsid w:val="004E0596"/>
    <w:rsid w:val="004E0D28"/>
    <w:rsid w:val="004E1367"/>
    <w:rsid w:val="004E17E1"/>
    <w:rsid w:val="004E18E1"/>
    <w:rsid w:val="004E19A9"/>
    <w:rsid w:val="004E1A64"/>
    <w:rsid w:val="004E1C21"/>
    <w:rsid w:val="004E2C55"/>
    <w:rsid w:val="004E2D9C"/>
    <w:rsid w:val="004E2EFA"/>
    <w:rsid w:val="004E305C"/>
    <w:rsid w:val="004E3908"/>
    <w:rsid w:val="004E47F3"/>
    <w:rsid w:val="004E489F"/>
    <w:rsid w:val="004E49B1"/>
    <w:rsid w:val="004E4B2D"/>
    <w:rsid w:val="004E569F"/>
    <w:rsid w:val="004E5761"/>
    <w:rsid w:val="004E5D88"/>
    <w:rsid w:val="004E634B"/>
    <w:rsid w:val="004E6AA8"/>
    <w:rsid w:val="004E6C04"/>
    <w:rsid w:val="004E7238"/>
    <w:rsid w:val="004E7359"/>
    <w:rsid w:val="004E73EF"/>
    <w:rsid w:val="004E74D0"/>
    <w:rsid w:val="004E79B3"/>
    <w:rsid w:val="004F00E3"/>
    <w:rsid w:val="004F02D4"/>
    <w:rsid w:val="004F081A"/>
    <w:rsid w:val="004F08D3"/>
    <w:rsid w:val="004F0F80"/>
    <w:rsid w:val="004F13C0"/>
    <w:rsid w:val="004F15A2"/>
    <w:rsid w:val="004F1A58"/>
    <w:rsid w:val="004F1EE9"/>
    <w:rsid w:val="004F2012"/>
    <w:rsid w:val="004F2112"/>
    <w:rsid w:val="004F23CA"/>
    <w:rsid w:val="004F2D11"/>
    <w:rsid w:val="004F2DEA"/>
    <w:rsid w:val="004F2DF8"/>
    <w:rsid w:val="004F2EFD"/>
    <w:rsid w:val="004F3C86"/>
    <w:rsid w:val="004F3E4E"/>
    <w:rsid w:val="004F3E4F"/>
    <w:rsid w:val="004F45CF"/>
    <w:rsid w:val="004F4E08"/>
    <w:rsid w:val="004F4E34"/>
    <w:rsid w:val="004F5026"/>
    <w:rsid w:val="004F5273"/>
    <w:rsid w:val="004F5E5F"/>
    <w:rsid w:val="004F6798"/>
    <w:rsid w:val="004F6F60"/>
    <w:rsid w:val="004F6F75"/>
    <w:rsid w:val="004F7187"/>
    <w:rsid w:val="004F77C9"/>
    <w:rsid w:val="004F7B12"/>
    <w:rsid w:val="0050079C"/>
    <w:rsid w:val="00500A4A"/>
    <w:rsid w:val="00500AC1"/>
    <w:rsid w:val="00500F8D"/>
    <w:rsid w:val="005018D1"/>
    <w:rsid w:val="00501F37"/>
    <w:rsid w:val="00501F9B"/>
    <w:rsid w:val="00502291"/>
    <w:rsid w:val="00502966"/>
    <w:rsid w:val="00502D89"/>
    <w:rsid w:val="00502F4F"/>
    <w:rsid w:val="00502F77"/>
    <w:rsid w:val="0050333B"/>
    <w:rsid w:val="00503649"/>
    <w:rsid w:val="00503898"/>
    <w:rsid w:val="00503A42"/>
    <w:rsid w:val="00503BE9"/>
    <w:rsid w:val="00503D28"/>
    <w:rsid w:val="00503FDD"/>
    <w:rsid w:val="00504EC2"/>
    <w:rsid w:val="00504ECE"/>
    <w:rsid w:val="00504F66"/>
    <w:rsid w:val="005054C1"/>
    <w:rsid w:val="0050551A"/>
    <w:rsid w:val="005055F5"/>
    <w:rsid w:val="00505A72"/>
    <w:rsid w:val="0050618C"/>
    <w:rsid w:val="00506B1F"/>
    <w:rsid w:val="00506D68"/>
    <w:rsid w:val="00507F3C"/>
    <w:rsid w:val="005103A0"/>
    <w:rsid w:val="0051154A"/>
    <w:rsid w:val="005117C3"/>
    <w:rsid w:val="00511A87"/>
    <w:rsid w:val="00511AEC"/>
    <w:rsid w:val="00511B6D"/>
    <w:rsid w:val="005120F9"/>
    <w:rsid w:val="0051249E"/>
    <w:rsid w:val="005127CD"/>
    <w:rsid w:val="00512848"/>
    <w:rsid w:val="00512B71"/>
    <w:rsid w:val="00513212"/>
    <w:rsid w:val="00513EEF"/>
    <w:rsid w:val="00514021"/>
    <w:rsid w:val="00514095"/>
    <w:rsid w:val="00514144"/>
    <w:rsid w:val="00514DF5"/>
    <w:rsid w:val="00514F61"/>
    <w:rsid w:val="00515140"/>
    <w:rsid w:val="00515837"/>
    <w:rsid w:val="005159E5"/>
    <w:rsid w:val="00515AF3"/>
    <w:rsid w:val="0051653B"/>
    <w:rsid w:val="00516C69"/>
    <w:rsid w:val="00516D0A"/>
    <w:rsid w:val="00516DD3"/>
    <w:rsid w:val="00517316"/>
    <w:rsid w:val="00517703"/>
    <w:rsid w:val="005178DB"/>
    <w:rsid w:val="00517E67"/>
    <w:rsid w:val="005202B6"/>
    <w:rsid w:val="00520337"/>
    <w:rsid w:val="005203D7"/>
    <w:rsid w:val="0052040D"/>
    <w:rsid w:val="00520442"/>
    <w:rsid w:val="005205DA"/>
    <w:rsid w:val="00520BEE"/>
    <w:rsid w:val="00520F57"/>
    <w:rsid w:val="005211CB"/>
    <w:rsid w:val="00521921"/>
    <w:rsid w:val="00521ADE"/>
    <w:rsid w:val="00521CAD"/>
    <w:rsid w:val="00521F55"/>
    <w:rsid w:val="00521FA2"/>
    <w:rsid w:val="00522083"/>
    <w:rsid w:val="005228BC"/>
    <w:rsid w:val="00522D0E"/>
    <w:rsid w:val="00522FB9"/>
    <w:rsid w:val="00523607"/>
    <w:rsid w:val="00524323"/>
    <w:rsid w:val="005244C3"/>
    <w:rsid w:val="00524865"/>
    <w:rsid w:val="0052487C"/>
    <w:rsid w:val="00524A19"/>
    <w:rsid w:val="00524D36"/>
    <w:rsid w:val="005253EE"/>
    <w:rsid w:val="00525E79"/>
    <w:rsid w:val="005262FF"/>
    <w:rsid w:val="005266D5"/>
    <w:rsid w:val="0052757A"/>
    <w:rsid w:val="00527A73"/>
    <w:rsid w:val="00527CF3"/>
    <w:rsid w:val="0053068C"/>
    <w:rsid w:val="005308CA"/>
    <w:rsid w:val="00530913"/>
    <w:rsid w:val="00530EE2"/>
    <w:rsid w:val="0053152B"/>
    <w:rsid w:val="005315A9"/>
    <w:rsid w:val="005325DB"/>
    <w:rsid w:val="005325EB"/>
    <w:rsid w:val="00534B91"/>
    <w:rsid w:val="00534BF6"/>
    <w:rsid w:val="00534E9B"/>
    <w:rsid w:val="00535916"/>
    <w:rsid w:val="005365DD"/>
    <w:rsid w:val="0053668F"/>
    <w:rsid w:val="0053721A"/>
    <w:rsid w:val="005373D7"/>
    <w:rsid w:val="005378DF"/>
    <w:rsid w:val="005379E7"/>
    <w:rsid w:val="00540016"/>
    <w:rsid w:val="0054073D"/>
    <w:rsid w:val="00540D9F"/>
    <w:rsid w:val="00541396"/>
    <w:rsid w:val="0054208B"/>
    <w:rsid w:val="0054239F"/>
    <w:rsid w:val="00542A52"/>
    <w:rsid w:val="00542C41"/>
    <w:rsid w:val="00542EAB"/>
    <w:rsid w:val="005432BA"/>
    <w:rsid w:val="005432EA"/>
    <w:rsid w:val="005433F6"/>
    <w:rsid w:val="00543772"/>
    <w:rsid w:val="00543FA6"/>
    <w:rsid w:val="00544CEE"/>
    <w:rsid w:val="00545A50"/>
    <w:rsid w:val="00545F97"/>
    <w:rsid w:val="0054625E"/>
    <w:rsid w:val="0054647F"/>
    <w:rsid w:val="00546B57"/>
    <w:rsid w:val="00546F7C"/>
    <w:rsid w:val="005470C0"/>
    <w:rsid w:val="0054746B"/>
    <w:rsid w:val="00547977"/>
    <w:rsid w:val="00550186"/>
    <w:rsid w:val="005501CA"/>
    <w:rsid w:val="0055033D"/>
    <w:rsid w:val="005503F5"/>
    <w:rsid w:val="00550530"/>
    <w:rsid w:val="00550731"/>
    <w:rsid w:val="00550DD2"/>
    <w:rsid w:val="00551303"/>
    <w:rsid w:val="00551E43"/>
    <w:rsid w:val="00551E46"/>
    <w:rsid w:val="00551F22"/>
    <w:rsid w:val="005522C6"/>
    <w:rsid w:val="005527E4"/>
    <w:rsid w:val="0055302A"/>
    <w:rsid w:val="0055319C"/>
    <w:rsid w:val="00553526"/>
    <w:rsid w:val="0055361F"/>
    <w:rsid w:val="00553B3A"/>
    <w:rsid w:val="00553BAB"/>
    <w:rsid w:val="00553BB8"/>
    <w:rsid w:val="00553D21"/>
    <w:rsid w:val="005545DE"/>
    <w:rsid w:val="005546E2"/>
    <w:rsid w:val="00554E59"/>
    <w:rsid w:val="0055539A"/>
    <w:rsid w:val="00555639"/>
    <w:rsid w:val="0055563B"/>
    <w:rsid w:val="0055573C"/>
    <w:rsid w:val="005557D6"/>
    <w:rsid w:val="005557DE"/>
    <w:rsid w:val="005559E0"/>
    <w:rsid w:val="00556556"/>
    <w:rsid w:val="005571A1"/>
    <w:rsid w:val="005577EF"/>
    <w:rsid w:val="00557EF8"/>
    <w:rsid w:val="00560641"/>
    <w:rsid w:val="00560850"/>
    <w:rsid w:val="0056088B"/>
    <w:rsid w:val="00560A4F"/>
    <w:rsid w:val="00560FFF"/>
    <w:rsid w:val="00561295"/>
    <w:rsid w:val="005613C0"/>
    <w:rsid w:val="0056151E"/>
    <w:rsid w:val="005618D7"/>
    <w:rsid w:val="00561BEC"/>
    <w:rsid w:val="0056211B"/>
    <w:rsid w:val="0056223C"/>
    <w:rsid w:val="00562417"/>
    <w:rsid w:val="00562678"/>
    <w:rsid w:val="00562C32"/>
    <w:rsid w:val="00562CB8"/>
    <w:rsid w:val="00563771"/>
    <w:rsid w:val="00563C00"/>
    <w:rsid w:val="0056499A"/>
    <w:rsid w:val="00564AC6"/>
    <w:rsid w:val="00564B8A"/>
    <w:rsid w:val="00564CF1"/>
    <w:rsid w:val="00564D35"/>
    <w:rsid w:val="00564EE1"/>
    <w:rsid w:val="00564F32"/>
    <w:rsid w:val="00565396"/>
    <w:rsid w:val="00565CDC"/>
    <w:rsid w:val="00565E69"/>
    <w:rsid w:val="00565FE4"/>
    <w:rsid w:val="00566638"/>
    <w:rsid w:val="00566708"/>
    <w:rsid w:val="0056694D"/>
    <w:rsid w:val="00566B50"/>
    <w:rsid w:val="00567015"/>
    <w:rsid w:val="00567265"/>
    <w:rsid w:val="00567D89"/>
    <w:rsid w:val="00567FD3"/>
    <w:rsid w:val="00570838"/>
    <w:rsid w:val="0057093A"/>
    <w:rsid w:val="005709DF"/>
    <w:rsid w:val="00570C3C"/>
    <w:rsid w:val="0057177A"/>
    <w:rsid w:val="005717FB"/>
    <w:rsid w:val="0057219E"/>
    <w:rsid w:val="005726FC"/>
    <w:rsid w:val="00572B94"/>
    <w:rsid w:val="00572DCD"/>
    <w:rsid w:val="00573329"/>
    <w:rsid w:val="0057335D"/>
    <w:rsid w:val="0057336E"/>
    <w:rsid w:val="0057359D"/>
    <w:rsid w:val="00573A0E"/>
    <w:rsid w:val="00573A9A"/>
    <w:rsid w:val="00573BBD"/>
    <w:rsid w:val="00574461"/>
    <w:rsid w:val="00574701"/>
    <w:rsid w:val="00574FA4"/>
    <w:rsid w:val="00574FAB"/>
    <w:rsid w:val="00575801"/>
    <w:rsid w:val="005766D9"/>
    <w:rsid w:val="00576AC3"/>
    <w:rsid w:val="005771AB"/>
    <w:rsid w:val="005772B4"/>
    <w:rsid w:val="005774A0"/>
    <w:rsid w:val="00577875"/>
    <w:rsid w:val="005778DF"/>
    <w:rsid w:val="00577AD8"/>
    <w:rsid w:val="0058014B"/>
    <w:rsid w:val="005803B6"/>
    <w:rsid w:val="00580B4A"/>
    <w:rsid w:val="00580BCE"/>
    <w:rsid w:val="00580C46"/>
    <w:rsid w:val="0058121D"/>
    <w:rsid w:val="00581B9F"/>
    <w:rsid w:val="00581BB6"/>
    <w:rsid w:val="00581CBB"/>
    <w:rsid w:val="00581F60"/>
    <w:rsid w:val="00581FB0"/>
    <w:rsid w:val="00582128"/>
    <w:rsid w:val="0058264C"/>
    <w:rsid w:val="00582A19"/>
    <w:rsid w:val="00582AAB"/>
    <w:rsid w:val="005846FF"/>
    <w:rsid w:val="00584A45"/>
    <w:rsid w:val="0058523E"/>
    <w:rsid w:val="005856A5"/>
    <w:rsid w:val="00586004"/>
    <w:rsid w:val="005862A2"/>
    <w:rsid w:val="005862F5"/>
    <w:rsid w:val="005873EC"/>
    <w:rsid w:val="00587D64"/>
    <w:rsid w:val="00587DED"/>
    <w:rsid w:val="00590001"/>
    <w:rsid w:val="00590D85"/>
    <w:rsid w:val="00590E5B"/>
    <w:rsid w:val="00591060"/>
    <w:rsid w:val="005911C6"/>
    <w:rsid w:val="00591992"/>
    <w:rsid w:val="005919EC"/>
    <w:rsid w:val="00591AC2"/>
    <w:rsid w:val="00591C5E"/>
    <w:rsid w:val="00592533"/>
    <w:rsid w:val="0059283B"/>
    <w:rsid w:val="00592A34"/>
    <w:rsid w:val="00592C72"/>
    <w:rsid w:val="00592E57"/>
    <w:rsid w:val="005934F0"/>
    <w:rsid w:val="0059380D"/>
    <w:rsid w:val="005948B9"/>
    <w:rsid w:val="00594AA3"/>
    <w:rsid w:val="00594EDE"/>
    <w:rsid w:val="00594FC0"/>
    <w:rsid w:val="00595343"/>
    <w:rsid w:val="005955A3"/>
    <w:rsid w:val="00595C2A"/>
    <w:rsid w:val="0059640E"/>
    <w:rsid w:val="00596506"/>
    <w:rsid w:val="005966BE"/>
    <w:rsid w:val="00597761"/>
    <w:rsid w:val="00597DBF"/>
    <w:rsid w:val="005A0408"/>
    <w:rsid w:val="005A0786"/>
    <w:rsid w:val="005A0BF9"/>
    <w:rsid w:val="005A0C19"/>
    <w:rsid w:val="005A0F0F"/>
    <w:rsid w:val="005A2866"/>
    <w:rsid w:val="005A2D1D"/>
    <w:rsid w:val="005A2E5B"/>
    <w:rsid w:val="005A2EEB"/>
    <w:rsid w:val="005A3084"/>
    <w:rsid w:val="005A3807"/>
    <w:rsid w:val="005A3925"/>
    <w:rsid w:val="005A39BB"/>
    <w:rsid w:val="005A4065"/>
    <w:rsid w:val="005A439E"/>
    <w:rsid w:val="005A59FD"/>
    <w:rsid w:val="005A5AD4"/>
    <w:rsid w:val="005A61FD"/>
    <w:rsid w:val="005A622C"/>
    <w:rsid w:val="005A6649"/>
    <w:rsid w:val="005A6819"/>
    <w:rsid w:val="005A6B4C"/>
    <w:rsid w:val="005A6EF7"/>
    <w:rsid w:val="005A79C0"/>
    <w:rsid w:val="005B00A5"/>
    <w:rsid w:val="005B01C4"/>
    <w:rsid w:val="005B04B1"/>
    <w:rsid w:val="005B06D7"/>
    <w:rsid w:val="005B13FA"/>
    <w:rsid w:val="005B17FE"/>
    <w:rsid w:val="005B1D4E"/>
    <w:rsid w:val="005B1DC0"/>
    <w:rsid w:val="005B1E25"/>
    <w:rsid w:val="005B1EC2"/>
    <w:rsid w:val="005B1FF8"/>
    <w:rsid w:val="005B219D"/>
    <w:rsid w:val="005B22AB"/>
    <w:rsid w:val="005B22C9"/>
    <w:rsid w:val="005B257D"/>
    <w:rsid w:val="005B274E"/>
    <w:rsid w:val="005B28DB"/>
    <w:rsid w:val="005B2923"/>
    <w:rsid w:val="005B2FD6"/>
    <w:rsid w:val="005B3103"/>
    <w:rsid w:val="005B3241"/>
    <w:rsid w:val="005B3D57"/>
    <w:rsid w:val="005B3E2A"/>
    <w:rsid w:val="005B41F8"/>
    <w:rsid w:val="005B44E8"/>
    <w:rsid w:val="005B48D8"/>
    <w:rsid w:val="005B4971"/>
    <w:rsid w:val="005B4EC3"/>
    <w:rsid w:val="005B542F"/>
    <w:rsid w:val="005B5589"/>
    <w:rsid w:val="005B5CD0"/>
    <w:rsid w:val="005B5F70"/>
    <w:rsid w:val="005B6161"/>
    <w:rsid w:val="005B64FF"/>
    <w:rsid w:val="005B65C5"/>
    <w:rsid w:val="005B67FD"/>
    <w:rsid w:val="005B6CC5"/>
    <w:rsid w:val="005B6FF1"/>
    <w:rsid w:val="005B70CA"/>
    <w:rsid w:val="005B75B7"/>
    <w:rsid w:val="005B75E6"/>
    <w:rsid w:val="005B764E"/>
    <w:rsid w:val="005B78A6"/>
    <w:rsid w:val="005B79E7"/>
    <w:rsid w:val="005B7C1B"/>
    <w:rsid w:val="005B7EB0"/>
    <w:rsid w:val="005B7EE6"/>
    <w:rsid w:val="005C06BB"/>
    <w:rsid w:val="005C08DF"/>
    <w:rsid w:val="005C09D3"/>
    <w:rsid w:val="005C0DD4"/>
    <w:rsid w:val="005C121F"/>
    <w:rsid w:val="005C16A5"/>
    <w:rsid w:val="005C187F"/>
    <w:rsid w:val="005C1B52"/>
    <w:rsid w:val="005C1F06"/>
    <w:rsid w:val="005C1F63"/>
    <w:rsid w:val="005C1F6D"/>
    <w:rsid w:val="005C2148"/>
    <w:rsid w:val="005C2EB1"/>
    <w:rsid w:val="005C2F7B"/>
    <w:rsid w:val="005C30DC"/>
    <w:rsid w:val="005C317D"/>
    <w:rsid w:val="005C3520"/>
    <w:rsid w:val="005C37A0"/>
    <w:rsid w:val="005C3AAE"/>
    <w:rsid w:val="005C3C29"/>
    <w:rsid w:val="005C3C40"/>
    <w:rsid w:val="005C3CA6"/>
    <w:rsid w:val="005C3D61"/>
    <w:rsid w:val="005C43D6"/>
    <w:rsid w:val="005C44CF"/>
    <w:rsid w:val="005C4833"/>
    <w:rsid w:val="005C4EEE"/>
    <w:rsid w:val="005C5496"/>
    <w:rsid w:val="005C6001"/>
    <w:rsid w:val="005C66C0"/>
    <w:rsid w:val="005C693B"/>
    <w:rsid w:val="005C6A97"/>
    <w:rsid w:val="005C7B20"/>
    <w:rsid w:val="005D00D3"/>
    <w:rsid w:val="005D056D"/>
    <w:rsid w:val="005D08C5"/>
    <w:rsid w:val="005D0CB8"/>
    <w:rsid w:val="005D0E10"/>
    <w:rsid w:val="005D1341"/>
    <w:rsid w:val="005D17DB"/>
    <w:rsid w:val="005D1CF3"/>
    <w:rsid w:val="005D2A10"/>
    <w:rsid w:val="005D2B1D"/>
    <w:rsid w:val="005D2C23"/>
    <w:rsid w:val="005D2C50"/>
    <w:rsid w:val="005D2D06"/>
    <w:rsid w:val="005D2F83"/>
    <w:rsid w:val="005D32E4"/>
    <w:rsid w:val="005D3B6C"/>
    <w:rsid w:val="005D4198"/>
    <w:rsid w:val="005D4234"/>
    <w:rsid w:val="005D46DC"/>
    <w:rsid w:val="005D5215"/>
    <w:rsid w:val="005D59F0"/>
    <w:rsid w:val="005D5F2B"/>
    <w:rsid w:val="005D6108"/>
    <w:rsid w:val="005D655C"/>
    <w:rsid w:val="005D66D1"/>
    <w:rsid w:val="005D6A71"/>
    <w:rsid w:val="005D6A77"/>
    <w:rsid w:val="005D73BF"/>
    <w:rsid w:val="005D74F9"/>
    <w:rsid w:val="005D7ACB"/>
    <w:rsid w:val="005D7C4D"/>
    <w:rsid w:val="005E0531"/>
    <w:rsid w:val="005E0A4C"/>
    <w:rsid w:val="005E0CFD"/>
    <w:rsid w:val="005E19DA"/>
    <w:rsid w:val="005E2360"/>
    <w:rsid w:val="005E2A58"/>
    <w:rsid w:val="005E2AA3"/>
    <w:rsid w:val="005E2E4A"/>
    <w:rsid w:val="005E2EA2"/>
    <w:rsid w:val="005E32F9"/>
    <w:rsid w:val="005E34E7"/>
    <w:rsid w:val="005E371E"/>
    <w:rsid w:val="005E374C"/>
    <w:rsid w:val="005E3E8A"/>
    <w:rsid w:val="005E4310"/>
    <w:rsid w:val="005E4317"/>
    <w:rsid w:val="005E4B9E"/>
    <w:rsid w:val="005E4E79"/>
    <w:rsid w:val="005E4FF0"/>
    <w:rsid w:val="005E52F3"/>
    <w:rsid w:val="005E560A"/>
    <w:rsid w:val="005E5761"/>
    <w:rsid w:val="005E5989"/>
    <w:rsid w:val="005E62F7"/>
    <w:rsid w:val="005E6554"/>
    <w:rsid w:val="005E66BF"/>
    <w:rsid w:val="005E676C"/>
    <w:rsid w:val="005E6DEC"/>
    <w:rsid w:val="005E6F8F"/>
    <w:rsid w:val="005E7203"/>
    <w:rsid w:val="005E7BF1"/>
    <w:rsid w:val="005F0307"/>
    <w:rsid w:val="005F0661"/>
    <w:rsid w:val="005F118C"/>
    <w:rsid w:val="005F18F3"/>
    <w:rsid w:val="005F1D6E"/>
    <w:rsid w:val="005F2349"/>
    <w:rsid w:val="005F25B4"/>
    <w:rsid w:val="005F306D"/>
    <w:rsid w:val="005F33B6"/>
    <w:rsid w:val="005F340D"/>
    <w:rsid w:val="005F3C35"/>
    <w:rsid w:val="005F4599"/>
    <w:rsid w:val="005F54AE"/>
    <w:rsid w:val="005F561F"/>
    <w:rsid w:val="005F5E20"/>
    <w:rsid w:val="005F610A"/>
    <w:rsid w:val="005F643B"/>
    <w:rsid w:val="005F64BE"/>
    <w:rsid w:val="005F6634"/>
    <w:rsid w:val="005F6979"/>
    <w:rsid w:val="005F69B9"/>
    <w:rsid w:val="005F6E16"/>
    <w:rsid w:val="005F6E6F"/>
    <w:rsid w:val="005F6E86"/>
    <w:rsid w:val="005F705A"/>
    <w:rsid w:val="005F71B4"/>
    <w:rsid w:val="005F742C"/>
    <w:rsid w:val="005F7B97"/>
    <w:rsid w:val="005F7E0F"/>
    <w:rsid w:val="005F7F48"/>
    <w:rsid w:val="0060069F"/>
    <w:rsid w:val="0060071A"/>
    <w:rsid w:val="0060083B"/>
    <w:rsid w:val="00600A0F"/>
    <w:rsid w:val="00600A15"/>
    <w:rsid w:val="006012E8"/>
    <w:rsid w:val="006014E3"/>
    <w:rsid w:val="00601A5B"/>
    <w:rsid w:val="00601B24"/>
    <w:rsid w:val="00602322"/>
    <w:rsid w:val="006026CE"/>
    <w:rsid w:val="006028B5"/>
    <w:rsid w:val="00602BB1"/>
    <w:rsid w:val="00602D0A"/>
    <w:rsid w:val="00602EF6"/>
    <w:rsid w:val="00603336"/>
    <w:rsid w:val="006033DB"/>
    <w:rsid w:val="00603F8C"/>
    <w:rsid w:val="006041C4"/>
    <w:rsid w:val="00604AD2"/>
    <w:rsid w:val="00604CE9"/>
    <w:rsid w:val="00606249"/>
    <w:rsid w:val="0060634A"/>
    <w:rsid w:val="00607205"/>
    <w:rsid w:val="00607537"/>
    <w:rsid w:val="00607EDB"/>
    <w:rsid w:val="006105A1"/>
    <w:rsid w:val="00610B14"/>
    <w:rsid w:val="00610EDC"/>
    <w:rsid w:val="00611237"/>
    <w:rsid w:val="00611243"/>
    <w:rsid w:val="00611375"/>
    <w:rsid w:val="00611863"/>
    <w:rsid w:val="00611A02"/>
    <w:rsid w:val="00611CF3"/>
    <w:rsid w:val="0061257C"/>
    <w:rsid w:val="006127D6"/>
    <w:rsid w:val="006128E9"/>
    <w:rsid w:val="0061300E"/>
    <w:rsid w:val="0061364F"/>
    <w:rsid w:val="00613762"/>
    <w:rsid w:val="00613765"/>
    <w:rsid w:val="00613B46"/>
    <w:rsid w:val="00613B6D"/>
    <w:rsid w:val="0061461A"/>
    <w:rsid w:val="00614CF3"/>
    <w:rsid w:val="00614D4A"/>
    <w:rsid w:val="00615096"/>
    <w:rsid w:val="006154D6"/>
    <w:rsid w:val="00615CD3"/>
    <w:rsid w:val="0061601E"/>
    <w:rsid w:val="00616197"/>
    <w:rsid w:val="0061640B"/>
    <w:rsid w:val="006178C5"/>
    <w:rsid w:val="006178D4"/>
    <w:rsid w:val="00617D0C"/>
    <w:rsid w:val="00617E7A"/>
    <w:rsid w:val="006201BC"/>
    <w:rsid w:val="00620448"/>
    <w:rsid w:val="00620A1C"/>
    <w:rsid w:val="00620B33"/>
    <w:rsid w:val="00620F4F"/>
    <w:rsid w:val="006211FE"/>
    <w:rsid w:val="0062158B"/>
    <w:rsid w:val="006219E0"/>
    <w:rsid w:val="006221E8"/>
    <w:rsid w:val="0062227B"/>
    <w:rsid w:val="0062277B"/>
    <w:rsid w:val="00622AAA"/>
    <w:rsid w:val="0062320D"/>
    <w:rsid w:val="00623314"/>
    <w:rsid w:val="0062387F"/>
    <w:rsid w:val="00623D81"/>
    <w:rsid w:val="0062405D"/>
    <w:rsid w:val="0062415B"/>
    <w:rsid w:val="00624414"/>
    <w:rsid w:val="00624455"/>
    <w:rsid w:val="0062459A"/>
    <w:rsid w:val="006246EA"/>
    <w:rsid w:val="006254B4"/>
    <w:rsid w:val="0062586E"/>
    <w:rsid w:val="00625F81"/>
    <w:rsid w:val="00626E02"/>
    <w:rsid w:val="006275E7"/>
    <w:rsid w:val="00627F4B"/>
    <w:rsid w:val="00627F9F"/>
    <w:rsid w:val="00630013"/>
    <w:rsid w:val="006300F3"/>
    <w:rsid w:val="00630130"/>
    <w:rsid w:val="00630182"/>
    <w:rsid w:val="0063059A"/>
    <w:rsid w:val="0063069E"/>
    <w:rsid w:val="006307B5"/>
    <w:rsid w:val="00630941"/>
    <w:rsid w:val="00630B2A"/>
    <w:rsid w:val="006313C8"/>
    <w:rsid w:val="00631E4B"/>
    <w:rsid w:val="0063218B"/>
    <w:rsid w:val="00632553"/>
    <w:rsid w:val="006330BF"/>
    <w:rsid w:val="006338D5"/>
    <w:rsid w:val="00633B5E"/>
    <w:rsid w:val="00633DAD"/>
    <w:rsid w:val="0063431F"/>
    <w:rsid w:val="00634D32"/>
    <w:rsid w:val="00634E81"/>
    <w:rsid w:val="00634FC7"/>
    <w:rsid w:val="00635144"/>
    <w:rsid w:val="006354C4"/>
    <w:rsid w:val="006356A3"/>
    <w:rsid w:val="00635D91"/>
    <w:rsid w:val="00636511"/>
    <w:rsid w:val="00636A84"/>
    <w:rsid w:val="0063705C"/>
    <w:rsid w:val="00637655"/>
    <w:rsid w:val="00637D1D"/>
    <w:rsid w:val="00640427"/>
    <w:rsid w:val="00640A3E"/>
    <w:rsid w:val="00641404"/>
    <w:rsid w:val="00641967"/>
    <w:rsid w:val="0064269B"/>
    <w:rsid w:val="006426FD"/>
    <w:rsid w:val="00642866"/>
    <w:rsid w:val="006429EF"/>
    <w:rsid w:val="00643324"/>
    <w:rsid w:val="00643841"/>
    <w:rsid w:val="00643C13"/>
    <w:rsid w:val="00643D82"/>
    <w:rsid w:val="0064412D"/>
    <w:rsid w:val="006448EF"/>
    <w:rsid w:val="00645346"/>
    <w:rsid w:val="00645359"/>
    <w:rsid w:val="0064579E"/>
    <w:rsid w:val="00645A7A"/>
    <w:rsid w:val="00645CB5"/>
    <w:rsid w:val="00645D2D"/>
    <w:rsid w:val="006463C1"/>
    <w:rsid w:val="006465CE"/>
    <w:rsid w:val="0064667E"/>
    <w:rsid w:val="00646A57"/>
    <w:rsid w:val="00647109"/>
    <w:rsid w:val="006476E2"/>
    <w:rsid w:val="0064778D"/>
    <w:rsid w:val="00647AAC"/>
    <w:rsid w:val="00647E58"/>
    <w:rsid w:val="00650215"/>
    <w:rsid w:val="00650BD8"/>
    <w:rsid w:val="00650C68"/>
    <w:rsid w:val="00650F09"/>
    <w:rsid w:val="006520F6"/>
    <w:rsid w:val="006522AD"/>
    <w:rsid w:val="006522C4"/>
    <w:rsid w:val="006524F9"/>
    <w:rsid w:val="00652F6B"/>
    <w:rsid w:val="0065331B"/>
    <w:rsid w:val="006533AF"/>
    <w:rsid w:val="006535D6"/>
    <w:rsid w:val="00653777"/>
    <w:rsid w:val="0065407B"/>
    <w:rsid w:val="006547C7"/>
    <w:rsid w:val="00654817"/>
    <w:rsid w:val="00654A2A"/>
    <w:rsid w:val="00654CFF"/>
    <w:rsid w:val="006552F2"/>
    <w:rsid w:val="00655521"/>
    <w:rsid w:val="006560F3"/>
    <w:rsid w:val="00656206"/>
    <w:rsid w:val="00656603"/>
    <w:rsid w:val="00656645"/>
    <w:rsid w:val="00656C7A"/>
    <w:rsid w:val="0065725D"/>
    <w:rsid w:val="00657BDB"/>
    <w:rsid w:val="00657C7A"/>
    <w:rsid w:val="00660551"/>
    <w:rsid w:val="00660561"/>
    <w:rsid w:val="006608BA"/>
    <w:rsid w:val="00660B4B"/>
    <w:rsid w:val="00660EB3"/>
    <w:rsid w:val="0066178F"/>
    <w:rsid w:val="00662025"/>
    <w:rsid w:val="00662588"/>
    <w:rsid w:val="00662663"/>
    <w:rsid w:val="00662863"/>
    <w:rsid w:val="00662934"/>
    <w:rsid w:val="00662C32"/>
    <w:rsid w:val="00663CBC"/>
    <w:rsid w:val="00663DE1"/>
    <w:rsid w:val="006647F7"/>
    <w:rsid w:val="00664D68"/>
    <w:rsid w:val="00664DEC"/>
    <w:rsid w:val="00665137"/>
    <w:rsid w:val="0066529A"/>
    <w:rsid w:val="00665CE6"/>
    <w:rsid w:val="00665EBF"/>
    <w:rsid w:val="00665EDB"/>
    <w:rsid w:val="00666043"/>
    <w:rsid w:val="00666772"/>
    <w:rsid w:val="006669C2"/>
    <w:rsid w:val="00666C80"/>
    <w:rsid w:val="0066737B"/>
    <w:rsid w:val="00667681"/>
    <w:rsid w:val="0066768B"/>
    <w:rsid w:val="00670149"/>
    <w:rsid w:val="00670334"/>
    <w:rsid w:val="00670436"/>
    <w:rsid w:val="00670782"/>
    <w:rsid w:val="00670FDC"/>
    <w:rsid w:val="006713BE"/>
    <w:rsid w:val="00671F1F"/>
    <w:rsid w:val="0067251F"/>
    <w:rsid w:val="006727F4"/>
    <w:rsid w:val="006728C1"/>
    <w:rsid w:val="00672935"/>
    <w:rsid w:val="006729E2"/>
    <w:rsid w:val="00672D18"/>
    <w:rsid w:val="00672E7F"/>
    <w:rsid w:val="006731A6"/>
    <w:rsid w:val="0067369F"/>
    <w:rsid w:val="00673833"/>
    <w:rsid w:val="006738BF"/>
    <w:rsid w:val="006738CB"/>
    <w:rsid w:val="00674181"/>
    <w:rsid w:val="00674297"/>
    <w:rsid w:val="006746BB"/>
    <w:rsid w:val="0067481F"/>
    <w:rsid w:val="00674E23"/>
    <w:rsid w:val="00675279"/>
    <w:rsid w:val="00675282"/>
    <w:rsid w:val="006754FF"/>
    <w:rsid w:val="0067550A"/>
    <w:rsid w:val="006757F7"/>
    <w:rsid w:val="00676CFF"/>
    <w:rsid w:val="00677121"/>
    <w:rsid w:val="0067740D"/>
    <w:rsid w:val="0067799C"/>
    <w:rsid w:val="006800F9"/>
    <w:rsid w:val="006802EC"/>
    <w:rsid w:val="0068072C"/>
    <w:rsid w:val="00680798"/>
    <w:rsid w:val="006810F6"/>
    <w:rsid w:val="00681911"/>
    <w:rsid w:val="00681A9A"/>
    <w:rsid w:val="00681DE2"/>
    <w:rsid w:val="00681E15"/>
    <w:rsid w:val="00682601"/>
    <w:rsid w:val="00683904"/>
    <w:rsid w:val="00683EB1"/>
    <w:rsid w:val="00683F41"/>
    <w:rsid w:val="0068406C"/>
    <w:rsid w:val="00684390"/>
    <w:rsid w:val="006844A2"/>
    <w:rsid w:val="00684A58"/>
    <w:rsid w:val="00684C26"/>
    <w:rsid w:val="006862AB"/>
    <w:rsid w:val="00686C5E"/>
    <w:rsid w:val="00686D44"/>
    <w:rsid w:val="00686E02"/>
    <w:rsid w:val="00686FF6"/>
    <w:rsid w:val="00687228"/>
    <w:rsid w:val="006872CA"/>
    <w:rsid w:val="00687CA1"/>
    <w:rsid w:val="006906F9"/>
    <w:rsid w:val="00690F53"/>
    <w:rsid w:val="006917A8"/>
    <w:rsid w:val="00691EE6"/>
    <w:rsid w:val="006923D0"/>
    <w:rsid w:val="006924B5"/>
    <w:rsid w:val="00692BFF"/>
    <w:rsid w:val="00693201"/>
    <w:rsid w:val="00693511"/>
    <w:rsid w:val="00693D30"/>
    <w:rsid w:val="006949BF"/>
    <w:rsid w:val="00694AA2"/>
    <w:rsid w:val="00694DAC"/>
    <w:rsid w:val="0069538B"/>
    <w:rsid w:val="00695BAC"/>
    <w:rsid w:val="006966DA"/>
    <w:rsid w:val="00696A5B"/>
    <w:rsid w:val="00697191"/>
    <w:rsid w:val="006977A0"/>
    <w:rsid w:val="0069790A"/>
    <w:rsid w:val="00697929"/>
    <w:rsid w:val="006979E1"/>
    <w:rsid w:val="00697B70"/>
    <w:rsid w:val="00697C99"/>
    <w:rsid w:val="00697E45"/>
    <w:rsid w:val="006A08F1"/>
    <w:rsid w:val="006A141F"/>
    <w:rsid w:val="006A1684"/>
    <w:rsid w:val="006A1893"/>
    <w:rsid w:val="006A207E"/>
    <w:rsid w:val="006A28A1"/>
    <w:rsid w:val="006A2CEA"/>
    <w:rsid w:val="006A30BA"/>
    <w:rsid w:val="006A33E3"/>
    <w:rsid w:val="006A3845"/>
    <w:rsid w:val="006A3AF2"/>
    <w:rsid w:val="006A3C09"/>
    <w:rsid w:val="006A3CD2"/>
    <w:rsid w:val="006A407A"/>
    <w:rsid w:val="006A40CF"/>
    <w:rsid w:val="006A43EB"/>
    <w:rsid w:val="006A4681"/>
    <w:rsid w:val="006A509A"/>
    <w:rsid w:val="006A6290"/>
    <w:rsid w:val="006A6955"/>
    <w:rsid w:val="006A709A"/>
    <w:rsid w:val="006A7104"/>
    <w:rsid w:val="006A7A34"/>
    <w:rsid w:val="006A7A99"/>
    <w:rsid w:val="006B0014"/>
    <w:rsid w:val="006B0992"/>
    <w:rsid w:val="006B0BDA"/>
    <w:rsid w:val="006B13AD"/>
    <w:rsid w:val="006B13E1"/>
    <w:rsid w:val="006B176B"/>
    <w:rsid w:val="006B1DD6"/>
    <w:rsid w:val="006B1E97"/>
    <w:rsid w:val="006B1FED"/>
    <w:rsid w:val="006B25F1"/>
    <w:rsid w:val="006B2850"/>
    <w:rsid w:val="006B29E2"/>
    <w:rsid w:val="006B3918"/>
    <w:rsid w:val="006B39BE"/>
    <w:rsid w:val="006B3C4E"/>
    <w:rsid w:val="006B3C8D"/>
    <w:rsid w:val="006B42CD"/>
    <w:rsid w:val="006B4435"/>
    <w:rsid w:val="006B46F6"/>
    <w:rsid w:val="006B47C0"/>
    <w:rsid w:val="006B47D4"/>
    <w:rsid w:val="006B4C8C"/>
    <w:rsid w:val="006B51C5"/>
    <w:rsid w:val="006B5308"/>
    <w:rsid w:val="006B56A1"/>
    <w:rsid w:val="006B58B6"/>
    <w:rsid w:val="006B5990"/>
    <w:rsid w:val="006B5C0B"/>
    <w:rsid w:val="006B6820"/>
    <w:rsid w:val="006B6D3B"/>
    <w:rsid w:val="006B6E15"/>
    <w:rsid w:val="006B6F74"/>
    <w:rsid w:val="006B769C"/>
    <w:rsid w:val="006B788A"/>
    <w:rsid w:val="006B7915"/>
    <w:rsid w:val="006B79AF"/>
    <w:rsid w:val="006B7CDE"/>
    <w:rsid w:val="006B7DB2"/>
    <w:rsid w:val="006B7DB3"/>
    <w:rsid w:val="006C0851"/>
    <w:rsid w:val="006C096D"/>
    <w:rsid w:val="006C0B92"/>
    <w:rsid w:val="006C0CB1"/>
    <w:rsid w:val="006C1526"/>
    <w:rsid w:val="006C1ED9"/>
    <w:rsid w:val="006C1F46"/>
    <w:rsid w:val="006C2473"/>
    <w:rsid w:val="006C2993"/>
    <w:rsid w:val="006C389F"/>
    <w:rsid w:val="006C3A50"/>
    <w:rsid w:val="006C486E"/>
    <w:rsid w:val="006C4BBB"/>
    <w:rsid w:val="006C4D88"/>
    <w:rsid w:val="006C5317"/>
    <w:rsid w:val="006C5B12"/>
    <w:rsid w:val="006C5C97"/>
    <w:rsid w:val="006C638D"/>
    <w:rsid w:val="006C726E"/>
    <w:rsid w:val="006C7574"/>
    <w:rsid w:val="006C7A6F"/>
    <w:rsid w:val="006D03AA"/>
    <w:rsid w:val="006D1391"/>
    <w:rsid w:val="006D13BF"/>
    <w:rsid w:val="006D19C8"/>
    <w:rsid w:val="006D2111"/>
    <w:rsid w:val="006D24CA"/>
    <w:rsid w:val="006D2D9C"/>
    <w:rsid w:val="006D3805"/>
    <w:rsid w:val="006D397A"/>
    <w:rsid w:val="006D3D22"/>
    <w:rsid w:val="006D3E64"/>
    <w:rsid w:val="006D3F73"/>
    <w:rsid w:val="006D3FEC"/>
    <w:rsid w:val="006D423B"/>
    <w:rsid w:val="006D4D34"/>
    <w:rsid w:val="006D4DD0"/>
    <w:rsid w:val="006D506C"/>
    <w:rsid w:val="006D50A2"/>
    <w:rsid w:val="006D5464"/>
    <w:rsid w:val="006D5469"/>
    <w:rsid w:val="006D55BB"/>
    <w:rsid w:val="006D59AF"/>
    <w:rsid w:val="006D664C"/>
    <w:rsid w:val="006D6CA0"/>
    <w:rsid w:val="006D73B4"/>
    <w:rsid w:val="006D785A"/>
    <w:rsid w:val="006E04EF"/>
    <w:rsid w:val="006E0575"/>
    <w:rsid w:val="006E09DC"/>
    <w:rsid w:val="006E0B48"/>
    <w:rsid w:val="006E0C71"/>
    <w:rsid w:val="006E10F1"/>
    <w:rsid w:val="006E1304"/>
    <w:rsid w:val="006E136A"/>
    <w:rsid w:val="006E1750"/>
    <w:rsid w:val="006E196F"/>
    <w:rsid w:val="006E1F67"/>
    <w:rsid w:val="006E2193"/>
    <w:rsid w:val="006E275C"/>
    <w:rsid w:val="006E2908"/>
    <w:rsid w:val="006E298B"/>
    <w:rsid w:val="006E29B5"/>
    <w:rsid w:val="006E2A9F"/>
    <w:rsid w:val="006E2AA7"/>
    <w:rsid w:val="006E2C62"/>
    <w:rsid w:val="006E2E6E"/>
    <w:rsid w:val="006E3233"/>
    <w:rsid w:val="006E3FA4"/>
    <w:rsid w:val="006E3FD1"/>
    <w:rsid w:val="006E40C1"/>
    <w:rsid w:val="006E423A"/>
    <w:rsid w:val="006E498E"/>
    <w:rsid w:val="006E4D34"/>
    <w:rsid w:val="006E4FE4"/>
    <w:rsid w:val="006E507E"/>
    <w:rsid w:val="006E5355"/>
    <w:rsid w:val="006E560C"/>
    <w:rsid w:val="006E561D"/>
    <w:rsid w:val="006E60B5"/>
    <w:rsid w:val="006E6654"/>
    <w:rsid w:val="006E67A4"/>
    <w:rsid w:val="006E6A2B"/>
    <w:rsid w:val="006E71F0"/>
    <w:rsid w:val="006E75D1"/>
    <w:rsid w:val="006E7705"/>
    <w:rsid w:val="006E7D43"/>
    <w:rsid w:val="006E7F5C"/>
    <w:rsid w:val="006F00A1"/>
    <w:rsid w:val="006F0241"/>
    <w:rsid w:val="006F08E1"/>
    <w:rsid w:val="006F0AA2"/>
    <w:rsid w:val="006F0C5B"/>
    <w:rsid w:val="006F0E0D"/>
    <w:rsid w:val="006F116D"/>
    <w:rsid w:val="006F1180"/>
    <w:rsid w:val="006F1365"/>
    <w:rsid w:val="006F19B8"/>
    <w:rsid w:val="006F1C0C"/>
    <w:rsid w:val="006F20F2"/>
    <w:rsid w:val="006F236E"/>
    <w:rsid w:val="006F252A"/>
    <w:rsid w:val="006F25AC"/>
    <w:rsid w:val="006F2755"/>
    <w:rsid w:val="006F2A8D"/>
    <w:rsid w:val="006F2CEB"/>
    <w:rsid w:val="006F2CF3"/>
    <w:rsid w:val="006F2F68"/>
    <w:rsid w:val="006F308B"/>
    <w:rsid w:val="006F35A1"/>
    <w:rsid w:val="006F3F3B"/>
    <w:rsid w:val="006F423A"/>
    <w:rsid w:val="006F44C6"/>
    <w:rsid w:val="006F4A1A"/>
    <w:rsid w:val="006F4A41"/>
    <w:rsid w:val="006F4AEB"/>
    <w:rsid w:val="006F5C3A"/>
    <w:rsid w:val="006F6A54"/>
    <w:rsid w:val="006F6E16"/>
    <w:rsid w:val="006F6FC2"/>
    <w:rsid w:val="006F744F"/>
    <w:rsid w:val="006F7541"/>
    <w:rsid w:val="006F7C05"/>
    <w:rsid w:val="006F7D44"/>
    <w:rsid w:val="006F7FAC"/>
    <w:rsid w:val="007001EC"/>
    <w:rsid w:val="00700C2A"/>
    <w:rsid w:val="00701A70"/>
    <w:rsid w:val="0070278E"/>
    <w:rsid w:val="00702A34"/>
    <w:rsid w:val="00702DE6"/>
    <w:rsid w:val="00702F0A"/>
    <w:rsid w:val="00703847"/>
    <w:rsid w:val="00703CF7"/>
    <w:rsid w:val="00703DC2"/>
    <w:rsid w:val="00703EDA"/>
    <w:rsid w:val="007044E3"/>
    <w:rsid w:val="00704AAE"/>
    <w:rsid w:val="00704ED9"/>
    <w:rsid w:val="00705BD5"/>
    <w:rsid w:val="007067BB"/>
    <w:rsid w:val="00706F79"/>
    <w:rsid w:val="00707722"/>
    <w:rsid w:val="00707772"/>
    <w:rsid w:val="007078BB"/>
    <w:rsid w:val="00707D9A"/>
    <w:rsid w:val="00707F07"/>
    <w:rsid w:val="00710743"/>
    <w:rsid w:val="00710DE7"/>
    <w:rsid w:val="00710E82"/>
    <w:rsid w:val="00710F85"/>
    <w:rsid w:val="00711336"/>
    <w:rsid w:val="0071160E"/>
    <w:rsid w:val="00711662"/>
    <w:rsid w:val="007118DD"/>
    <w:rsid w:val="00711A9A"/>
    <w:rsid w:val="0071221A"/>
    <w:rsid w:val="00712A8B"/>
    <w:rsid w:val="00712CE9"/>
    <w:rsid w:val="00713E62"/>
    <w:rsid w:val="00713F22"/>
    <w:rsid w:val="007140DB"/>
    <w:rsid w:val="007149DD"/>
    <w:rsid w:val="00714A34"/>
    <w:rsid w:val="00715435"/>
    <w:rsid w:val="00715592"/>
    <w:rsid w:val="00715B30"/>
    <w:rsid w:val="0071607F"/>
    <w:rsid w:val="0071626C"/>
    <w:rsid w:val="00716341"/>
    <w:rsid w:val="00716436"/>
    <w:rsid w:val="007167F8"/>
    <w:rsid w:val="00716EF2"/>
    <w:rsid w:val="007173EC"/>
    <w:rsid w:val="00717BDE"/>
    <w:rsid w:val="0072007D"/>
    <w:rsid w:val="00720109"/>
    <w:rsid w:val="0072018B"/>
    <w:rsid w:val="007201F6"/>
    <w:rsid w:val="00720339"/>
    <w:rsid w:val="00720A4A"/>
    <w:rsid w:val="00721381"/>
    <w:rsid w:val="00721613"/>
    <w:rsid w:val="00721B63"/>
    <w:rsid w:val="0072209C"/>
    <w:rsid w:val="00722286"/>
    <w:rsid w:val="0072235F"/>
    <w:rsid w:val="007228F5"/>
    <w:rsid w:val="00722C96"/>
    <w:rsid w:val="00722DCF"/>
    <w:rsid w:val="00722EFF"/>
    <w:rsid w:val="00723401"/>
    <w:rsid w:val="007235AA"/>
    <w:rsid w:val="00723CF0"/>
    <w:rsid w:val="007240D8"/>
    <w:rsid w:val="00724124"/>
    <w:rsid w:val="00724C2B"/>
    <w:rsid w:val="007262FD"/>
    <w:rsid w:val="0072630C"/>
    <w:rsid w:val="00726706"/>
    <w:rsid w:val="00726B3A"/>
    <w:rsid w:val="00726FD9"/>
    <w:rsid w:val="007271BB"/>
    <w:rsid w:val="00727439"/>
    <w:rsid w:val="00727543"/>
    <w:rsid w:val="00727C2D"/>
    <w:rsid w:val="007304E9"/>
    <w:rsid w:val="0073079C"/>
    <w:rsid w:val="00730BA8"/>
    <w:rsid w:val="00731926"/>
    <w:rsid w:val="00731FEB"/>
    <w:rsid w:val="00732516"/>
    <w:rsid w:val="0073271D"/>
    <w:rsid w:val="00732835"/>
    <w:rsid w:val="007328CC"/>
    <w:rsid w:val="00732DDA"/>
    <w:rsid w:val="007331B9"/>
    <w:rsid w:val="007332E5"/>
    <w:rsid w:val="007337E0"/>
    <w:rsid w:val="00733830"/>
    <w:rsid w:val="007339C2"/>
    <w:rsid w:val="00733AE0"/>
    <w:rsid w:val="007342C8"/>
    <w:rsid w:val="0073439A"/>
    <w:rsid w:val="00734673"/>
    <w:rsid w:val="007348EA"/>
    <w:rsid w:val="00734A48"/>
    <w:rsid w:val="00734E7A"/>
    <w:rsid w:val="007350C5"/>
    <w:rsid w:val="00735775"/>
    <w:rsid w:val="00735FED"/>
    <w:rsid w:val="00735FF6"/>
    <w:rsid w:val="007360E6"/>
    <w:rsid w:val="00736175"/>
    <w:rsid w:val="007366E3"/>
    <w:rsid w:val="00736DDF"/>
    <w:rsid w:val="00737E44"/>
    <w:rsid w:val="007400E5"/>
    <w:rsid w:val="007409D4"/>
    <w:rsid w:val="007411DB"/>
    <w:rsid w:val="007413C9"/>
    <w:rsid w:val="00741B1D"/>
    <w:rsid w:val="00741D31"/>
    <w:rsid w:val="00742133"/>
    <w:rsid w:val="00742228"/>
    <w:rsid w:val="007425A9"/>
    <w:rsid w:val="007429DF"/>
    <w:rsid w:val="007431F7"/>
    <w:rsid w:val="00743A13"/>
    <w:rsid w:val="00743C0C"/>
    <w:rsid w:val="007446F9"/>
    <w:rsid w:val="00744A6B"/>
    <w:rsid w:val="00744EF6"/>
    <w:rsid w:val="007455F7"/>
    <w:rsid w:val="007460A7"/>
    <w:rsid w:val="0074641B"/>
    <w:rsid w:val="0074669E"/>
    <w:rsid w:val="0074704F"/>
    <w:rsid w:val="007479A0"/>
    <w:rsid w:val="00750FFD"/>
    <w:rsid w:val="00751012"/>
    <w:rsid w:val="00751719"/>
    <w:rsid w:val="00751A79"/>
    <w:rsid w:val="00751BA7"/>
    <w:rsid w:val="00752442"/>
    <w:rsid w:val="007526B2"/>
    <w:rsid w:val="00752E88"/>
    <w:rsid w:val="00752FA4"/>
    <w:rsid w:val="00753122"/>
    <w:rsid w:val="0075345E"/>
    <w:rsid w:val="00753D33"/>
    <w:rsid w:val="00753E3E"/>
    <w:rsid w:val="007541D6"/>
    <w:rsid w:val="0075424B"/>
    <w:rsid w:val="0075427D"/>
    <w:rsid w:val="00754A3F"/>
    <w:rsid w:val="00754ACE"/>
    <w:rsid w:val="00754D5E"/>
    <w:rsid w:val="00754ED3"/>
    <w:rsid w:val="0075553D"/>
    <w:rsid w:val="00755A79"/>
    <w:rsid w:val="00755BC8"/>
    <w:rsid w:val="007568A6"/>
    <w:rsid w:val="007568CD"/>
    <w:rsid w:val="00756C7E"/>
    <w:rsid w:val="00756D35"/>
    <w:rsid w:val="007575EA"/>
    <w:rsid w:val="007577C8"/>
    <w:rsid w:val="00757C13"/>
    <w:rsid w:val="00757FCB"/>
    <w:rsid w:val="007603BA"/>
    <w:rsid w:val="00760751"/>
    <w:rsid w:val="00760B46"/>
    <w:rsid w:val="00761126"/>
    <w:rsid w:val="00761357"/>
    <w:rsid w:val="0076169E"/>
    <w:rsid w:val="00761849"/>
    <w:rsid w:val="007618C6"/>
    <w:rsid w:val="00761ED1"/>
    <w:rsid w:val="0076288A"/>
    <w:rsid w:val="00762ADD"/>
    <w:rsid w:val="00762CCF"/>
    <w:rsid w:val="00762F6F"/>
    <w:rsid w:val="00763752"/>
    <w:rsid w:val="0076389F"/>
    <w:rsid w:val="00763F11"/>
    <w:rsid w:val="007642CA"/>
    <w:rsid w:val="0076452F"/>
    <w:rsid w:val="00764BC3"/>
    <w:rsid w:val="00764D15"/>
    <w:rsid w:val="00765918"/>
    <w:rsid w:val="00765A4C"/>
    <w:rsid w:val="00765D42"/>
    <w:rsid w:val="007667CD"/>
    <w:rsid w:val="00766BCB"/>
    <w:rsid w:val="00766E85"/>
    <w:rsid w:val="00767E8D"/>
    <w:rsid w:val="0077088E"/>
    <w:rsid w:val="00772277"/>
    <w:rsid w:val="00772351"/>
    <w:rsid w:val="0077261B"/>
    <w:rsid w:val="00772D4F"/>
    <w:rsid w:val="00773473"/>
    <w:rsid w:val="007735B2"/>
    <w:rsid w:val="0077409B"/>
    <w:rsid w:val="0077409F"/>
    <w:rsid w:val="00774956"/>
    <w:rsid w:val="00774F99"/>
    <w:rsid w:val="00775187"/>
    <w:rsid w:val="00775663"/>
    <w:rsid w:val="00775B86"/>
    <w:rsid w:val="00775FB5"/>
    <w:rsid w:val="0077604C"/>
    <w:rsid w:val="00776133"/>
    <w:rsid w:val="00776EB7"/>
    <w:rsid w:val="00776F02"/>
    <w:rsid w:val="00777134"/>
    <w:rsid w:val="0077728E"/>
    <w:rsid w:val="00777339"/>
    <w:rsid w:val="00777A49"/>
    <w:rsid w:val="00777B0D"/>
    <w:rsid w:val="00777B4F"/>
    <w:rsid w:val="007801A4"/>
    <w:rsid w:val="00780609"/>
    <w:rsid w:val="00780621"/>
    <w:rsid w:val="0078068D"/>
    <w:rsid w:val="00780A15"/>
    <w:rsid w:val="00780A81"/>
    <w:rsid w:val="007813F0"/>
    <w:rsid w:val="007814B8"/>
    <w:rsid w:val="00781705"/>
    <w:rsid w:val="007818F8"/>
    <w:rsid w:val="00781A15"/>
    <w:rsid w:val="00781BD6"/>
    <w:rsid w:val="007825B2"/>
    <w:rsid w:val="007829E4"/>
    <w:rsid w:val="00782D55"/>
    <w:rsid w:val="0078313F"/>
    <w:rsid w:val="007835C0"/>
    <w:rsid w:val="00783637"/>
    <w:rsid w:val="00783A6D"/>
    <w:rsid w:val="00783A82"/>
    <w:rsid w:val="00783C2D"/>
    <w:rsid w:val="00784020"/>
    <w:rsid w:val="007843E6"/>
    <w:rsid w:val="00784AD6"/>
    <w:rsid w:val="007851C0"/>
    <w:rsid w:val="00785419"/>
    <w:rsid w:val="00785830"/>
    <w:rsid w:val="00785B22"/>
    <w:rsid w:val="00786560"/>
    <w:rsid w:val="0078669A"/>
    <w:rsid w:val="00786AC9"/>
    <w:rsid w:val="00786C4B"/>
    <w:rsid w:val="00786F14"/>
    <w:rsid w:val="00786FA7"/>
    <w:rsid w:val="00787245"/>
    <w:rsid w:val="00787394"/>
    <w:rsid w:val="007874B1"/>
    <w:rsid w:val="00787CDB"/>
    <w:rsid w:val="00787F2D"/>
    <w:rsid w:val="00790224"/>
    <w:rsid w:val="00790303"/>
    <w:rsid w:val="00790388"/>
    <w:rsid w:val="00790497"/>
    <w:rsid w:val="00790A1F"/>
    <w:rsid w:val="00790BB9"/>
    <w:rsid w:val="00790C81"/>
    <w:rsid w:val="00790EBE"/>
    <w:rsid w:val="00791356"/>
    <w:rsid w:val="007914B8"/>
    <w:rsid w:val="007916D6"/>
    <w:rsid w:val="007917F5"/>
    <w:rsid w:val="00791981"/>
    <w:rsid w:val="0079217A"/>
    <w:rsid w:val="0079275B"/>
    <w:rsid w:val="00792794"/>
    <w:rsid w:val="00792BC8"/>
    <w:rsid w:val="00792FC8"/>
    <w:rsid w:val="00792FCA"/>
    <w:rsid w:val="007935B5"/>
    <w:rsid w:val="0079372C"/>
    <w:rsid w:val="007937C6"/>
    <w:rsid w:val="007938C1"/>
    <w:rsid w:val="007948B2"/>
    <w:rsid w:val="00795B9B"/>
    <w:rsid w:val="0079685C"/>
    <w:rsid w:val="0079728C"/>
    <w:rsid w:val="00797B66"/>
    <w:rsid w:val="007A03FC"/>
    <w:rsid w:val="007A0AE7"/>
    <w:rsid w:val="007A0F6C"/>
    <w:rsid w:val="007A166C"/>
    <w:rsid w:val="007A16AF"/>
    <w:rsid w:val="007A16CD"/>
    <w:rsid w:val="007A1A4E"/>
    <w:rsid w:val="007A1EEC"/>
    <w:rsid w:val="007A1EEE"/>
    <w:rsid w:val="007A2563"/>
    <w:rsid w:val="007A2A32"/>
    <w:rsid w:val="007A2D97"/>
    <w:rsid w:val="007A2DC1"/>
    <w:rsid w:val="007A3187"/>
    <w:rsid w:val="007A362B"/>
    <w:rsid w:val="007A36EA"/>
    <w:rsid w:val="007A3A02"/>
    <w:rsid w:val="007A3BBB"/>
    <w:rsid w:val="007A3C81"/>
    <w:rsid w:val="007A3CB3"/>
    <w:rsid w:val="007A3D8D"/>
    <w:rsid w:val="007A4ADE"/>
    <w:rsid w:val="007A5A96"/>
    <w:rsid w:val="007A62E1"/>
    <w:rsid w:val="007A64E0"/>
    <w:rsid w:val="007A710C"/>
    <w:rsid w:val="007A76E2"/>
    <w:rsid w:val="007A78D9"/>
    <w:rsid w:val="007A7908"/>
    <w:rsid w:val="007B0DC3"/>
    <w:rsid w:val="007B0E74"/>
    <w:rsid w:val="007B12AA"/>
    <w:rsid w:val="007B1486"/>
    <w:rsid w:val="007B1591"/>
    <w:rsid w:val="007B1A90"/>
    <w:rsid w:val="007B1B02"/>
    <w:rsid w:val="007B2474"/>
    <w:rsid w:val="007B24F5"/>
    <w:rsid w:val="007B26C6"/>
    <w:rsid w:val="007B2767"/>
    <w:rsid w:val="007B2998"/>
    <w:rsid w:val="007B31A6"/>
    <w:rsid w:val="007B3337"/>
    <w:rsid w:val="007B362A"/>
    <w:rsid w:val="007B43FD"/>
    <w:rsid w:val="007B450A"/>
    <w:rsid w:val="007B4667"/>
    <w:rsid w:val="007B46E1"/>
    <w:rsid w:val="007B48CD"/>
    <w:rsid w:val="007B4A29"/>
    <w:rsid w:val="007B4ACF"/>
    <w:rsid w:val="007B4BEA"/>
    <w:rsid w:val="007B4EFB"/>
    <w:rsid w:val="007B6240"/>
    <w:rsid w:val="007B7D5C"/>
    <w:rsid w:val="007C0591"/>
    <w:rsid w:val="007C06F4"/>
    <w:rsid w:val="007C077C"/>
    <w:rsid w:val="007C2817"/>
    <w:rsid w:val="007C28BA"/>
    <w:rsid w:val="007C2BDA"/>
    <w:rsid w:val="007C2ED0"/>
    <w:rsid w:val="007C3342"/>
    <w:rsid w:val="007C3345"/>
    <w:rsid w:val="007C35F3"/>
    <w:rsid w:val="007C386E"/>
    <w:rsid w:val="007C38DE"/>
    <w:rsid w:val="007C3E7C"/>
    <w:rsid w:val="007C3F88"/>
    <w:rsid w:val="007C407A"/>
    <w:rsid w:val="007C482C"/>
    <w:rsid w:val="007C488A"/>
    <w:rsid w:val="007C4BCF"/>
    <w:rsid w:val="007C4F41"/>
    <w:rsid w:val="007C520B"/>
    <w:rsid w:val="007C5E49"/>
    <w:rsid w:val="007C5FCE"/>
    <w:rsid w:val="007C5FE5"/>
    <w:rsid w:val="007C67F3"/>
    <w:rsid w:val="007C6A1E"/>
    <w:rsid w:val="007C6F31"/>
    <w:rsid w:val="007C71D2"/>
    <w:rsid w:val="007C72D2"/>
    <w:rsid w:val="007C7376"/>
    <w:rsid w:val="007C7574"/>
    <w:rsid w:val="007D017B"/>
    <w:rsid w:val="007D01F1"/>
    <w:rsid w:val="007D06FB"/>
    <w:rsid w:val="007D0DA5"/>
    <w:rsid w:val="007D10A5"/>
    <w:rsid w:val="007D14FC"/>
    <w:rsid w:val="007D1A35"/>
    <w:rsid w:val="007D2051"/>
    <w:rsid w:val="007D216D"/>
    <w:rsid w:val="007D2225"/>
    <w:rsid w:val="007D4345"/>
    <w:rsid w:val="007D4376"/>
    <w:rsid w:val="007D4486"/>
    <w:rsid w:val="007D45EC"/>
    <w:rsid w:val="007D4DCA"/>
    <w:rsid w:val="007D5784"/>
    <w:rsid w:val="007D591F"/>
    <w:rsid w:val="007D5B01"/>
    <w:rsid w:val="007D5EC1"/>
    <w:rsid w:val="007D5EEF"/>
    <w:rsid w:val="007D5F14"/>
    <w:rsid w:val="007D5F56"/>
    <w:rsid w:val="007D6BC7"/>
    <w:rsid w:val="007D7038"/>
    <w:rsid w:val="007D77ED"/>
    <w:rsid w:val="007E015E"/>
    <w:rsid w:val="007E064E"/>
    <w:rsid w:val="007E06AF"/>
    <w:rsid w:val="007E0AD4"/>
    <w:rsid w:val="007E17A1"/>
    <w:rsid w:val="007E1B52"/>
    <w:rsid w:val="007E1DC9"/>
    <w:rsid w:val="007E1DF0"/>
    <w:rsid w:val="007E1E45"/>
    <w:rsid w:val="007E231E"/>
    <w:rsid w:val="007E23A7"/>
    <w:rsid w:val="007E23F5"/>
    <w:rsid w:val="007E2651"/>
    <w:rsid w:val="007E2BCC"/>
    <w:rsid w:val="007E2D16"/>
    <w:rsid w:val="007E2F73"/>
    <w:rsid w:val="007E3047"/>
    <w:rsid w:val="007E37E8"/>
    <w:rsid w:val="007E3861"/>
    <w:rsid w:val="007E38FA"/>
    <w:rsid w:val="007E415B"/>
    <w:rsid w:val="007E4213"/>
    <w:rsid w:val="007E42FE"/>
    <w:rsid w:val="007E43F0"/>
    <w:rsid w:val="007E4836"/>
    <w:rsid w:val="007E4A5C"/>
    <w:rsid w:val="007E58A6"/>
    <w:rsid w:val="007E5EF1"/>
    <w:rsid w:val="007E605D"/>
    <w:rsid w:val="007E60B1"/>
    <w:rsid w:val="007E63E9"/>
    <w:rsid w:val="007E69DF"/>
    <w:rsid w:val="007E6FBF"/>
    <w:rsid w:val="007E713C"/>
    <w:rsid w:val="007E71F4"/>
    <w:rsid w:val="007E75E3"/>
    <w:rsid w:val="007E76CD"/>
    <w:rsid w:val="007E7FD5"/>
    <w:rsid w:val="007F0281"/>
    <w:rsid w:val="007F0414"/>
    <w:rsid w:val="007F089A"/>
    <w:rsid w:val="007F0AEC"/>
    <w:rsid w:val="007F0EEA"/>
    <w:rsid w:val="007F110B"/>
    <w:rsid w:val="007F1571"/>
    <w:rsid w:val="007F1DD4"/>
    <w:rsid w:val="007F1E41"/>
    <w:rsid w:val="007F2076"/>
    <w:rsid w:val="007F2571"/>
    <w:rsid w:val="007F29B3"/>
    <w:rsid w:val="007F3116"/>
    <w:rsid w:val="007F34B3"/>
    <w:rsid w:val="007F35B0"/>
    <w:rsid w:val="007F3618"/>
    <w:rsid w:val="007F3DF3"/>
    <w:rsid w:val="007F3F76"/>
    <w:rsid w:val="007F45A2"/>
    <w:rsid w:val="007F4E85"/>
    <w:rsid w:val="007F5108"/>
    <w:rsid w:val="007F57BD"/>
    <w:rsid w:val="007F5A83"/>
    <w:rsid w:val="007F5BAB"/>
    <w:rsid w:val="007F5DFF"/>
    <w:rsid w:val="007F5EE8"/>
    <w:rsid w:val="007F626A"/>
    <w:rsid w:val="007F6AAE"/>
    <w:rsid w:val="007F6D97"/>
    <w:rsid w:val="007F72FA"/>
    <w:rsid w:val="007F731B"/>
    <w:rsid w:val="007F7375"/>
    <w:rsid w:val="007F7A4E"/>
    <w:rsid w:val="007F7E49"/>
    <w:rsid w:val="00800360"/>
    <w:rsid w:val="00800396"/>
    <w:rsid w:val="0080081D"/>
    <w:rsid w:val="00800B30"/>
    <w:rsid w:val="00800D48"/>
    <w:rsid w:val="00800EC9"/>
    <w:rsid w:val="00800F24"/>
    <w:rsid w:val="008021A3"/>
    <w:rsid w:val="008021FD"/>
    <w:rsid w:val="0080254C"/>
    <w:rsid w:val="00802828"/>
    <w:rsid w:val="0080293B"/>
    <w:rsid w:val="0080321E"/>
    <w:rsid w:val="008033D5"/>
    <w:rsid w:val="008038AA"/>
    <w:rsid w:val="0080402B"/>
    <w:rsid w:val="00804062"/>
    <w:rsid w:val="00805419"/>
    <w:rsid w:val="008056F9"/>
    <w:rsid w:val="00805E96"/>
    <w:rsid w:val="0080616D"/>
    <w:rsid w:val="008064CE"/>
    <w:rsid w:val="0080692C"/>
    <w:rsid w:val="00806F0B"/>
    <w:rsid w:val="0081010A"/>
    <w:rsid w:val="00810130"/>
    <w:rsid w:val="0081027D"/>
    <w:rsid w:val="008102E9"/>
    <w:rsid w:val="00810C40"/>
    <w:rsid w:val="00810C92"/>
    <w:rsid w:val="00810DED"/>
    <w:rsid w:val="00811193"/>
    <w:rsid w:val="008114F6"/>
    <w:rsid w:val="008118CE"/>
    <w:rsid w:val="00812BF2"/>
    <w:rsid w:val="00813AA0"/>
    <w:rsid w:val="00813C4A"/>
    <w:rsid w:val="00813CFD"/>
    <w:rsid w:val="00813FD5"/>
    <w:rsid w:val="00814A68"/>
    <w:rsid w:val="00814E6E"/>
    <w:rsid w:val="00815148"/>
    <w:rsid w:val="00815153"/>
    <w:rsid w:val="0081544A"/>
    <w:rsid w:val="00816C28"/>
    <w:rsid w:val="00816CBD"/>
    <w:rsid w:val="0081784B"/>
    <w:rsid w:val="00817CAC"/>
    <w:rsid w:val="00817ED5"/>
    <w:rsid w:val="008209F4"/>
    <w:rsid w:val="00820EFB"/>
    <w:rsid w:val="008210BC"/>
    <w:rsid w:val="00821841"/>
    <w:rsid w:val="00822384"/>
    <w:rsid w:val="0082252F"/>
    <w:rsid w:val="00822886"/>
    <w:rsid w:val="00822963"/>
    <w:rsid w:val="00822B52"/>
    <w:rsid w:val="00822D3C"/>
    <w:rsid w:val="00822ED6"/>
    <w:rsid w:val="00823534"/>
    <w:rsid w:val="00823560"/>
    <w:rsid w:val="008239EA"/>
    <w:rsid w:val="00823B59"/>
    <w:rsid w:val="00823C63"/>
    <w:rsid w:val="0082437A"/>
    <w:rsid w:val="008251EE"/>
    <w:rsid w:val="008258EB"/>
    <w:rsid w:val="00825FB0"/>
    <w:rsid w:val="008271C2"/>
    <w:rsid w:val="008271D7"/>
    <w:rsid w:val="00827C52"/>
    <w:rsid w:val="0083040E"/>
    <w:rsid w:val="00830A63"/>
    <w:rsid w:val="00830C83"/>
    <w:rsid w:val="00830E4C"/>
    <w:rsid w:val="00831D00"/>
    <w:rsid w:val="00831FBE"/>
    <w:rsid w:val="00831FD0"/>
    <w:rsid w:val="00832624"/>
    <w:rsid w:val="0083295F"/>
    <w:rsid w:val="00832C58"/>
    <w:rsid w:val="00833397"/>
    <w:rsid w:val="00833551"/>
    <w:rsid w:val="0083429F"/>
    <w:rsid w:val="00834638"/>
    <w:rsid w:val="00834995"/>
    <w:rsid w:val="00834BA8"/>
    <w:rsid w:val="00834D3D"/>
    <w:rsid w:val="00835038"/>
    <w:rsid w:val="008351C0"/>
    <w:rsid w:val="00835273"/>
    <w:rsid w:val="0083563C"/>
    <w:rsid w:val="008359C6"/>
    <w:rsid w:val="00835CC9"/>
    <w:rsid w:val="00835FEE"/>
    <w:rsid w:val="0083625B"/>
    <w:rsid w:val="008368F8"/>
    <w:rsid w:val="00836932"/>
    <w:rsid w:val="00836EB7"/>
    <w:rsid w:val="00837319"/>
    <w:rsid w:val="00837686"/>
    <w:rsid w:val="008376B1"/>
    <w:rsid w:val="0083776C"/>
    <w:rsid w:val="00837EBD"/>
    <w:rsid w:val="008401C8"/>
    <w:rsid w:val="00840D5F"/>
    <w:rsid w:val="00840F1A"/>
    <w:rsid w:val="00840FB2"/>
    <w:rsid w:val="008413CC"/>
    <w:rsid w:val="00841D56"/>
    <w:rsid w:val="00842428"/>
    <w:rsid w:val="008427BD"/>
    <w:rsid w:val="00842ABE"/>
    <w:rsid w:val="0084357D"/>
    <w:rsid w:val="00843C9C"/>
    <w:rsid w:val="00843EEA"/>
    <w:rsid w:val="00843F08"/>
    <w:rsid w:val="008440A7"/>
    <w:rsid w:val="0084428D"/>
    <w:rsid w:val="008442A9"/>
    <w:rsid w:val="008442D1"/>
    <w:rsid w:val="00844434"/>
    <w:rsid w:val="0084582F"/>
    <w:rsid w:val="00845856"/>
    <w:rsid w:val="00846314"/>
    <w:rsid w:val="008464CF"/>
    <w:rsid w:val="00846C6D"/>
    <w:rsid w:val="00846E1B"/>
    <w:rsid w:val="00846E7A"/>
    <w:rsid w:val="0084717B"/>
    <w:rsid w:val="008477B4"/>
    <w:rsid w:val="00847F35"/>
    <w:rsid w:val="00847F8B"/>
    <w:rsid w:val="008503EC"/>
    <w:rsid w:val="00850652"/>
    <w:rsid w:val="0085069A"/>
    <w:rsid w:val="00850F9D"/>
    <w:rsid w:val="00851024"/>
    <w:rsid w:val="00851886"/>
    <w:rsid w:val="00851ED3"/>
    <w:rsid w:val="00852267"/>
    <w:rsid w:val="00852538"/>
    <w:rsid w:val="00852595"/>
    <w:rsid w:val="00852E97"/>
    <w:rsid w:val="008532AF"/>
    <w:rsid w:val="008533FF"/>
    <w:rsid w:val="00853957"/>
    <w:rsid w:val="00853E69"/>
    <w:rsid w:val="00854A27"/>
    <w:rsid w:val="00854AAD"/>
    <w:rsid w:val="00854C91"/>
    <w:rsid w:val="0085544E"/>
    <w:rsid w:val="00855529"/>
    <w:rsid w:val="00856114"/>
    <w:rsid w:val="00856115"/>
    <w:rsid w:val="0085679C"/>
    <w:rsid w:val="00856A2D"/>
    <w:rsid w:val="00856DB2"/>
    <w:rsid w:val="0085716D"/>
    <w:rsid w:val="008571AB"/>
    <w:rsid w:val="00857A5F"/>
    <w:rsid w:val="00857D02"/>
    <w:rsid w:val="008600BE"/>
    <w:rsid w:val="0086049C"/>
    <w:rsid w:val="008608BA"/>
    <w:rsid w:val="008608BB"/>
    <w:rsid w:val="00860CA5"/>
    <w:rsid w:val="0086104C"/>
    <w:rsid w:val="008614BA"/>
    <w:rsid w:val="00861C58"/>
    <w:rsid w:val="00862413"/>
    <w:rsid w:val="008627BE"/>
    <w:rsid w:val="00862937"/>
    <w:rsid w:val="00862B2C"/>
    <w:rsid w:val="00862C3D"/>
    <w:rsid w:val="00862CD9"/>
    <w:rsid w:val="00862DFB"/>
    <w:rsid w:val="0086381F"/>
    <w:rsid w:val="0086386D"/>
    <w:rsid w:val="00863C18"/>
    <w:rsid w:val="00863C52"/>
    <w:rsid w:val="00863CC8"/>
    <w:rsid w:val="008641B3"/>
    <w:rsid w:val="008641BD"/>
    <w:rsid w:val="008644EB"/>
    <w:rsid w:val="008647D2"/>
    <w:rsid w:val="0086493C"/>
    <w:rsid w:val="00864971"/>
    <w:rsid w:val="00864EEF"/>
    <w:rsid w:val="00865277"/>
    <w:rsid w:val="008654F4"/>
    <w:rsid w:val="00865683"/>
    <w:rsid w:val="00866074"/>
    <w:rsid w:val="00866A2D"/>
    <w:rsid w:val="00866AFB"/>
    <w:rsid w:val="00867022"/>
    <w:rsid w:val="008672A2"/>
    <w:rsid w:val="00867520"/>
    <w:rsid w:val="0086756B"/>
    <w:rsid w:val="00867A0A"/>
    <w:rsid w:val="0087024A"/>
    <w:rsid w:val="00870B2A"/>
    <w:rsid w:val="008714B5"/>
    <w:rsid w:val="008721DC"/>
    <w:rsid w:val="00872346"/>
    <w:rsid w:val="00872B3D"/>
    <w:rsid w:val="00872B49"/>
    <w:rsid w:val="00872DD5"/>
    <w:rsid w:val="00873390"/>
    <w:rsid w:val="0087371C"/>
    <w:rsid w:val="00873A2C"/>
    <w:rsid w:val="00873DD2"/>
    <w:rsid w:val="00874042"/>
    <w:rsid w:val="00874C3D"/>
    <w:rsid w:val="00874C64"/>
    <w:rsid w:val="00874D7A"/>
    <w:rsid w:val="00875F11"/>
    <w:rsid w:val="0087600C"/>
    <w:rsid w:val="00876DC9"/>
    <w:rsid w:val="00876FE6"/>
    <w:rsid w:val="0087798D"/>
    <w:rsid w:val="00877C46"/>
    <w:rsid w:val="0088072D"/>
    <w:rsid w:val="00880892"/>
    <w:rsid w:val="00881384"/>
    <w:rsid w:val="00881B3F"/>
    <w:rsid w:val="00881D04"/>
    <w:rsid w:val="00882113"/>
    <w:rsid w:val="008821FB"/>
    <w:rsid w:val="008822CC"/>
    <w:rsid w:val="0088248B"/>
    <w:rsid w:val="00882A86"/>
    <w:rsid w:val="00882ACB"/>
    <w:rsid w:val="00882D3A"/>
    <w:rsid w:val="00883259"/>
    <w:rsid w:val="0088357E"/>
    <w:rsid w:val="008835FE"/>
    <w:rsid w:val="00883A9B"/>
    <w:rsid w:val="00883AB2"/>
    <w:rsid w:val="008846C2"/>
    <w:rsid w:val="00884B31"/>
    <w:rsid w:val="008854B6"/>
    <w:rsid w:val="0088558F"/>
    <w:rsid w:val="0088570A"/>
    <w:rsid w:val="0088580E"/>
    <w:rsid w:val="00885833"/>
    <w:rsid w:val="008858E0"/>
    <w:rsid w:val="00885A0E"/>
    <w:rsid w:val="008867FC"/>
    <w:rsid w:val="0088686B"/>
    <w:rsid w:val="0088734C"/>
    <w:rsid w:val="00887743"/>
    <w:rsid w:val="00890094"/>
    <w:rsid w:val="0089040F"/>
    <w:rsid w:val="00890680"/>
    <w:rsid w:val="0089098E"/>
    <w:rsid w:val="00890D4A"/>
    <w:rsid w:val="008911D8"/>
    <w:rsid w:val="00891392"/>
    <w:rsid w:val="008914D0"/>
    <w:rsid w:val="008915E5"/>
    <w:rsid w:val="008916C1"/>
    <w:rsid w:val="008916D3"/>
    <w:rsid w:val="008923A7"/>
    <w:rsid w:val="00892F38"/>
    <w:rsid w:val="0089341A"/>
    <w:rsid w:val="00893462"/>
    <w:rsid w:val="008935B8"/>
    <w:rsid w:val="008937F6"/>
    <w:rsid w:val="00893E0C"/>
    <w:rsid w:val="00893FB3"/>
    <w:rsid w:val="008945E7"/>
    <w:rsid w:val="00894675"/>
    <w:rsid w:val="008952BF"/>
    <w:rsid w:val="00895655"/>
    <w:rsid w:val="00895A7D"/>
    <w:rsid w:val="00896895"/>
    <w:rsid w:val="00896AA9"/>
    <w:rsid w:val="00896E1E"/>
    <w:rsid w:val="008974EF"/>
    <w:rsid w:val="00897622"/>
    <w:rsid w:val="00897750"/>
    <w:rsid w:val="008A09EF"/>
    <w:rsid w:val="008A1E69"/>
    <w:rsid w:val="008A22BC"/>
    <w:rsid w:val="008A2903"/>
    <w:rsid w:val="008A29E6"/>
    <w:rsid w:val="008A2F2C"/>
    <w:rsid w:val="008A2FB6"/>
    <w:rsid w:val="008A31A7"/>
    <w:rsid w:val="008A33C0"/>
    <w:rsid w:val="008A33D6"/>
    <w:rsid w:val="008A3B53"/>
    <w:rsid w:val="008A41E5"/>
    <w:rsid w:val="008A43AA"/>
    <w:rsid w:val="008A4421"/>
    <w:rsid w:val="008A45B5"/>
    <w:rsid w:val="008A46A6"/>
    <w:rsid w:val="008A49B0"/>
    <w:rsid w:val="008A4B47"/>
    <w:rsid w:val="008A4DA0"/>
    <w:rsid w:val="008A56F5"/>
    <w:rsid w:val="008A5DFC"/>
    <w:rsid w:val="008A6541"/>
    <w:rsid w:val="008A6DC3"/>
    <w:rsid w:val="008A6E16"/>
    <w:rsid w:val="008A7341"/>
    <w:rsid w:val="008A77CE"/>
    <w:rsid w:val="008A7BB3"/>
    <w:rsid w:val="008B0074"/>
    <w:rsid w:val="008B0755"/>
    <w:rsid w:val="008B084C"/>
    <w:rsid w:val="008B0EFF"/>
    <w:rsid w:val="008B1556"/>
    <w:rsid w:val="008B187E"/>
    <w:rsid w:val="008B1BF9"/>
    <w:rsid w:val="008B1E01"/>
    <w:rsid w:val="008B2A75"/>
    <w:rsid w:val="008B2F2E"/>
    <w:rsid w:val="008B3431"/>
    <w:rsid w:val="008B375C"/>
    <w:rsid w:val="008B3783"/>
    <w:rsid w:val="008B3D96"/>
    <w:rsid w:val="008B3E1B"/>
    <w:rsid w:val="008B4F45"/>
    <w:rsid w:val="008B5041"/>
    <w:rsid w:val="008B54B2"/>
    <w:rsid w:val="008B555F"/>
    <w:rsid w:val="008B55A7"/>
    <w:rsid w:val="008B565F"/>
    <w:rsid w:val="008B5809"/>
    <w:rsid w:val="008B5871"/>
    <w:rsid w:val="008B5955"/>
    <w:rsid w:val="008B6895"/>
    <w:rsid w:val="008B7193"/>
    <w:rsid w:val="008C031E"/>
    <w:rsid w:val="008C05EC"/>
    <w:rsid w:val="008C074B"/>
    <w:rsid w:val="008C07C1"/>
    <w:rsid w:val="008C0A51"/>
    <w:rsid w:val="008C0E1A"/>
    <w:rsid w:val="008C0F19"/>
    <w:rsid w:val="008C1579"/>
    <w:rsid w:val="008C2662"/>
    <w:rsid w:val="008C33C0"/>
    <w:rsid w:val="008C35D2"/>
    <w:rsid w:val="008C36AD"/>
    <w:rsid w:val="008C3AAE"/>
    <w:rsid w:val="008C3ED0"/>
    <w:rsid w:val="008C3FA6"/>
    <w:rsid w:val="008C423A"/>
    <w:rsid w:val="008C546E"/>
    <w:rsid w:val="008C559A"/>
    <w:rsid w:val="008C5938"/>
    <w:rsid w:val="008C5C96"/>
    <w:rsid w:val="008C5F95"/>
    <w:rsid w:val="008C6407"/>
    <w:rsid w:val="008C69B0"/>
    <w:rsid w:val="008C6A48"/>
    <w:rsid w:val="008C6E57"/>
    <w:rsid w:val="008C6EC5"/>
    <w:rsid w:val="008C71EB"/>
    <w:rsid w:val="008C72A2"/>
    <w:rsid w:val="008C79D7"/>
    <w:rsid w:val="008C7CF6"/>
    <w:rsid w:val="008D03B4"/>
    <w:rsid w:val="008D1021"/>
    <w:rsid w:val="008D10DC"/>
    <w:rsid w:val="008D17E2"/>
    <w:rsid w:val="008D2757"/>
    <w:rsid w:val="008D2BA1"/>
    <w:rsid w:val="008D2C1D"/>
    <w:rsid w:val="008D2E0A"/>
    <w:rsid w:val="008D3987"/>
    <w:rsid w:val="008D4B27"/>
    <w:rsid w:val="008D4D42"/>
    <w:rsid w:val="008D542A"/>
    <w:rsid w:val="008D59E0"/>
    <w:rsid w:val="008D5F13"/>
    <w:rsid w:val="008D7172"/>
    <w:rsid w:val="008E035B"/>
    <w:rsid w:val="008E0DD5"/>
    <w:rsid w:val="008E1144"/>
    <w:rsid w:val="008E19D2"/>
    <w:rsid w:val="008E1AB5"/>
    <w:rsid w:val="008E1B1D"/>
    <w:rsid w:val="008E1D3D"/>
    <w:rsid w:val="008E2661"/>
    <w:rsid w:val="008E2871"/>
    <w:rsid w:val="008E3001"/>
    <w:rsid w:val="008E3970"/>
    <w:rsid w:val="008E3D58"/>
    <w:rsid w:val="008E480A"/>
    <w:rsid w:val="008E486D"/>
    <w:rsid w:val="008E4940"/>
    <w:rsid w:val="008E49AC"/>
    <w:rsid w:val="008E4B9E"/>
    <w:rsid w:val="008E4D35"/>
    <w:rsid w:val="008E4E5A"/>
    <w:rsid w:val="008E50E6"/>
    <w:rsid w:val="008E54C8"/>
    <w:rsid w:val="008E5F89"/>
    <w:rsid w:val="008E5FB5"/>
    <w:rsid w:val="008E616B"/>
    <w:rsid w:val="008E63BC"/>
    <w:rsid w:val="008E6799"/>
    <w:rsid w:val="008E67AA"/>
    <w:rsid w:val="008E6C7D"/>
    <w:rsid w:val="008E6E7E"/>
    <w:rsid w:val="008E72D6"/>
    <w:rsid w:val="008E7457"/>
    <w:rsid w:val="008E76DE"/>
    <w:rsid w:val="008E776A"/>
    <w:rsid w:val="008E7AC5"/>
    <w:rsid w:val="008E7CCE"/>
    <w:rsid w:val="008E7EFC"/>
    <w:rsid w:val="008F0472"/>
    <w:rsid w:val="008F05CC"/>
    <w:rsid w:val="008F0C2B"/>
    <w:rsid w:val="008F10F7"/>
    <w:rsid w:val="008F1425"/>
    <w:rsid w:val="008F16DB"/>
    <w:rsid w:val="008F19D6"/>
    <w:rsid w:val="008F2C5D"/>
    <w:rsid w:val="008F2DB5"/>
    <w:rsid w:val="008F3313"/>
    <w:rsid w:val="008F4013"/>
    <w:rsid w:val="008F4074"/>
    <w:rsid w:val="008F40EE"/>
    <w:rsid w:val="008F43C8"/>
    <w:rsid w:val="008F45A6"/>
    <w:rsid w:val="008F46E4"/>
    <w:rsid w:val="008F4AE7"/>
    <w:rsid w:val="008F5875"/>
    <w:rsid w:val="008F59DD"/>
    <w:rsid w:val="008F5EE2"/>
    <w:rsid w:val="008F63EA"/>
    <w:rsid w:val="008F659C"/>
    <w:rsid w:val="008F6DE0"/>
    <w:rsid w:val="008F6E07"/>
    <w:rsid w:val="008F6F7F"/>
    <w:rsid w:val="008F6FEE"/>
    <w:rsid w:val="008F7067"/>
    <w:rsid w:val="008F72F3"/>
    <w:rsid w:val="008F7639"/>
    <w:rsid w:val="008F7784"/>
    <w:rsid w:val="008F7AF5"/>
    <w:rsid w:val="008F7CF4"/>
    <w:rsid w:val="009000D2"/>
    <w:rsid w:val="00900458"/>
    <w:rsid w:val="0090086E"/>
    <w:rsid w:val="00900B9F"/>
    <w:rsid w:val="00900C1D"/>
    <w:rsid w:val="00900D64"/>
    <w:rsid w:val="00901147"/>
    <w:rsid w:val="009013CF"/>
    <w:rsid w:val="00901DC3"/>
    <w:rsid w:val="0090227D"/>
    <w:rsid w:val="00903246"/>
    <w:rsid w:val="00903343"/>
    <w:rsid w:val="00903832"/>
    <w:rsid w:val="00903EF5"/>
    <w:rsid w:val="009048FD"/>
    <w:rsid w:val="00904BA2"/>
    <w:rsid w:val="00905321"/>
    <w:rsid w:val="009053BA"/>
    <w:rsid w:val="009055CE"/>
    <w:rsid w:val="00905711"/>
    <w:rsid w:val="00905BC2"/>
    <w:rsid w:val="00905D63"/>
    <w:rsid w:val="00905D96"/>
    <w:rsid w:val="0090606D"/>
    <w:rsid w:val="009060EC"/>
    <w:rsid w:val="00906278"/>
    <w:rsid w:val="0090657C"/>
    <w:rsid w:val="00906946"/>
    <w:rsid w:val="00906D80"/>
    <w:rsid w:val="00906E0A"/>
    <w:rsid w:val="0090767E"/>
    <w:rsid w:val="00907BB0"/>
    <w:rsid w:val="00907C87"/>
    <w:rsid w:val="00910482"/>
    <w:rsid w:val="009110C0"/>
    <w:rsid w:val="009111EE"/>
    <w:rsid w:val="00911BE6"/>
    <w:rsid w:val="00911D2D"/>
    <w:rsid w:val="00911F22"/>
    <w:rsid w:val="00911FA3"/>
    <w:rsid w:val="00912126"/>
    <w:rsid w:val="009138D9"/>
    <w:rsid w:val="00913B65"/>
    <w:rsid w:val="00913D99"/>
    <w:rsid w:val="009152EA"/>
    <w:rsid w:val="00915D46"/>
    <w:rsid w:val="00916145"/>
    <w:rsid w:val="0091641A"/>
    <w:rsid w:val="009165AD"/>
    <w:rsid w:val="00916E8E"/>
    <w:rsid w:val="00916EA8"/>
    <w:rsid w:val="009173B2"/>
    <w:rsid w:val="00917849"/>
    <w:rsid w:val="0092070A"/>
    <w:rsid w:val="00920EA2"/>
    <w:rsid w:val="00921749"/>
    <w:rsid w:val="00921D84"/>
    <w:rsid w:val="00921FC6"/>
    <w:rsid w:val="009223E4"/>
    <w:rsid w:val="00922A6E"/>
    <w:rsid w:val="00922BBB"/>
    <w:rsid w:val="00923516"/>
    <w:rsid w:val="00923B0C"/>
    <w:rsid w:val="00923F6B"/>
    <w:rsid w:val="00923FCB"/>
    <w:rsid w:val="0092459F"/>
    <w:rsid w:val="009247CC"/>
    <w:rsid w:val="0092536C"/>
    <w:rsid w:val="0092544F"/>
    <w:rsid w:val="00925673"/>
    <w:rsid w:val="00925D40"/>
    <w:rsid w:val="00925EB4"/>
    <w:rsid w:val="00926A2E"/>
    <w:rsid w:val="00927320"/>
    <w:rsid w:val="00927455"/>
    <w:rsid w:val="0092751D"/>
    <w:rsid w:val="0092782C"/>
    <w:rsid w:val="009279AD"/>
    <w:rsid w:val="00927A61"/>
    <w:rsid w:val="00927C78"/>
    <w:rsid w:val="00927CF8"/>
    <w:rsid w:val="00930017"/>
    <w:rsid w:val="0093068C"/>
    <w:rsid w:val="009306C4"/>
    <w:rsid w:val="00930FDF"/>
    <w:rsid w:val="00931123"/>
    <w:rsid w:val="00931135"/>
    <w:rsid w:val="009311C4"/>
    <w:rsid w:val="00931D5A"/>
    <w:rsid w:val="00932B3F"/>
    <w:rsid w:val="00933168"/>
    <w:rsid w:val="009339E0"/>
    <w:rsid w:val="00933B67"/>
    <w:rsid w:val="00933C83"/>
    <w:rsid w:val="00933C95"/>
    <w:rsid w:val="00933EBD"/>
    <w:rsid w:val="00933F1D"/>
    <w:rsid w:val="0093527B"/>
    <w:rsid w:val="009353A4"/>
    <w:rsid w:val="00935A59"/>
    <w:rsid w:val="00935FE7"/>
    <w:rsid w:val="009370CA"/>
    <w:rsid w:val="0093778A"/>
    <w:rsid w:val="009416DE"/>
    <w:rsid w:val="00942052"/>
    <w:rsid w:val="00942B04"/>
    <w:rsid w:val="00942C67"/>
    <w:rsid w:val="0094365F"/>
    <w:rsid w:val="00943736"/>
    <w:rsid w:val="00943771"/>
    <w:rsid w:val="00943844"/>
    <w:rsid w:val="0094391A"/>
    <w:rsid w:val="00944385"/>
    <w:rsid w:val="009446FF"/>
    <w:rsid w:val="00944B28"/>
    <w:rsid w:val="00945950"/>
    <w:rsid w:val="00945D0C"/>
    <w:rsid w:val="009463C4"/>
    <w:rsid w:val="0094659B"/>
    <w:rsid w:val="00946C68"/>
    <w:rsid w:val="00947424"/>
    <w:rsid w:val="009477E5"/>
    <w:rsid w:val="009477F3"/>
    <w:rsid w:val="0094796E"/>
    <w:rsid w:val="00947B08"/>
    <w:rsid w:val="0095006E"/>
    <w:rsid w:val="009516C4"/>
    <w:rsid w:val="009520C1"/>
    <w:rsid w:val="009520E7"/>
    <w:rsid w:val="00952213"/>
    <w:rsid w:val="00952512"/>
    <w:rsid w:val="00952A17"/>
    <w:rsid w:val="00952D17"/>
    <w:rsid w:val="00953300"/>
    <w:rsid w:val="009533AF"/>
    <w:rsid w:val="00953552"/>
    <w:rsid w:val="00954780"/>
    <w:rsid w:val="009547AB"/>
    <w:rsid w:val="00954A0B"/>
    <w:rsid w:val="00954A92"/>
    <w:rsid w:val="00954B48"/>
    <w:rsid w:val="009561BC"/>
    <w:rsid w:val="009562D5"/>
    <w:rsid w:val="00956329"/>
    <w:rsid w:val="009566A1"/>
    <w:rsid w:val="009567C2"/>
    <w:rsid w:val="00956B68"/>
    <w:rsid w:val="009603E1"/>
    <w:rsid w:val="00960416"/>
    <w:rsid w:val="0096056C"/>
    <w:rsid w:val="00960C8A"/>
    <w:rsid w:val="00960D4A"/>
    <w:rsid w:val="00961524"/>
    <w:rsid w:val="00961ACB"/>
    <w:rsid w:val="009635E5"/>
    <w:rsid w:val="0096387C"/>
    <w:rsid w:val="00963C7F"/>
    <w:rsid w:val="00964286"/>
    <w:rsid w:val="009642D0"/>
    <w:rsid w:val="009643AB"/>
    <w:rsid w:val="009647CE"/>
    <w:rsid w:val="009648D9"/>
    <w:rsid w:val="009652BA"/>
    <w:rsid w:val="00965C79"/>
    <w:rsid w:val="0096684B"/>
    <w:rsid w:val="00966BFC"/>
    <w:rsid w:val="00966CC5"/>
    <w:rsid w:val="00966EB2"/>
    <w:rsid w:val="00967231"/>
    <w:rsid w:val="00967C64"/>
    <w:rsid w:val="00970885"/>
    <w:rsid w:val="0097103F"/>
    <w:rsid w:val="009712C3"/>
    <w:rsid w:val="009712D8"/>
    <w:rsid w:val="0097170B"/>
    <w:rsid w:val="00971C4D"/>
    <w:rsid w:val="00972174"/>
    <w:rsid w:val="00972912"/>
    <w:rsid w:val="00972CB6"/>
    <w:rsid w:val="0097360B"/>
    <w:rsid w:val="0097407C"/>
    <w:rsid w:val="00974B2E"/>
    <w:rsid w:val="00974B96"/>
    <w:rsid w:val="00974E9E"/>
    <w:rsid w:val="00975219"/>
    <w:rsid w:val="0097617E"/>
    <w:rsid w:val="009768F3"/>
    <w:rsid w:val="0097709B"/>
    <w:rsid w:val="009771E9"/>
    <w:rsid w:val="009776CF"/>
    <w:rsid w:val="0097788F"/>
    <w:rsid w:val="00977A5B"/>
    <w:rsid w:val="00977B8F"/>
    <w:rsid w:val="00980142"/>
    <w:rsid w:val="00980C97"/>
    <w:rsid w:val="009811AC"/>
    <w:rsid w:val="00981510"/>
    <w:rsid w:val="0098157C"/>
    <w:rsid w:val="00981DE5"/>
    <w:rsid w:val="00982398"/>
    <w:rsid w:val="009823DE"/>
    <w:rsid w:val="00982761"/>
    <w:rsid w:val="0098280B"/>
    <w:rsid w:val="009828E4"/>
    <w:rsid w:val="00982B47"/>
    <w:rsid w:val="00982CB6"/>
    <w:rsid w:val="00983973"/>
    <w:rsid w:val="00983AA1"/>
    <w:rsid w:val="0098417E"/>
    <w:rsid w:val="0098438E"/>
    <w:rsid w:val="00984978"/>
    <w:rsid w:val="00984AC9"/>
    <w:rsid w:val="00984C0A"/>
    <w:rsid w:val="00984D66"/>
    <w:rsid w:val="00984EB9"/>
    <w:rsid w:val="00985812"/>
    <w:rsid w:val="00985AC6"/>
    <w:rsid w:val="00985BDE"/>
    <w:rsid w:val="00986505"/>
    <w:rsid w:val="0098684D"/>
    <w:rsid w:val="00986B48"/>
    <w:rsid w:val="00986BD6"/>
    <w:rsid w:val="00986C92"/>
    <w:rsid w:val="00986E9D"/>
    <w:rsid w:val="00987567"/>
    <w:rsid w:val="00987CA4"/>
    <w:rsid w:val="00987E46"/>
    <w:rsid w:val="00990EE4"/>
    <w:rsid w:val="0099139D"/>
    <w:rsid w:val="0099163E"/>
    <w:rsid w:val="009916D8"/>
    <w:rsid w:val="0099189A"/>
    <w:rsid w:val="00991AA3"/>
    <w:rsid w:val="00992370"/>
    <w:rsid w:val="0099237B"/>
    <w:rsid w:val="009924EA"/>
    <w:rsid w:val="00992CCA"/>
    <w:rsid w:val="00992D2F"/>
    <w:rsid w:val="00992EF9"/>
    <w:rsid w:val="00993C8C"/>
    <w:rsid w:val="009943E8"/>
    <w:rsid w:val="0099443C"/>
    <w:rsid w:val="009951E7"/>
    <w:rsid w:val="009954AE"/>
    <w:rsid w:val="00995617"/>
    <w:rsid w:val="00995716"/>
    <w:rsid w:val="00995861"/>
    <w:rsid w:val="009958E3"/>
    <w:rsid w:val="0099596A"/>
    <w:rsid w:val="00995AA5"/>
    <w:rsid w:val="00995D99"/>
    <w:rsid w:val="009969DD"/>
    <w:rsid w:val="009971F6"/>
    <w:rsid w:val="0099782E"/>
    <w:rsid w:val="00997B0D"/>
    <w:rsid w:val="00997CD8"/>
    <w:rsid w:val="009A0129"/>
    <w:rsid w:val="009A0800"/>
    <w:rsid w:val="009A1DC8"/>
    <w:rsid w:val="009A1F81"/>
    <w:rsid w:val="009A20A6"/>
    <w:rsid w:val="009A2207"/>
    <w:rsid w:val="009A22C5"/>
    <w:rsid w:val="009A23A3"/>
    <w:rsid w:val="009A25A5"/>
    <w:rsid w:val="009A27BF"/>
    <w:rsid w:val="009A31B6"/>
    <w:rsid w:val="009A31C7"/>
    <w:rsid w:val="009A3579"/>
    <w:rsid w:val="009A38B9"/>
    <w:rsid w:val="009A3CF2"/>
    <w:rsid w:val="009A4069"/>
    <w:rsid w:val="009A428D"/>
    <w:rsid w:val="009A4914"/>
    <w:rsid w:val="009A5151"/>
    <w:rsid w:val="009A5342"/>
    <w:rsid w:val="009A618C"/>
    <w:rsid w:val="009A623E"/>
    <w:rsid w:val="009A63B8"/>
    <w:rsid w:val="009A699A"/>
    <w:rsid w:val="009A69E5"/>
    <w:rsid w:val="009A6D6B"/>
    <w:rsid w:val="009A716C"/>
    <w:rsid w:val="009A722D"/>
    <w:rsid w:val="009A75B6"/>
    <w:rsid w:val="009A7A97"/>
    <w:rsid w:val="009A7CD1"/>
    <w:rsid w:val="009B0203"/>
    <w:rsid w:val="009B02F4"/>
    <w:rsid w:val="009B050E"/>
    <w:rsid w:val="009B081A"/>
    <w:rsid w:val="009B09E1"/>
    <w:rsid w:val="009B0FC4"/>
    <w:rsid w:val="009B1630"/>
    <w:rsid w:val="009B180E"/>
    <w:rsid w:val="009B19DF"/>
    <w:rsid w:val="009B1C53"/>
    <w:rsid w:val="009B1D36"/>
    <w:rsid w:val="009B20DB"/>
    <w:rsid w:val="009B265F"/>
    <w:rsid w:val="009B27C5"/>
    <w:rsid w:val="009B286B"/>
    <w:rsid w:val="009B29C6"/>
    <w:rsid w:val="009B2E4D"/>
    <w:rsid w:val="009B32BD"/>
    <w:rsid w:val="009B3DBF"/>
    <w:rsid w:val="009B4371"/>
    <w:rsid w:val="009B4617"/>
    <w:rsid w:val="009B47C7"/>
    <w:rsid w:val="009B508E"/>
    <w:rsid w:val="009B5716"/>
    <w:rsid w:val="009B5817"/>
    <w:rsid w:val="009B5ED7"/>
    <w:rsid w:val="009B601B"/>
    <w:rsid w:val="009B6B0F"/>
    <w:rsid w:val="009B6D6F"/>
    <w:rsid w:val="009B6D7A"/>
    <w:rsid w:val="009B70B1"/>
    <w:rsid w:val="009B771C"/>
    <w:rsid w:val="009B7ECB"/>
    <w:rsid w:val="009C0036"/>
    <w:rsid w:val="009C0560"/>
    <w:rsid w:val="009C05C5"/>
    <w:rsid w:val="009C08BB"/>
    <w:rsid w:val="009C0C20"/>
    <w:rsid w:val="009C1036"/>
    <w:rsid w:val="009C14AB"/>
    <w:rsid w:val="009C1793"/>
    <w:rsid w:val="009C189E"/>
    <w:rsid w:val="009C1FE6"/>
    <w:rsid w:val="009C24CD"/>
    <w:rsid w:val="009C2603"/>
    <w:rsid w:val="009C283F"/>
    <w:rsid w:val="009C293E"/>
    <w:rsid w:val="009C29A7"/>
    <w:rsid w:val="009C2B3F"/>
    <w:rsid w:val="009C2CB9"/>
    <w:rsid w:val="009C307F"/>
    <w:rsid w:val="009C3E86"/>
    <w:rsid w:val="009C478F"/>
    <w:rsid w:val="009C4F67"/>
    <w:rsid w:val="009C4FE4"/>
    <w:rsid w:val="009C523F"/>
    <w:rsid w:val="009C5367"/>
    <w:rsid w:val="009C54AB"/>
    <w:rsid w:val="009C5CB1"/>
    <w:rsid w:val="009C5DB1"/>
    <w:rsid w:val="009C63F6"/>
    <w:rsid w:val="009C64AD"/>
    <w:rsid w:val="009C66B2"/>
    <w:rsid w:val="009C68B4"/>
    <w:rsid w:val="009C6934"/>
    <w:rsid w:val="009C6C21"/>
    <w:rsid w:val="009C6DA6"/>
    <w:rsid w:val="009C6F47"/>
    <w:rsid w:val="009C71EA"/>
    <w:rsid w:val="009C79AB"/>
    <w:rsid w:val="009C7AF4"/>
    <w:rsid w:val="009C7B09"/>
    <w:rsid w:val="009C7CFA"/>
    <w:rsid w:val="009C7D95"/>
    <w:rsid w:val="009D07A5"/>
    <w:rsid w:val="009D0842"/>
    <w:rsid w:val="009D086C"/>
    <w:rsid w:val="009D0A9C"/>
    <w:rsid w:val="009D13A7"/>
    <w:rsid w:val="009D176C"/>
    <w:rsid w:val="009D1A85"/>
    <w:rsid w:val="009D1BF3"/>
    <w:rsid w:val="009D1E14"/>
    <w:rsid w:val="009D1EB8"/>
    <w:rsid w:val="009D27C0"/>
    <w:rsid w:val="009D2CF1"/>
    <w:rsid w:val="009D3210"/>
    <w:rsid w:val="009D326B"/>
    <w:rsid w:val="009D3629"/>
    <w:rsid w:val="009D3807"/>
    <w:rsid w:val="009D39B5"/>
    <w:rsid w:val="009D3B99"/>
    <w:rsid w:val="009D4825"/>
    <w:rsid w:val="009D4930"/>
    <w:rsid w:val="009D4FF1"/>
    <w:rsid w:val="009D55AA"/>
    <w:rsid w:val="009D5957"/>
    <w:rsid w:val="009D5FA1"/>
    <w:rsid w:val="009D696C"/>
    <w:rsid w:val="009D69E1"/>
    <w:rsid w:val="009D6DAB"/>
    <w:rsid w:val="009D6F33"/>
    <w:rsid w:val="009D6FBA"/>
    <w:rsid w:val="009D7521"/>
    <w:rsid w:val="009D77E9"/>
    <w:rsid w:val="009D79B5"/>
    <w:rsid w:val="009E0323"/>
    <w:rsid w:val="009E049D"/>
    <w:rsid w:val="009E0902"/>
    <w:rsid w:val="009E11E9"/>
    <w:rsid w:val="009E14EB"/>
    <w:rsid w:val="009E1825"/>
    <w:rsid w:val="009E1AEB"/>
    <w:rsid w:val="009E213C"/>
    <w:rsid w:val="009E22E5"/>
    <w:rsid w:val="009E236C"/>
    <w:rsid w:val="009E27C0"/>
    <w:rsid w:val="009E286E"/>
    <w:rsid w:val="009E3045"/>
    <w:rsid w:val="009E323A"/>
    <w:rsid w:val="009E344D"/>
    <w:rsid w:val="009E36A1"/>
    <w:rsid w:val="009E36E6"/>
    <w:rsid w:val="009E3E57"/>
    <w:rsid w:val="009E419E"/>
    <w:rsid w:val="009E466E"/>
    <w:rsid w:val="009E50F5"/>
    <w:rsid w:val="009E52A4"/>
    <w:rsid w:val="009E5339"/>
    <w:rsid w:val="009E5417"/>
    <w:rsid w:val="009E5709"/>
    <w:rsid w:val="009E5E1F"/>
    <w:rsid w:val="009E6F27"/>
    <w:rsid w:val="009E7289"/>
    <w:rsid w:val="009F005B"/>
    <w:rsid w:val="009F0576"/>
    <w:rsid w:val="009F063E"/>
    <w:rsid w:val="009F0781"/>
    <w:rsid w:val="009F0C52"/>
    <w:rsid w:val="009F169B"/>
    <w:rsid w:val="009F1726"/>
    <w:rsid w:val="009F245A"/>
    <w:rsid w:val="009F2F07"/>
    <w:rsid w:val="009F2FB3"/>
    <w:rsid w:val="009F30BC"/>
    <w:rsid w:val="009F318C"/>
    <w:rsid w:val="009F3809"/>
    <w:rsid w:val="009F381F"/>
    <w:rsid w:val="009F43CB"/>
    <w:rsid w:val="009F47F0"/>
    <w:rsid w:val="009F4837"/>
    <w:rsid w:val="009F4A87"/>
    <w:rsid w:val="009F53F1"/>
    <w:rsid w:val="009F62FC"/>
    <w:rsid w:val="009F68AB"/>
    <w:rsid w:val="009F6F0E"/>
    <w:rsid w:val="009F7513"/>
    <w:rsid w:val="009F7525"/>
    <w:rsid w:val="009F7984"/>
    <w:rsid w:val="009F7BF9"/>
    <w:rsid w:val="009F7ED5"/>
    <w:rsid w:val="00A00064"/>
    <w:rsid w:val="00A0050A"/>
    <w:rsid w:val="00A0077C"/>
    <w:rsid w:val="00A00B80"/>
    <w:rsid w:val="00A031D6"/>
    <w:rsid w:val="00A03229"/>
    <w:rsid w:val="00A03431"/>
    <w:rsid w:val="00A0399E"/>
    <w:rsid w:val="00A0405E"/>
    <w:rsid w:val="00A04081"/>
    <w:rsid w:val="00A04616"/>
    <w:rsid w:val="00A049C3"/>
    <w:rsid w:val="00A04B66"/>
    <w:rsid w:val="00A051C0"/>
    <w:rsid w:val="00A05409"/>
    <w:rsid w:val="00A05958"/>
    <w:rsid w:val="00A05A4B"/>
    <w:rsid w:val="00A05BC3"/>
    <w:rsid w:val="00A05D00"/>
    <w:rsid w:val="00A0609A"/>
    <w:rsid w:val="00A06B79"/>
    <w:rsid w:val="00A06D2F"/>
    <w:rsid w:val="00A07203"/>
    <w:rsid w:val="00A07AC4"/>
    <w:rsid w:val="00A07B94"/>
    <w:rsid w:val="00A07BCD"/>
    <w:rsid w:val="00A07FF9"/>
    <w:rsid w:val="00A101F0"/>
    <w:rsid w:val="00A10731"/>
    <w:rsid w:val="00A10A1E"/>
    <w:rsid w:val="00A10E51"/>
    <w:rsid w:val="00A10EA4"/>
    <w:rsid w:val="00A116AE"/>
    <w:rsid w:val="00A12034"/>
    <w:rsid w:val="00A124B4"/>
    <w:rsid w:val="00A132B1"/>
    <w:rsid w:val="00A13441"/>
    <w:rsid w:val="00A13B7F"/>
    <w:rsid w:val="00A13B94"/>
    <w:rsid w:val="00A13D21"/>
    <w:rsid w:val="00A14153"/>
    <w:rsid w:val="00A14EE2"/>
    <w:rsid w:val="00A15375"/>
    <w:rsid w:val="00A15496"/>
    <w:rsid w:val="00A15753"/>
    <w:rsid w:val="00A160B2"/>
    <w:rsid w:val="00A16102"/>
    <w:rsid w:val="00A16237"/>
    <w:rsid w:val="00A16710"/>
    <w:rsid w:val="00A16CCF"/>
    <w:rsid w:val="00A17606"/>
    <w:rsid w:val="00A17874"/>
    <w:rsid w:val="00A17A1F"/>
    <w:rsid w:val="00A20E6B"/>
    <w:rsid w:val="00A210D7"/>
    <w:rsid w:val="00A21360"/>
    <w:rsid w:val="00A21401"/>
    <w:rsid w:val="00A21580"/>
    <w:rsid w:val="00A21956"/>
    <w:rsid w:val="00A21AFC"/>
    <w:rsid w:val="00A21D3A"/>
    <w:rsid w:val="00A21F87"/>
    <w:rsid w:val="00A223BE"/>
    <w:rsid w:val="00A22654"/>
    <w:rsid w:val="00A22EAC"/>
    <w:rsid w:val="00A23893"/>
    <w:rsid w:val="00A23A14"/>
    <w:rsid w:val="00A23B80"/>
    <w:rsid w:val="00A23CB1"/>
    <w:rsid w:val="00A24058"/>
    <w:rsid w:val="00A243AC"/>
    <w:rsid w:val="00A24425"/>
    <w:rsid w:val="00A245E9"/>
    <w:rsid w:val="00A2477E"/>
    <w:rsid w:val="00A24C83"/>
    <w:rsid w:val="00A25064"/>
    <w:rsid w:val="00A25484"/>
    <w:rsid w:val="00A255CC"/>
    <w:rsid w:val="00A25718"/>
    <w:rsid w:val="00A26284"/>
    <w:rsid w:val="00A264CE"/>
    <w:rsid w:val="00A26A71"/>
    <w:rsid w:val="00A26BEB"/>
    <w:rsid w:val="00A26F1A"/>
    <w:rsid w:val="00A26FCF"/>
    <w:rsid w:val="00A2708F"/>
    <w:rsid w:val="00A27165"/>
    <w:rsid w:val="00A27316"/>
    <w:rsid w:val="00A27444"/>
    <w:rsid w:val="00A2793F"/>
    <w:rsid w:val="00A279F0"/>
    <w:rsid w:val="00A27AF8"/>
    <w:rsid w:val="00A27CBB"/>
    <w:rsid w:val="00A27F5B"/>
    <w:rsid w:val="00A3022B"/>
    <w:rsid w:val="00A30662"/>
    <w:rsid w:val="00A30FD7"/>
    <w:rsid w:val="00A311C9"/>
    <w:rsid w:val="00A313FA"/>
    <w:rsid w:val="00A3148F"/>
    <w:rsid w:val="00A31523"/>
    <w:rsid w:val="00A32C07"/>
    <w:rsid w:val="00A32D31"/>
    <w:rsid w:val="00A32DC6"/>
    <w:rsid w:val="00A32E4B"/>
    <w:rsid w:val="00A33059"/>
    <w:rsid w:val="00A3332C"/>
    <w:rsid w:val="00A33BCF"/>
    <w:rsid w:val="00A33F28"/>
    <w:rsid w:val="00A33F29"/>
    <w:rsid w:val="00A34434"/>
    <w:rsid w:val="00A3444B"/>
    <w:rsid w:val="00A34626"/>
    <w:rsid w:val="00A348F2"/>
    <w:rsid w:val="00A35428"/>
    <w:rsid w:val="00A3542A"/>
    <w:rsid w:val="00A35B54"/>
    <w:rsid w:val="00A35D00"/>
    <w:rsid w:val="00A35DB1"/>
    <w:rsid w:val="00A3614B"/>
    <w:rsid w:val="00A37125"/>
    <w:rsid w:val="00A376C0"/>
    <w:rsid w:val="00A37D2F"/>
    <w:rsid w:val="00A406C0"/>
    <w:rsid w:val="00A4167B"/>
    <w:rsid w:val="00A416A8"/>
    <w:rsid w:val="00A419BA"/>
    <w:rsid w:val="00A424C2"/>
    <w:rsid w:val="00A426A3"/>
    <w:rsid w:val="00A4288F"/>
    <w:rsid w:val="00A42BB1"/>
    <w:rsid w:val="00A42C69"/>
    <w:rsid w:val="00A42EAA"/>
    <w:rsid w:val="00A42FA0"/>
    <w:rsid w:val="00A4309E"/>
    <w:rsid w:val="00A4323C"/>
    <w:rsid w:val="00A436B4"/>
    <w:rsid w:val="00A4471C"/>
    <w:rsid w:val="00A449C2"/>
    <w:rsid w:val="00A44AE7"/>
    <w:rsid w:val="00A44FE8"/>
    <w:rsid w:val="00A450E1"/>
    <w:rsid w:val="00A45968"/>
    <w:rsid w:val="00A45D9A"/>
    <w:rsid w:val="00A4604F"/>
    <w:rsid w:val="00A4611E"/>
    <w:rsid w:val="00A46447"/>
    <w:rsid w:val="00A4653B"/>
    <w:rsid w:val="00A46602"/>
    <w:rsid w:val="00A468D7"/>
    <w:rsid w:val="00A46C92"/>
    <w:rsid w:val="00A46E3E"/>
    <w:rsid w:val="00A4735E"/>
    <w:rsid w:val="00A47476"/>
    <w:rsid w:val="00A47ADB"/>
    <w:rsid w:val="00A47ECE"/>
    <w:rsid w:val="00A47F3B"/>
    <w:rsid w:val="00A500C2"/>
    <w:rsid w:val="00A514EC"/>
    <w:rsid w:val="00A515B7"/>
    <w:rsid w:val="00A51862"/>
    <w:rsid w:val="00A51A5E"/>
    <w:rsid w:val="00A51FF9"/>
    <w:rsid w:val="00A5200C"/>
    <w:rsid w:val="00A52F5C"/>
    <w:rsid w:val="00A5301C"/>
    <w:rsid w:val="00A538D7"/>
    <w:rsid w:val="00A5397E"/>
    <w:rsid w:val="00A53A50"/>
    <w:rsid w:val="00A53BF0"/>
    <w:rsid w:val="00A54219"/>
    <w:rsid w:val="00A54731"/>
    <w:rsid w:val="00A54C30"/>
    <w:rsid w:val="00A54CA1"/>
    <w:rsid w:val="00A550C7"/>
    <w:rsid w:val="00A55369"/>
    <w:rsid w:val="00A5567B"/>
    <w:rsid w:val="00A55B9F"/>
    <w:rsid w:val="00A55D74"/>
    <w:rsid w:val="00A55E82"/>
    <w:rsid w:val="00A5665E"/>
    <w:rsid w:val="00A5770B"/>
    <w:rsid w:val="00A57934"/>
    <w:rsid w:val="00A6017B"/>
    <w:rsid w:val="00A60181"/>
    <w:rsid w:val="00A60641"/>
    <w:rsid w:val="00A6091A"/>
    <w:rsid w:val="00A60BBB"/>
    <w:rsid w:val="00A623B0"/>
    <w:rsid w:val="00A62CD3"/>
    <w:rsid w:val="00A62E63"/>
    <w:rsid w:val="00A6302A"/>
    <w:rsid w:val="00A63FFD"/>
    <w:rsid w:val="00A64237"/>
    <w:rsid w:val="00A64733"/>
    <w:rsid w:val="00A64B4E"/>
    <w:rsid w:val="00A652A4"/>
    <w:rsid w:val="00A66311"/>
    <w:rsid w:val="00A67499"/>
    <w:rsid w:val="00A6751F"/>
    <w:rsid w:val="00A6797F"/>
    <w:rsid w:val="00A67F7B"/>
    <w:rsid w:val="00A701C7"/>
    <w:rsid w:val="00A70CB5"/>
    <w:rsid w:val="00A71A67"/>
    <w:rsid w:val="00A71E15"/>
    <w:rsid w:val="00A71E4A"/>
    <w:rsid w:val="00A7267A"/>
    <w:rsid w:val="00A728C9"/>
    <w:rsid w:val="00A728DE"/>
    <w:rsid w:val="00A729C6"/>
    <w:rsid w:val="00A72F7C"/>
    <w:rsid w:val="00A731ED"/>
    <w:rsid w:val="00A73214"/>
    <w:rsid w:val="00A737E2"/>
    <w:rsid w:val="00A73C1E"/>
    <w:rsid w:val="00A7423B"/>
    <w:rsid w:val="00A744A6"/>
    <w:rsid w:val="00A744E6"/>
    <w:rsid w:val="00A745EA"/>
    <w:rsid w:val="00A74641"/>
    <w:rsid w:val="00A74CEE"/>
    <w:rsid w:val="00A758F9"/>
    <w:rsid w:val="00A75AFA"/>
    <w:rsid w:val="00A76611"/>
    <w:rsid w:val="00A76719"/>
    <w:rsid w:val="00A76DF6"/>
    <w:rsid w:val="00A77C06"/>
    <w:rsid w:val="00A77D01"/>
    <w:rsid w:val="00A80AAF"/>
    <w:rsid w:val="00A80BD2"/>
    <w:rsid w:val="00A80BFE"/>
    <w:rsid w:val="00A80C5E"/>
    <w:rsid w:val="00A81141"/>
    <w:rsid w:val="00A81348"/>
    <w:rsid w:val="00A81466"/>
    <w:rsid w:val="00A81D3B"/>
    <w:rsid w:val="00A820A6"/>
    <w:rsid w:val="00A82F17"/>
    <w:rsid w:val="00A83945"/>
    <w:rsid w:val="00A83D44"/>
    <w:rsid w:val="00A83EAE"/>
    <w:rsid w:val="00A83FB8"/>
    <w:rsid w:val="00A841C7"/>
    <w:rsid w:val="00A84CF8"/>
    <w:rsid w:val="00A85146"/>
    <w:rsid w:val="00A86529"/>
    <w:rsid w:val="00A8670F"/>
    <w:rsid w:val="00A86C3B"/>
    <w:rsid w:val="00A86F10"/>
    <w:rsid w:val="00A87711"/>
    <w:rsid w:val="00A87767"/>
    <w:rsid w:val="00A87B7B"/>
    <w:rsid w:val="00A87BF2"/>
    <w:rsid w:val="00A87E61"/>
    <w:rsid w:val="00A87FD7"/>
    <w:rsid w:val="00A907BA"/>
    <w:rsid w:val="00A908AD"/>
    <w:rsid w:val="00A90C61"/>
    <w:rsid w:val="00A90DCE"/>
    <w:rsid w:val="00A911DB"/>
    <w:rsid w:val="00A91911"/>
    <w:rsid w:val="00A91AB6"/>
    <w:rsid w:val="00A92059"/>
    <w:rsid w:val="00A92374"/>
    <w:rsid w:val="00A923AC"/>
    <w:rsid w:val="00A9272B"/>
    <w:rsid w:val="00A92E55"/>
    <w:rsid w:val="00A930E4"/>
    <w:rsid w:val="00A93492"/>
    <w:rsid w:val="00A934EA"/>
    <w:rsid w:val="00A937E3"/>
    <w:rsid w:val="00A9391E"/>
    <w:rsid w:val="00A93F17"/>
    <w:rsid w:val="00A947FC"/>
    <w:rsid w:val="00A94820"/>
    <w:rsid w:val="00A948C9"/>
    <w:rsid w:val="00A948DC"/>
    <w:rsid w:val="00A950CC"/>
    <w:rsid w:val="00A95119"/>
    <w:rsid w:val="00A95411"/>
    <w:rsid w:val="00A9604E"/>
    <w:rsid w:val="00A9704F"/>
    <w:rsid w:val="00A971CD"/>
    <w:rsid w:val="00A974E3"/>
    <w:rsid w:val="00A97D3D"/>
    <w:rsid w:val="00AA0062"/>
    <w:rsid w:val="00AA051F"/>
    <w:rsid w:val="00AA120D"/>
    <w:rsid w:val="00AA120F"/>
    <w:rsid w:val="00AA12B1"/>
    <w:rsid w:val="00AA1401"/>
    <w:rsid w:val="00AA1AD8"/>
    <w:rsid w:val="00AA1BD7"/>
    <w:rsid w:val="00AA1D1B"/>
    <w:rsid w:val="00AA1F61"/>
    <w:rsid w:val="00AA2068"/>
    <w:rsid w:val="00AA25B0"/>
    <w:rsid w:val="00AA26C9"/>
    <w:rsid w:val="00AA30EF"/>
    <w:rsid w:val="00AA33E4"/>
    <w:rsid w:val="00AA33FC"/>
    <w:rsid w:val="00AA35EE"/>
    <w:rsid w:val="00AA3689"/>
    <w:rsid w:val="00AA38BF"/>
    <w:rsid w:val="00AA39E0"/>
    <w:rsid w:val="00AA3B86"/>
    <w:rsid w:val="00AA3C2E"/>
    <w:rsid w:val="00AA3CD5"/>
    <w:rsid w:val="00AA45A8"/>
    <w:rsid w:val="00AA4776"/>
    <w:rsid w:val="00AA4E3C"/>
    <w:rsid w:val="00AA4EE1"/>
    <w:rsid w:val="00AA4FDC"/>
    <w:rsid w:val="00AA52D9"/>
    <w:rsid w:val="00AA55F2"/>
    <w:rsid w:val="00AA5745"/>
    <w:rsid w:val="00AA59B0"/>
    <w:rsid w:val="00AA5B7E"/>
    <w:rsid w:val="00AA5B87"/>
    <w:rsid w:val="00AA5EE3"/>
    <w:rsid w:val="00AA6149"/>
    <w:rsid w:val="00AA629A"/>
    <w:rsid w:val="00AA637F"/>
    <w:rsid w:val="00AA6555"/>
    <w:rsid w:val="00AA660C"/>
    <w:rsid w:val="00AA66A1"/>
    <w:rsid w:val="00AA6A0D"/>
    <w:rsid w:val="00AA6DC7"/>
    <w:rsid w:val="00AA71E6"/>
    <w:rsid w:val="00AA737A"/>
    <w:rsid w:val="00AA7828"/>
    <w:rsid w:val="00AB03C5"/>
    <w:rsid w:val="00AB049C"/>
    <w:rsid w:val="00AB05A0"/>
    <w:rsid w:val="00AB09AE"/>
    <w:rsid w:val="00AB0CD3"/>
    <w:rsid w:val="00AB141A"/>
    <w:rsid w:val="00AB14C2"/>
    <w:rsid w:val="00AB150B"/>
    <w:rsid w:val="00AB1AAC"/>
    <w:rsid w:val="00AB1BF8"/>
    <w:rsid w:val="00AB2E19"/>
    <w:rsid w:val="00AB44E1"/>
    <w:rsid w:val="00AB4D31"/>
    <w:rsid w:val="00AB4D7E"/>
    <w:rsid w:val="00AB51B3"/>
    <w:rsid w:val="00AB5435"/>
    <w:rsid w:val="00AB5EAA"/>
    <w:rsid w:val="00AB6222"/>
    <w:rsid w:val="00AB62BB"/>
    <w:rsid w:val="00AB6638"/>
    <w:rsid w:val="00AB7367"/>
    <w:rsid w:val="00AB768A"/>
    <w:rsid w:val="00AB7C14"/>
    <w:rsid w:val="00AB7E2E"/>
    <w:rsid w:val="00AB7EEA"/>
    <w:rsid w:val="00AC02A0"/>
    <w:rsid w:val="00AC03FB"/>
    <w:rsid w:val="00AC069E"/>
    <w:rsid w:val="00AC0BF0"/>
    <w:rsid w:val="00AC0EBB"/>
    <w:rsid w:val="00AC1324"/>
    <w:rsid w:val="00AC1540"/>
    <w:rsid w:val="00AC1E13"/>
    <w:rsid w:val="00AC2747"/>
    <w:rsid w:val="00AC2A52"/>
    <w:rsid w:val="00AC2C02"/>
    <w:rsid w:val="00AC2CC4"/>
    <w:rsid w:val="00AC2D1F"/>
    <w:rsid w:val="00AC31CA"/>
    <w:rsid w:val="00AC3414"/>
    <w:rsid w:val="00AC379D"/>
    <w:rsid w:val="00AC3846"/>
    <w:rsid w:val="00AC3A22"/>
    <w:rsid w:val="00AC3D66"/>
    <w:rsid w:val="00AC43A5"/>
    <w:rsid w:val="00AC4507"/>
    <w:rsid w:val="00AC4697"/>
    <w:rsid w:val="00AC4710"/>
    <w:rsid w:val="00AC48EB"/>
    <w:rsid w:val="00AC4C13"/>
    <w:rsid w:val="00AC52B8"/>
    <w:rsid w:val="00AC54F3"/>
    <w:rsid w:val="00AC577D"/>
    <w:rsid w:val="00AC5782"/>
    <w:rsid w:val="00AC5A79"/>
    <w:rsid w:val="00AC5F65"/>
    <w:rsid w:val="00AC635D"/>
    <w:rsid w:val="00AC6665"/>
    <w:rsid w:val="00AC6F11"/>
    <w:rsid w:val="00AC711B"/>
    <w:rsid w:val="00AC7235"/>
    <w:rsid w:val="00AC7308"/>
    <w:rsid w:val="00AC7386"/>
    <w:rsid w:val="00AC77AA"/>
    <w:rsid w:val="00AD01F8"/>
    <w:rsid w:val="00AD025F"/>
    <w:rsid w:val="00AD02C8"/>
    <w:rsid w:val="00AD0989"/>
    <w:rsid w:val="00AD0A8E"/>
    <w:rsid w:val="00AD1483"/>
    <w:rsid w:val="00AD16B3"/>
    <w:rsid w:val="00AD1AFF"/>
    <w:rsid w:val="00AD1C4B"/>
    <w:rsid w:val="00AD2C36"/>
    <w:rsid w:val="00AD2F4F"/>
    <w:rsid w:val="00AD32E6"/>
    <w:rsid w:val="00AD334C"/>
    <w:rsid w:val="00AD3549"/>
    <w:rsid w:val="00AD36E6"/>
    <w:rsid w:val="00AD423B"/>
    <w:rsid w:val="00AD47B7"/>
    <w:rsid w:val="00AD48E5"/>
    <w:rsid w:val="00AD500C"/>
    <w:rsid w:val="00AD52B8"/>
    <w:rsid w:val="00AD59A5"/>
    <w:rsid w:val="00AD5C70"/>
    <w:rsid w:val="00AD6551"/>
    <w:rsid w:val="00AD6777"/>
    <w:rsid w:val="00AD6825"/>
    <w:rsid w:val="00AD6EE8"/>
    <w:rsid w:val="00AD70CF"/>
    <w:rsid w:val="00AD791E"/>
    <w:rsid w:val="00AD7959"/>
    <w:rsid w:val="00AE0079"/>
    <w:rsid w:val="00AE07AA"/>
    <w:rsid w:val="00AE0A60"/>
    <w:rsid w:val="00AE0D9D"/>
    <w:rsid w:val="00AE14F6"/>
    <w:rsid w:val="00AE26A4"/>
    <w:rsid w:val="00AE2926"/>
    <w:rsid w:val="00AE2EF3"/>
    <w:rsid w:val="00AE3638"/>
    <w:rsid w:val="00AE3A2B"/>
    <w:rsid w:val="00AE3DD9"/>
    <w:rsid w:val="00AE4085"/>
    <w:rsid w:val="00AE4855"/>
    <w:rsid w:val="00AE4BFC"/>
    <w:rsid w:val="00AE4C78"/>
    <w:rsid w:val="00AE5036"/>
    <w:rsid w:val="00AE516F"/>
    <w:rsid w:val="00AE51E8"/>
    <w:rsid w:val="00AE53F4"/>
    <w:rsid w:val="00AE58FF"/>
    <w:rsid w:val="00AE5C9B"/>
    <w:rsid w:val="00AE5DE5"/>
    <w:rsid w:val="00AE6AEA"/>
    <w:rsid w:val="00AE6C4A"/>
    <w:rsid w:val="00AE7333"/>
    <w:rsid w:val="00AE739E"/>
    <w:rsid w:val="00AE7953"/>
    <w:rsid w:val="00AE7997"/>
    <w:rsid w:val="00AE7EDF"/>
    <w:rsid w:val="00AF051E"/>
    <w:rsid w:val="00AF0A2A"/>
    <w:rsid w:val="00AF0DC0"/>
    <w:rsid w:val="00AF10F8"/>
    <w:rsid w:val="00AF1293"/>
    <w:rsid w:val="00AF2A07"/>
    <w:rsid w:val="00AF357A"/>
    <w:rsid w:val="00AF3B16"/>
    <w:rsid w:val="00AF4036"/>
    <w:rsid w:val="00AF4521"/>
    <w:rsid w:val="00AF48B5"/>
    <w:rsid w:val="00AF4B43"/>
    <w:rsid w:val="00AF4EC1"/>
    <w:rsid w:val="00AF51CF"/>
    <w:rsid w:val="00AF5529"/>
    <w:rsid w:val="00AF5868"/>
    <w:rsid w:val="00AF58D7"/>
    <w:rsid w:val="00AF5AE4"/>
    <w:rsid w:val="00AF603C"/>
    <w:rsid w:val="00AF649F"/>
    <w:rsid w:val="00AF64D7"/>
    <w:rsid w:val="00AF74F8"/>
    <w:rsid w:val="00B00684"/>
    <w:rsid w:val="00B00B6B"/>
    <w:rsid w:val="00B00E05"/>
    <w:rsid w:val="00B012C0"/>
    <w:rsid w:val="00B01926"/>
    <w:rsid w:val="00B01A38"/>
    <w:rsid w:val="00B01AE5"/>
    <w:rsid w:val="00B01B26"/>
    <w:rsid w:val="00B01F36"/>
    <w:rsid w:val="00B02856"/>
    <w:rsid w:val="00B02B26"/>
    <w:rsid w:val="00B02DF1"/>
    <w:rsid w:val="00B02FB8"/>
    <w:rsid w:val="00B03279"/>
    <w:rsid w:val="00B03763"/>
    <w:rsid w:val="00B03782"/>
    <w:rsid w:val="00B037C1"/>
    <w:rsid w:val="00B037E0"/>
    <w:rsid w:val="00B0388F"/>
    <w:rsid w:val="00B038F3"/>
    <w:rsid w:val="00B03942"/>
    <w:rsid w:val="00B03B0C"/>
    <w:rsid w:val="00B03C8F"/>
    <w:rsid w:val="00B04177"/>
    <w:rsid w:val="00B04241"/>
    <w:rsid w:val="00B04F61"/>
    <w:rsid w:val="00B058B9"/>
    <w:rsid w:val="00B059A7"/>
    <w:rsid w:val="00B05B46"/>
    <w:rsid w:val="00B05C98"/>
    <w:rsid w:val="00B064D5"/>
    <w:rsid w:val="00B06A23"/>
    <w:rsid w:val="00B077CF"/>
    <w:rsid w:val="00B10587"/>
    <w:rsid w:val="00B10C02"/>
    <w:rsid w:val="00B10CB0"/>
    <w:rsid w:val="00B115A3"/>
    <w:rsid w:val="00B11DC2"/>
    <w:rsid w:val="00B11E9F"/>
    <w:rsid w:val="00B121A2"/>
    <w:rsid w:val="00B12E29"/>
    <w:rsid w:val="00B12F05"/>
    <w:rsid w:val="00B139C4"/>
    <w:rsid w:val="00B13B05"/>
    <w:rsid w:val="00B1404B"/>
    <w:rsid w:val="00B141C8"/>
    <w:rsid w:val="00B1443C"/>
    <w:rsid w:val="00B1488A"/>
    <w:rsid w:val="00B148EC"/>
    <w:rsid w:val="00B149C2"/>
    <w:rsid w:val="00B14C88"/>
    <w:rsid w:val="00B15AB7"/>
    <w:rsid w:val="00B15E9E"/>
    <w:rsid w:val="00B1631E"/>
    <w:rsid w:val="00B1638C"/>
    <w:rsid w:val="00B1666E"/>
    <w:rsid w:val="00B1709C"/>
    <w:rsid w:val="00B171A0"/>
    <w:rsid w:val="00B1741F"/>
    <w:rsid w:val="00B17739"/>
    <w:rsid w:val="00B202EB"/>
    <w:rsid w:val="00B2053F"/>
    <w:rsid w:val="00B20886"/>
    <w:rsid w:val="00B20912"/>
    <w:rsid w:val="00B20980"/>
    <w:rsid w:val="00B21042"/>
    <w:rsid w:val="00B21104"/>
    <w:rsid w:val="00B212AD"/>
    <w:rsid w:val="00B213F5"/>
    <w:rsid w:val="00B21888"/>
    <w:rsid w:val="00B21B52"/>
    <w:rsid w:val="00B22A93"/>
    <w:rsid w:val="00B22B48"/>
    <w:rsid w:val="00B22BA0"/>
    <w:rsid w:val="00B22BC7"/>
    <w:rsid w:val="00B22E5D"/>
    <w:rsid w:val="00B2317E"/>
    <w:rsid w:val="00B23749"/>
    <w:rsid w:val="00B2390A"/>
    <w:rsid w:val="00B23C54"/>
    <w:rsid w:val="00B23CFD"/>
    <w:rsid w:val="00B24305"/>
    <w:rsid w:val="00B24346"/>
    <w:rsid w:val="00B244B2"/>
    <w:rsid w:val="00B24706"/>
    <w:rsid w:val="00B247CF"/>
    <w:rsid w:val="00B248FE"/>
    <w:rsid w:val="00B250CA"/>
    <w:rsid w:val="00B2515C"/>
    <w:rsid w:val="00B254E6"/>
    <w:rsid w:val="00B256BB"/>
    <w:rsid w:val="00B260B1"/>
    <w:rsid w:val="00B26152"/>
    <w:rsid w:val="00B26154"/>
    <w:rsid w:val="00B2637C"/>
    <w:rsid w:val="00B263B7"/>
    <w:rsid w:val="00B272C0"/>
    <w:rsid w:val="00B276CD"/>
    <w:rsid w:val="00B2770B"/>
    <w:rsid w:val="00B27750"/>
    <w:rsid w:val="00B27FC8"/>
    <w:rsid w:val="00B30417"/>
    <w:rsid w:val="00B309A6"/>
    <w:rsid w:val="00B31201"/>
    <w:rsid w:val="00B31233"/>
    <w:rsid w:val="00B32124"/>
    <w:rsid w:val="00B3231D"/>
    <w:rsid w:val="00B323E7"/>
    <w:rsid w:val="00B3243D"/>
    <w:rsid w:val="00B327F2"/>
    <w:rsid w:val="00B33F0D"/>
    <w:rsid w:val="00B345E0"/>
    <w:rsid w:val="00B348FC"/>
    <w:rsid w:val="00B34C2B"/>
    <w:rsid w:val="00B34E1B"/>
    <w:rsid w:val="00B35214"/>
    <w:rsid w:val="00B354E4"/>
    <w:rsid w:val="00B35AA0"/>
    <w:rsid w:val="00B35B3A"/>
    <w:rsid w:val="00B3604C"/>
    <w:rsid w:val="00B364C7"/>
    <w:rsid w:val="00B36843"/>
    <w:rsid w:val="00B375F5"/>
    <w:rsid w:val="00B37752"/>
    <w:rsid w:val="00B37CE2"/>
    <w:rsid w:val="00B400C9"/>
    <w:rsid w:val="00B40143"/>
    <w:rsid w:val="00B4035B"/>
    <w:rsid w:val="00B405C4"/>
    <w:rsid w:val="00B40829"/>
    <w:rsid w:val="00B40BD0"/>
    <w:rsid w:val="00B4163F"/>
    <w:rsid w:val="00B41720"/>
    <w:rsid w:val="00B41B2D"/>
    <w:rsid w:val="00B41D5B"/>
    <w:rsid w:val="00B42BCC"/>
    <w:rsid w:val="00B4338E"/>
    <w:rsid w:val="00B43FB8"/>
    <w:rsid w:val="00B444F3"/>
    <w:rsid w:val="00B445EA"/>
    <w:rsid w:val="00B4487A"/>
    <w:rsid w:val="00B44A39"/>
    <w:rsid w:val="00B44BE2"/>
    <w:rsid w:val="00B45001"/>
    <w:rsid w:val="00B459A6"/>
    <w:rsid w:val="00B45E10"/>
    <w:rsid w:val="00B463EE"/>
    <w:rsid w:val="00B46A5B"/>
    <w:rsid w:val="00B46B22"/>
    <w:rsid w:val="00B46B79"/>
    <w:rsid w:val="00B47262"/>
    <w:rsid w:val="00B47615"/>
    <w:rsid w:val="00B47C1F"/>
    <w:rsid w:val="00B50AC7"/>
    <w:rsid w:val="00B510F4"/>
    <w:rsid w:val="00B5146A"/>
    <w:rsid w:val="00B514EE"/>
    <w:rsid w:val="00B516E0"/>
    <w:rsid w:val="00B518C9"/>
    <w:rsid w:val="00B51912"/>
    <w:rsid w:val="00B51C0D"/>
    <w:rsid w:val="00B51F89"/>
    <w:rsid w:val="00B52435"/>
    <w:rsid w:val="00B53D46"/>
    <w:rsid w:val="00B540AD"/>
    <w:rsid w:val="00B5421E"/>
    <w:rsid w:val="00B544D8"/>
    <w:rsid w:val="00B54561"/>
    <w:rsid w:val="00B5471A"/>
    <w:rsid w:val="00B54D6C"/>
    <w:rsid w:val="00B5536A"/>
    <w:rsid w:val="00B5587B"/>
    <w:rsid w:val="00B55AC4"/>
    <w:rsid w:val="00B5686C"/>
    <w:rsid w:val="00B56A20"/>
    <w:rsid w:val="00B5703F"/>
    <w:rsid w:val="00B571A6"/>
    <w:rsid w:val="00B57249"/>
    <w:rsid w:val="00B572AB"/>
    <w:rsid w:val="00B5743E"/>
    <w:rsid w:val="00B57587"/>
    <w:rsid w:val="00B57A1C"/>
    <w:rsid w:val="00B60BEB"/>
    <w:rsid w:val="00B60DB6"/>
    <w:rsid w:val="00B60E99"/>
    <w:rsid w:val="00B6107C"/>
    <w:rsid w:val="00B615EB"/>
    <w:rsid w:val="00B61B97"/>
    <w:rsid w:val="00B61D62"/>
    <w:rsid w:val="00B62A0E"/>
    <w:rsid w:val="00B63522"/>
    <w:rsid w:val="00B63EC4"/>
    <w:rsid w:val="00B63F2E"/>
    <w:rsid w:val="00B646A0"/>
    <w:rsid w:val="00B64D3E"/>
    <w:rsid w:val="00B64DCA"/>
    <w:rsid w:val="00B6564F"/>
    <w:rsid w:val="00B65BB0"/>
    <w:rsid w:val="00B65F0C"/>
    <w:rsid w:val="00B65F59"/>
    <w:rsid w:val="00B66770"/>
    <w:rsid w:val="00B679B5"/>
    <w:rsid w:val="00B67AD3"/>
    <w:rsid w:val="00B67B31"/>
    <w:rsid w:val="00B67CD4"/>
    <w:rsid w:val="00B67D9B"/>
    <w:rsid w:val="00B67F78"/>
    <w:rsid w:val="00B700A1"/>
    <w:rsid w:val="00B701A5"/>
    <w:rsid w:val="00B701B2"/>
    <w:rsid w:val="00B701F5"/>
    <w:rsid w:val="00B70BC2"/>
    <w:rsid w:val="00B7118F"/>
    <w:rsid w:val="00B712DF"/>
    <w:rsid w:val="00B71779"/>
    <w:rsid w:val="00B71B96"/>
    <w:rsid w:val="00B71BD7"/>
    <w:rsid w:val="00B72056"/>
    <w:rsid w:val="00B7221C"/>
    <w:rsid w:val="00B72768"/>
    <w:rsid w:val="00B73148"/>
    <w:rsid w:val="00B7325E"/>
    <w:rsid w:val="00B73373"/>
    <w:rsid w:val="00B73465"/>
    <w:rsid w:val="00B73594"/>
    <w:rsid w:val="00B74023"/>
    <w:rsid w:val="00B7410C"/>
    <w:rsid w:val="00B749E0"/>
    <w:rsid w:val="00B74D36"/>
    <w:rsid w:val="00B74E4A"/>
    <w:rsid w:val="00B754BB"/>
    <w:rsid w:val="00B759DB"/>
    <w:rsid w:val="00B76224"/>
    <w:rsid w:val="00B762F6"/>
    <w:rsid w:val="00B763DF"/>
    <w:rsid w:val="00B767D7"/>
    <w:rsid w:val="00B76EEC"/>
    <w:rsid w:val="00B772EA"/>
    <w:rsid w:val="00B777E4"/>
    <w:rsid w:val="00B77CF6"/>
    <w:rsid w:val="00B77EF1"/>
    <w:rsid w:val="00B803B2"/>
    <w:rsid w:val="00B80681"/>
    <w:rsid w:val="00B80791"/>
    <w:rsid w:val="00B80A49"/>
    <w:rsid w:val="00B8101B"/>
    <w:rsid w:val="00B8143C"/>
    <w:rsid w:val="00B814C5"/>
    <w:rsid w:val="00B8178A"/>
    <w:rsid w:val="00B821FC"/>
    <w:rsid w:val="00B8231C"/>
    <w:rsid w:val="00B8258E"/>
    <w:rsid w:val="00B82CB6"/>
    <w:rsid w:val="00B82E17"/>
    <w:rsid w:val="00B8366C"/>
    <w:rsid w:val="00B83954"/>
    <w:rsid w:val="00B8425E"/>
    <w:rsid w:val="00B843F7"/>
    <w:rsid w:val="00B8443D"/>
    <w:rsid w:val="00B84C4B"/>
    <w:rsid w:val="00B84F9C"/>
    <w:rsid w:val="00B84FF1"/>
    <w:rsid w:val="00B85046"/>
    <w:rsid w:val="00B8514B"/>
    <w:rsid w:val="00B855E6"/>
    <w:rsid w:val="00B8579E"/>
    <w:rsid w:val="00B8598D"/>
    <w:rsid w:val="00B85F43"/>
    <w:rsid w:val="00B86009"/>
    <w:rsid w:val="00B863D6"/>
    <w:rsid w:val="00B87152"/>
    <w:rsid w:val="00B87604"/>
    <w:rsid w:val="00B87BB9"/>
    <w:rsid w:val="00B90503"/>
    <w:rsid w:val="00B9089C"/>
    <w:rsid w:val="00B90962"/>
    <w:rsid w:val="00B90CDC"/>
    <w:rsid w:val="00B9185A"/>
    <w:rsid w:val="00B91B57"/>
    <w:rsid w:val="00B9205C"/>
    <w:rsid w:val="00B92779"/>
    <w:rsid w:val="00B92AA9"/>
    <w:rsid w:val="00B932F2"/>
    <w:rsid w:val="00B937A4"/>
    <w:rsid w:val="00B93BB6"/>
    <w:rsid w:val="00B93C75"/>
    <w:rsid w:val="00B94198"/>
    <w:rsid w:val="00B9444D"/>
    <w:rsid w:val="00B944B9"/>
    <w:rsid w:val="00B94562"/>
    <w:rsid w:val="00B947A7"/>
    <w:rsid w:val="00B947A8"/>
    <w:rsid w:val="00B94840"/>
    <w:rsid w:val="00B9503E"/>
    <w:rsid w:val="00B95380"/>
    <w:rsid w:val="00B95491"/>
    <w:rsid w:val="00B955DF"/>
    <w:rsid w:val="00B9567F"/>
    <w:rsid w:val="00B9571D"/>
    <w:rsid w:val="00B958CD"/>
    <w:rsid w:val="00B96231"/>
    <w:rsid w:val="00B97206"/>
    <w:rsid w:val="00B9743A"/>
    <w:rsid w:val="00B97C46"/>
    <w:rsid w:val="00B97DAB"/>
    <w:rsid w:val="00B97F40"/>
    <w:rsid w:val="00BA08F8"/>
    <w:rsid w:val="00BA0EDC"/>
    <w:rsid w:val="00BA0FD4"/>
    <w:rsid w:val="00BA1A04"/>
    <w:rsid w:val="00BA1C26"/>
    <w:rsid w:val="00BA226E"/>
    <w:rsid w:val="00BA27E6"/>
    <w:rsid w:val="00BA2BCE"/>
    <w:rsid w:val="00BA2EB4"/>
    <w:rsid w:val="00BA31EE"/>
    <w:rsid w:val="00BA3257"/>
    <w:rsid w:val="00BA3314"/>
    <w:rsid w:val="00BA34DD"/>
    <w:rsid w:val="00BA3566"/>
    <w:rsid w:val="00BA374D"/>
    <w:rsid w:val="00BA3D6A"/>
    <w:rsid w:val="00BA4D7F"/>
    <w:rsid w:val="00BA5742"/>
    <w:rsid w:val="00BA5C83"/>
    <w:rsid w:val="00BA5DF4"/>
    <w:rsid w:val="00BA681E"/>
    <w:rsid w:val="00BA6951"/>
    <w:rsid w:val="00BA6AB6"/>
    <w:rsid w:val="00BA6D2C"/>
    <w:rsid w:val="00BA6EAD"/>
    <w:rsid w:val="00BA771C"/>
    <w:rsid w:val="00BA7774"/>
    <w:rsid w:val="00BB030C"/>
    <w:rsid w:val="00BB04F8"/>
    <w:rsid w:val="00BB054A"/>
    <w:rsid w:val="00BB0643"/>
    <w:rsid w:val="00BB0B8F"/>
    <w:rsid w:val="00BB1475"/>
    <w:rsid w:val="00BB16F1"/>
    <w:rsid w:val="00BB1BF4"/>
    <w:rsid w:val="00BB1DF2"/>
    <w:rsid w:val="00BB2025"/>
    <w:rsid w:val="00BB20D1"/>
    <w:rsid w:val="00BB21ED"/>
    <w:rsid w:val="00BB24D3"/>
    <w:rsid w:val="00BB2707"/>
    <w:rsid w:val="00BB28A9"/>
    <w:rsid w:val="00BB2F55"/>
    <w:rsid w:val="00BB3698"/>
    <w:rsid w:val="00BB4527"/>
    <w:rsid w:val="00BB4FE2"/>
    <w:rsid w:val="00BB53DF"/>
    <w:rsid w:val="00BB55AD"/>
    <w:rsid w:val="00BB5931"/>
    <w:rsid w:val="00BB5950"/>
    <w:rsid w:val="00BB6757"/>
    <w:rsid w:val="00BB6A7C"/>
    <w:rsid w:val="00BB713F"/>
    <w:rsid w:val="00BB714A"/>
    <w:rsid w:val="00BB71F4"/>
    <w:rsid w:val="00BB7FD9"/>
    <w:rsid w:val="00BC04D0"/>
    <w:rsid w:val="00BC06F3"/>
    <w:rsid w:val="00BC089C"/>
    <w:rsid w:val="00BC0B32"/>
    <w:rsid w:val="00BC102E"/>
    <w:rsid w:val="00BC13F8"/>
    <w:rsid w:val="00BC17AC"/>
    <w:rsid w:val="00BC1EFB"/>
    <w:rsid w:val="00BC2102"/>
    <w:rsid w:val="00BC294C"/>
    <w:rsid w:val="00BC2970"/>
    <w:rsid w:val="00BC2E1F"/>
    <w:rsid w:val="00BC3238"/>
    <w:rsid w:val="00BC34AC"/>
    <w:rsid w:val="00BC3678"/>
    <w:rsid w:val="00BC3786"/>
    <w:rsid w:val="00BC38B4"/>
    <w:rsid w:val="00BC38B9"/>
    <w:rsid w:val="00BC3C4D"/>
    <w:rsid w:val="00BC4242"/>
    <w:rsid w:val="00BC4252"/>
    <w:rsid w:val="00BC461B"/>
    <w:rsid w:val="00BC4646"/>
    <w:rsid w:val="00BC482C"/>
    <w:rsid w:val="00BC4A00"/>
    <w:rsid w:val="00BC4A26"/>
    <w:rsid w:val="00BC4FBF"/>
    <w:rsid w:val="00BC5026"/>
    <w:rsid w:val="00BC5EF8"/>
    <w:rsid w:val="00BC61B2"/>
    <w:rsid w:val="00BC79DB"/>
    <w:rsid w:val="00BC7A86"/>
    <w:rsid w:val="00BC7ABF"/>
    <w:rsid w:val="00BC7B2D"/>
    <w:rsid w:val="00BD0103"/>
    <w:rsid w:val="00BD01AF"/>
    <w:rsid w:val="00BD02C9"/>
    <w:rsid w:val="00BD04AE"/>
    <w:rsid w:val="00BD04C7"/>
    <w:rsid w:val="00BD08BC"/>
    <w:rsid w:val="00BD0904"/>
    <w:rsid w:val="00BD0950"/>
    <w:rsid w:val="00BD0CE3"/>
    <w:rsid w:val="00BD0F5B"/>
    <w:rsid w:val="00BD1386"/>
    <w:rsid w:val="00BD14D5"/>
    <w:rsid w:val="00BD16E2"/>
    <w:rsid w:val="00BD1F46"/>
    <w:rsid w:val="00BD20FB"/>
    <w:rsid w:val="00BD2581"/>
    <w:rsid w:val="00BD2699"/>
    <w:rsid w:val="00BD34A7"/>
    <w:rsid w:val="00BD3C03"/>
    <w:rsid w:val="00BD3C40"/>
    <w:rsid w:val="00BD4371"/>
    <w:rsid w:val="00BD45B2"/>
    <w:rsid w:val="00BD4615"/>
    <w:rsid w:val="00BD51B0"/>
    <w:rsid w:val="00BD5284"/>
    <w:rsid w:val="00BD5BDE"/>
    <w:rsid w:val="00BD5FBA"/>
    <w:rsid w:val="00BD62DC"/>
    <w:rsid w:val="00BD63B9"/>
    <w:rsid w:val="00BD6606"/>
    <w:rsid w:val="00BD6987"/>
    <w:rsid w:val="00BD6B5B"/>
    <w:rsid w:val="00BD71D9"/>
    <w:rsid w:val="00BD731A"/>
    <w:rsid w:val="00BD7361"/>
    <w:rsid w:val="00BD760F"/>
    <w:rsid w:val="00BD7689"/>
    <w:rsid w:val="00BD78AB"/>
    <w:rsid w:val="00BD7C96"/>
    <w:rsid w:val="00BD7F9E"/>
    <w:rsid w:val="00BE0351"/>
    <w:rsid w:val="00BE066E"/>
    <w:rsid w:val="00BE0749"/>
    <w:rsid w:val="00BE07E0"/>
    <w:rsid w:val="00BE0B42"/>
    <w:rsid w:val="00BE0E8E"/>
    <w:rsid w:val="00BE1124"/>
    <w:rsid w:val="00BE141E"/>
    <w:rsid w:val="00BE1561"/>
    <w:rsid w:val="00BE197F"/>
    <w:rsid w:val="00BE1A9A"/>
    <w:rsid w:val="00BE1AC1"/>
    <w:rsid w:val="00BE27CE"/>
    <w:rsid w:val="00BE28C5"/>
    <w:rsid w:val="00BE2DA3"/>
    <w:rsid w:val="00BE312F"/>
    <w:rsid w:val="00BE3226"/>
    <w:rsid w:val="00BE389A"/>
    <w:rsid w:val="00BE39CD"/>
    <w:rsid w:val="00BE3ADF"/>
    <w:rsid w:val="00BE3C40"/>
    <w:rsid w:val="00BE3EA7"/>
    <w:rsid w:val="00BE4079"/>
    <w:rsid w:val="00BE4154"/>
    <w:rsid w:val="00BE45E4"/>
    <w:rsid w:val="00BE4686"/>
    <w:rsid w:val="00BE4719"/>
    <w:rsid w:val="00BE4828"/>
    <w:rsid w:val="00BE4F73"/>
    <w:rsid w:val="00BE54F4"/>
    <w:rsid w:val="00BE55B2"/>
    <w:rsid w:val="00BE565E"/>
    <w:rsid w:val="00BE57A4"/>
    <w:rsid w:val="00BE5859"/>
    <w:rsid w:val="00BE5A56"/>
    <w:rsid w:val="00BE74BA"/>
    <w:rsid w:val="00BE7AB0"/>
    <w:rsid w:val="00BE7B11"/>
    <w:rsid w:val="00BE7F82"/>
    <w:rsid w:val="00BF10C2"/>
    <w:rsid w:val="00BF1363"/>
    <w:rsid w:val="00BF160C"/>
    <w:rsid w:val="00BF17A1"/>
    <w:rsid w:val="00BF1907"/>
    <w:rsid w:val="00BF1B96"/>
    <w:rsid w:val="00BF1EF0"/>
    <w:rsid w:val="00BF2147"/>
    <w:rsid w:val="00BF21D5"/>
    <w:rsid w:val="00BF2A64"/>
    <w:rsid w:val="00BF305F"/>
    <w:rsid w:val="00BF3568"/>
    <w:rsid w:val="00BF3668"/>
    <w:rsid w:val="00BF3BB0"/>
    <w:rsid w:val="00BF4737"/>
    <w:rsid w:val="00BF4787"/>
    <w:rsid w:val="00BF48CD"/>
    <w:rsid w:val="00BF4E09"/>
    <w:rsid w:val="00BF520A"/>
    <w:rsid w:val="00BF5BB9"/>
    <w:rsid w:val="00BF5DCE"/>
    <w:rsid w:val="00BF5ED6"/>
    <w:rsid w:val="00BF5F35"/>
    <w:rsid w:val="00BF6005"/>
    <w:rsid w:val="00BF6C0E"/>
    <w:rsid w:val="00BF6C63"/>
    <w:rsid w:val="00BF6E33"/>
    <w:rsid w:val="00BF7077"/>
    <w:rsid w:val="00BF71C1"/>
    <w:rsid w:val="00BF74F4"/>
    <w:rsid w:val="00BF7C9C"/>
    <w:rsid w:val="00BF7EFA"/>
    <w:rsid w:val="00C00759"/>
    <w:rsid w:val="00C00BD8"/>
    <w:rsid w:val="00C00BDC"/>
    <w:rsid w:val="00C011E5"/>
    <w:rsid w:val="00C013B6"/>
    <w:rsid w:val="00C01F90"/>
    <w:rsid w:val="00C020B9"/>
    <w:rsid w:val="00C02207"/>
    <w:rsid w:val="00C02250"/>
    <w:rsid w:val="00C03554"/>
    <w:rsid w:val="00C037A1"/>
    <w:rsid w:val="00C04993"/>
    <w:rsid w:val="00C0506E"/>
    <w:rsid w:val="00C0526D"/>
    <w:rsid w:val="00C05562"/>
    <w:rsid w:val="00C05D24"/>
    <w:rsid w:val="00C05D69"/>
    <w:rsid w:val="00C05EDA"/>
    <w:rsid w:val="00C0674C"/>
    <w:rsid w:val="00C06CDB"/>
    <w:rsid w:val="00C06EE4"/>
    <w:rsid w:val="00C07051"/>
    <w:rsid w:val="00C0746A"/>
    <w:rsid w:val="00C07782"/>
    <w:rsid w:val="00C07FE7"/>
    <w:rsid w:val="00C113B4"/>
    <w:rsid w:val="00C115EB"/>
    <w:rsid w:val="00C116E5"/>
    <w:rsid w:val="00C118A6"/>
    <w:rsid w:val="00C118E6"/>
    <w:rsid w:val="00C11E80"/>
    <w:rsid w:val="00C12003"/>
    <w:rsid w:val="00C12907"/>
    <w:rsid w:val="00C12FD9"/>
    <w:rsid w:val="00C132C8"/>
    <w:rsid w:val="00C13308"/>
    <w:rsid w:val="00C13383"/>
    <w:rsid w:val="00C13818"/>
    <w:rsid w:val="00C13C8E"/>
    <w:rsid w:val="00C14459"/>
    <w:rsid w:val="00C14537"/>
    <w:rsid w:val="00C1567F"/>
    <w:rsid w:val="00C165FB"/>
    <w:rsid w:val="00C166B4"/>
    <w:rsid w:val="00C16AE5"/>
    <w:rsid w:val="00C16D0C"/>
    <w:rsid w:val="00C17161"/>
    <w:rsid w:val="00C1718A"/>
    <w:rsid w:val="00C1789D"/>
    <w:rsid w:val="00C17990"/>
    <w:rsid w:val="00C203AA"/>
    <w:rsid w:val="00C20538"/>
    <w:rsid w:val="00C2070E"/>
    <w:rsid w:val="00C207CC"/>
    <w:rsid w:val="00C2095F"/>
    <w:rsid w:val="00C214C1"/>
    <w:rsid w:val="00C2218A"/>
    <w:rsid w:val="00C224FA"/>
    <w:rsid w:val="00C22A6D"/>
    <w:rsid w:val="00C22EA9"/>
    <w:rsid w:val="00C23281"/>
    <w:rsid w:val="00C2423E"/>
    <w:rsid w:val="00C24E44"/>
    <w:rsid w:val="00C256BF"/>
    <w:rsid w:val="00C2665D"/>
    <w:rsid w:val="00C26813"/>
    <w:rsid w:val="00C2689E"/>
    <w:rsid w:val="00C26B6A"/>
    <w:rsid w:val="00C276D4"/>
    <w:rsid w:val="00C27938"/>
    <w:rsid w:val="00C27CE0"/>
    <w:rsid w:val="00C3040B"/>
    <w:rsid w:val="00C305BF"/>
    <w:rsid w:val="00C31059"/>
    <w:rsid w:val="00C315B9"/>
    <w:rsid w:val="00C322FE"/>
    <w:rsid w:val="00C32978"/>
    <w:rsid w:val="00C32A3B"/>
    <w:rsid w:val="00C33506"/>
    <w:rsid w:val="00C338C8"/>
    <w:rsid w:val="00C33AE9"/>
    <w:rsid w:val="00C34153"/>
    <w:rsid w:val="00C34A4A"/>
    <w:rsid w:val="00C35378"/>
    <w:rsid w:val="00C35676"/>
    <w:rsid w:val="00C357D9"/>
    <w:rsid w:val="00C35A61"/>
    <w:rsid w:val="00C35AE3"/>
    <w:rsid w:val="00C35B00"/>
    <w:rsid w:val="00C36137"/>
    <w:rsid w:val="00C3646C"/>
    <w:rsid w:val="00C36E84"/>
    <w:rsid w:val="00C3725A"/>
    <w:rsid w:val="00C3726F"/>
    <w:rsid w:val="00C377F0"/>
    <w:rsid w:val="00C37F86"/>
    <w:rsid w:val="00C402EB"/>
    <w:rsid w:val="00C40A0E"/>
    <w:rsid w:val="00C41335"/>
    <w:rsid w:val="00C415BC"/>
    <w:rsid w:val="00C41A22"/>
    <w:rsid w:val="00C41A9C"/>
    <w:rsid w:val="00C41AA4"/>
    <w:rsid w:val="00C41AB3"/>
    <w:rsid w:val="00C41D2D"/>
    <w:rsid w:val="00C41E09"/>
    <w:rsid w:val="00C41FB4"/>
    <w:rsid w:val="00C42235"/>
    <w:rsid w:val="00C42703"/>
    <w:rsid w:val="00C4285C"/>
    <w:rsid w:val="00C428AF"/>
    <w:rsid w:val="00C4313B"/>
    <w:rsid w:val="00C438FF"/>
    <w:rsid w:val="00C43AE5"/>
    <w:rsid w:val="00C43AF4"/>
    <w:rsid w:val="00C43FFA"/>
    <w:rsid w:val="00C44AAB"/>
    <w:rsid w:val="00C44C09"/>
    <w:rsid w:val="00C44D7A"/>
    <w:rsid w:val="00C4578E"/>
    <w:rsid w:val="00C459A4"/>
    <w:rsid w:val="00C45B3D"/>
    <w:rsid w:val="00C4628A"/>
    <w:rsid w:val="00C467DC"/>
    <w:rsid w:val="00C4681C"/>
    <w:rsid w:val="00C46AEF"/>
    <w:rsid w:val="00C46B8A"/>
    <w:rsid w:val="00C46E97"/>
    <w:rsid w:val="00C4706E"/>
    <w:rsid w:val="00C472CA"/>
    <w:rsid w:val="00C47DC6"/>
    <w:rsid w:val="00C47E95"/>
    <w:rsid w:val="00C47EBB"/>
    <w:rsid w:val="00C503C0"/>
    <w:rsid w:val="00C50480"/>
    <w:rsid w:val="00C508BC"/>
    <w:rsid w:val="00C509BB"/>
    <w:rsid w:val="00C509FF"/>
    <w:rsid w:val="00C5154E"/>
    <w:rsid w:val="00C51912"/>
    <w:rsid w:val="00C5199B"/>
    <w:rsid w:val="00C520B4"/>
    <w:rsid w:val="00C520F9"/>
    <w:rsid w:val="00C521B9"/>
    <w:rsid w:val="00C5232E"/>
    <w:rsid w:val="00C5247A"/>
    <w:rsid w:val="00C52C2C"/>
    <w:rsid w:val="00C52D99"/>
    <w:rsid w:val="00C53282"/>
    <w:rsid w:val="00C532D7"/>
    <w:rsid w:val="00C53773"/>
    <w:rsid w:val="00C53797"/>
    <w:rsid w:val="00C53B09"/>
    <w:rsid w:val="00C53FB3"/>
    <w:rsid w:val="00C5427D"/>
    <w:rsid w:val="00C5459A"/>
    <w:rsid w:val="00C54AB4"/>
    <w:rsid w:val="00C54CCD"/>
    <w:rsid w:val="00C54D2C"/>
    <w:rsid w:val="00C551D5"/>
    <w:rsid w:val="00C55667"/>
    <w:rsid w:val="00C55725"/>
    <w:rsid w:val="00C558D0"/>
    <w:rsid w:val="00C55A06"/>
    <w:rsid w:val="00C56367"/>
    <w:rsid w:val="00C569AC"/>
    <w:rsid w:val="00C56A50"/>
    <w:rsid w:val="00C576B3"/>
    <w:rsid w:val="00C57AC1"/>
    <w:rsid w:val="00C60201"/>
    <w:rsid w:val="00C6098F"/>
    <w:rsid w:val="00C60FE9"/>
    <w:rsid w:val="00C613E1"/>
    <w:rsid w:val="00C619EA"/>
    <w:rsid w:val="00C61D4F"/>
    <w:rsid w:val="00C61D9D"/>
    <w:rsid w:val="00C61F72"/>
    <w:rsid w:val="00C626F7"/>
    <w:rsid w:val="00C62BCA"/>
    <w:rsid w:val="00C62C54"/>
    <w:rsid w:val="00C63626"/>
    <w:rsid w:val="00C6392E"/>
    <w:rsid w:val="00C63DD3"/>
    <w:rsid w:val="00C63FF4"/>
    <w:rsid w:val="00C64048"/>
    <w:rsid w:val="00C64334"/>
    <w:rsid w:val="00C64683"/>
    <w:rsid w:val="00C64862"/>
    <w:rsid w:val="00C64952"/>
    <w:rsid w:val="00C64F05"/>
    <w:rsid w:val="00C64F7D"/>
    <w:rsid w:val="00C650F3"/>
    <w:rsid w:val="00C656C6"/>
    <w:rsid w:val="00C65BE5"/>
    <w:rsid w:val="00C65F76"/>
    <w:rsid w:val="00C65FB8"/>
    <w:rsid w:val="00C6662E"/>
    <w:rsid w:val="00C66E1F"/>
    <w:rsid w:val="00C66E3F"/>
    <w:rsid w:val="00C66FA3"/>
    <w:rsid w:val="00C67113"/>
    <w:rsid w:val="00C67130"/>
    <w:rsid w:val="00C6755D"/>
    <w:rsid w:val="00C703B5"/>
    <w:rsid w:val="00C7107A"/>
    <w:rsid w:val="00C71317"/>
    <w:rsid w:val="00C71797"/>
    <w:rsid w:val="00C72483"/>
    <w:rsid w:val="00C72F02"/>
    <w:rsid w:val="00C7318F"/>
    <w:rsid w:val="00C73342"/>
    <w:rsid w:val="00C73ACC"/>
    <w:rsid w:val="00C73F01"/>
    <w:rsid w:val="00C74797"/>
    <w:rsid w:val="00C758BE"/>
    <w:rsid w:val="00C75921"/>
    <w:rsid w:val="00C75CBC"/>
    <w:rsid w:val="00C765F2"/>
    <w:rsid w:val="00C767B0"/>
    <w:rsid w:val="00C76D27"/>
    <w:rsid w:val="00C8018F"/>
    <w:rsid w:val="00C80605"/>
    <w:rsid w:val="00C80950"/>
    <w:rsid w:val="00C80F2C"/>
    <w:rsid w:val="00C80FBB"/>
    <w:rsid w:val="00C813FA"/>
    <w:rsid w:val="00C81403"/>
    <w:rsid w:val="00C81A57"/>
    <w:rsid w:val="00C81D65"/>
    <w:rsid w:val="00C81FA9"/>
    <w:rsid w:val="00C8267C"/>
    <w:rsid w:val="00C826B7"/>
    <w:rsid w:val="00C82911"/>
    <w:rsid w:val="00C82E50"/>
    <w:rsid w:val="00C830CD"/>
    <w:rsid w:val="00C84585"/>
    <w:rsid w:val="00C847E6"/>
    <w:rsid w:val="00C84C68"/>
    <w:rsid w:val="00C84E0A"/>
    <w:rsid w:val="00C84FDB"/>
    <w:rsid w:val="00C8518C"/>
    <w:rsid w:val="00C852C8"/>
    <w:rsid w:val="00C8533F"/>
    <w:rsid w:val="00C8564F"/>
    <w:rsid w:val="00C8587F"/>
    <w:rsid w:val="00C85CFF"/>
    <w:rsid w:val="00C85ECC"/>
    <w:rsid w:val="00C8610D"/>
    <w:rsid w:val="00C86A2F"/>
    <w:rsid w:val="00C86D4D"/>
    <w:rsid w:val="00C86FD3"/>
    <w:rsid w:val="00C87706"/>
    <w:rsid w:val="00C87727"/>
    <w:rsid w:val="00C87F7D"/>
    <w:rsid w:val="00C9012C"/>
    <w:rsid w:val="00C90322"/>
    <w:rsid w:val="00C904C6"/>
    <w:rsid w:val="00C90A9E"/>
    <w:rsid w:val="00C90E0D"/>
    <w:rsid w:val="00C91604"/>
    <w:rsid w:val="00C91A38"/>
    <w:rsid w:val="00C91D05"/>
    <w:rsid w:val="00C924A0"/>
    <w:rsid w:val="00C92EDE"/>
    <w:rsid w:val="00C92F75"/>
    <w:rsid w:val="00C92FE8"/>
    <w:rsid w:val="00C932AF"/>
    <w:rsid w:val="00C93686"/>
    <w:rsid w:val="00C939A1"/>
    <w:rsid w:val="00C93D66"/>
    <w:rsid w:val="00C93EAA"/>
    <w:rsid w:val="00C94192"/>
    <w:rsid w:val="00C941D1"/>
    <w:rsid w:val="00C94F10"/>
    <w:rsid w:val="00C94FA8"/>
    <w:rsid w:val="00C9600F"/>
    <w:rsid w:val="00C9601C"/>
    <w:rsid w:val="00C960A9"/>
    <w:rsid w:val="00C96158"/>
    <w:rsid w:val="00C964A6"/>
    <w:rsid w:val="00C97611"/>
    <w:rsid w:val="00C9780B"/>
    <w:rsid w:val="00C9791E"/>
    <w:rsid w:val="00C97997"/>
    <w:rsid w:val="00CA0372"/>
    <w:rsid w:val="00CA040C"/>
    <w:rsid w:val="00CA0B92"/>
    <w:rsid w:val="00CA1377"/>
    <w:rsid w:val="00CA18CB"/>
    <w:rsid w:val="00CA1C75"/>
    <w:rsid w:val="00CA1EC1"/>
    <w:rsid w:val="00CA20A8"/>
    <w:rsid w:val="00CA2281"/>
    <w:rsid w:val="00CA24B5"/>
    <w:rsid w:val="00CA2F71"/>
    <w:rsid w:val="00CA3A5D"/>
    <w:rsid w:val="00CA42E5"/>
    <w:rsid w:val="00CA50C4"/>
    <w:rsid w:val="00CA519F"/>
    <w:rsid w:val="00CA533C"/>
    <w:rsid w:val="00CA53FB"/>
    <w:rsid w:val="00CA54ED"/>
    <w:rsid w:val="00CA5E30"/>
    <w:rsid w:val="00CA61B3"/>
    <w:rsid w:val="00CA6697"/>
    <w:rsid w:val="00CA682F"/>
    <w:rsid w:val="00CA6C86"/>
    <w:rsid w:val="00CA7077"/>
    <w:rsid w:val="00CA73A6"/>
    <w:rsid w:val="00CA7E34"/>
    <w:rsid w:val="00CB07BD"/>
    <w:rsid w:val="00CB0A43"/>
    <w:rsid w:val="00CB10D2"/>
    <w:rsid w:val="00CB11EB"/>
    <w:rsid w:val="00CB1C33"/>
    <w:rsid w:val="00CB21E0"/>
    <w:rsid w:val="00CB2A18"/>
    <w:rsid w:val="00CB2AFE"/>
    <w:rsid w:val="00CB2CF9"/>
    <w:rsid w:val="00CB2FF8"/>
    <w:rsid w:val="00CB356A"/>
    <w:rsid w:val="00CB38D1"/>
    <w:rsid w:val="00CB3E5E"/>
    <w:rsid w:val="00CB3F18"/>
    <w:rsid w:val="00CB409F"/>
    <w:rsid w:val="00CB4150"/>
    <w:rsid w:val="00CB4243"/>
    <w:rsid w:val="00CB44F2"/>
    <w:rsid w:val="00CB4E72"/>
    <w:rsid w:val="00CB51B3"/>
    <w:rsid w:val="00CB52BA"/>
    <w:rsid w:val="00CB5D18"/>
    <w:rsid w:val="00CB5F18"/>
    <w:rsid w:val="00CB659A"/>
    <w:rsid w:val="00CB6E50"/>
    <w:rsid w:val="00CB6FD6"/>
    <w:rsid w:val="00CB735C"/>
    <w:rsid w:val="00CB7541"/>
    <w:rsid w:val="00CB79BB"/>
    <w:rsid w:val="00CC073B"/>
    <w:rsid w:val="00CC0A21"/>
    <w:rsid w:val="00CC0BFC"/>
    <w:rsid w:val="00CC1074"/>
    <w:rsid w:val="00CC10E4"/>
    <w:rsid w:val="00CC1872"/>
    <w:rsid w:val="00CC1A6C"/>
    <w:rsid w:val="00CC2580"/>
    <w:rsid w:val="00CC3DCB"/>
    <w:rsid w:val="00CC42A2"/>
    <w:rsid w:val="00CC49A3"/>
    <w:rsid w:val="00CC4A18"/>
    <w:rsid w:val="00CC558C"/>
    <w:rsid w:val="00CC5F1B"/>
    <w:rsid w:val="00CC6E74"/>
    <w:rsid w:val="00CC6F7B"/>
    <w:rsid w:val="00CC7111"/>
    <w:rsid w:val="00CC74F3"/>
    <w:rsid w:val="00CC7CFF"/>
    <w:rsid w:val="00CD01BC"/>
    <w:rsid w:val="00CD02A4"/>
    <w:rsid w:val="00CD055E"/>
    <w:rsid w:val="00CD0D9F"/>
    <w:rsid w:val="00CD11CF"/>
    <w:rsid w:val="00CD1287"/>
    <w:rsid w:val="00CD172D"/>
    <w:rsid w:val="00CD1DF1"/>
    <w:rsid w:val="00CD29B2"/>
    <w:rsid w:val="00CD2FF4"/>
    <w:rsid w:val="00CD310C"/>
    <w:rsid w:val="00CD34F9"/>
    <w:rsid w:val="00CD38EB"/>
    <w:rsid w:val="00CD39E1"/>
    <w:rsid w:val="00CD3A90"/>
    <w:rsid w:val="00CD3C51"/>
    <w:rsid w:val="00CD3F0C"/>
    <w:rsid w:val="00CD416D"/>
    <w:rsid w:val="00CD4AA3"/>
    <w:rsid w:val="00CD52CC"/>
    <w:rsid w:val="00CD5AB4"/>
    <w:rsid w:val="00CD5D18"/>
    <w:rsid w:val="00CD5FA5"/>
    <w:rsid w:val="00CD6206"/>
    <w:rsid w:val="00CD66AF"/>
    <w:rsid w:val="00CD670D"/>
    <w:rsid w:val="00CD6AF9"/>
    <w:rsid w:val="00CD6BF1"/>
    <w:rsid w:val="00CD6C0D"/>
    <w:rsid w:val="00CD6DE5"/>
    <w:rsid w:val="00CD6E20"/>
    <w:rsid w:val="00CD71FB"/>
    <w:rsid w:val="00CD722B"/>
    <w:rsid w:val="00CD72C3"/>
    <w:rsid w:val="00CD7452"/>
    <w:rsid w:val="00CD75D3"/>
    <w:rsid w:val="00CD75EC"/>
    <w:rsid w:val="00CD765E"/>
    <w:rsid w:val="00CD77E2"/>
    <w:rsid w:val="00CD7B35"/>
    <w:rsid w:val="00CD7E9A"/>
    <w:rsid w:val="00CE0028"/>
    <w:rsid w:val="00CE0539"/>
    <w:rsid w:val="00CE0990"/>
    <w:rsid w:val="00CE0999"/>
    <w:rsid w:val="00CE0B5B"/>
    <w:rsid w:val="00CE0B97"/>
    <w:rsid w:val="00CE0C36"/>
    <w:rsid w:val="00CE0F58"/>
    <w:rsid w:val="00CE101E"/>
    <w:rsid w:val="00CE179B"/>
    <w:rsid w:val="00CE1DBB"/>
    <w:rsid w:val="00CE1F74"/>
    <w:rsid w:val="00CE2161"/>
    <w:rsid w:val="00CE22FF"/>
    <w:rsid w:val="00CE2787"/>
    <w:rsid w:val="00CE28E0"/>
    <w:rsid w:val="00CE3A14"/>
    <w:rsid w:val="00CE3A57"/>
    <w:rsid w:val="00CE3EBE"/>
    <w:rsid w:val="00CE437B"/>
    <w:rsid w:val="00CE445C"/>
    <w:rsid w:val="00CE4658"/>
    <w:rsid w:val="00CE47A9"/>
    <w:rsid w:val="00CE5747"/>
    <w:rsid w:val="00CE5810"/>
    <w:rsid w:val="00CE5D9E"/>
    <w:rsid w:val="00CE600E"/>
    <w:rsid w:val="00CE6688"/>
    <w:rsid w:val="00CE6712"/>
    <w:rsid w:val="00CE6F5B"/>
    <w:rsid w:val="00CE707A"/>
    <w:rsid w:val="00CE782E"/>
    <w:rsid w:val="00CE79C7"/>
    <w:rsid w:val="00CF0F37"/>
    <w:rsid w:val="00CF102B"/>
    <w:rsid w:val="00CF160A"/>
    <w:rsid w:val="00CF19A1"/>
    <w:rsid w:val="00CF1C46"/>
    <w:rsid w:val="00CF340E"/>
    <w:rsid w:val="00CF3921"/>
    <w:rsid w:val="00CF3A1F"/>
    <w:rsid w:val="00CF4363"/>
    <w:rsid w:val="00CF4499"/>
    <w:rsid w:val="00CF4535"/>
    <w:rsid w:val="00CF4E8F"/>
    <w:rsid w:val="00CF512B"/>
    <w:rsid w:val="00CF519D"/>
    <w:rsid w:val="00CF51F7"/>
    <w:rsid w:val="00CF5545"/>
    <w:rsid w:val="00CF58E6"/>
    <w:rsid w:val="00CF63F7"/>
    <w:rsid w:val="00CF667F"/>
    <w:rsid w:val="00CF6A59"/>
    <w:rsid w:val="00CF6D79"/>
    <w:rsid w:val="00CF6DF3"/>
    <w:rsid w:val="00CF71A2"/>
    <w:rsid w:val="00CF7551"/>
    <w:rsid w:val="00CF755A"/>
    <w:rsid w:val="00CF7B1E"/>
    <w:rsid w:val="00D00251"/>
    <w:rsid w:val="00D004B0"/>
    <w:rsid w:val="00D007CE"/>
    <w:rsid w:val="00D00820"/>
    <w:rsid w:val="00D01101"/>
    <w:rsid w:val="00D017D2"/>
    <w:rsid w:val="00D020DE"/>
    <w:rsid w:val="00D0282B"/>
    <w:rsid w:val="00D02A17"/>
    <w:rsid w:val="00D02D8D"/>
    <w:rsid w:val="00D02FC7"/>
    <w:rsid w:val="00D03115"/>
    <w:rsid w:val="00D03893"/>
    <w:rsid w:val="00D04489"/>
    <w:rsid w:val="00D0459D"/>
    <w:rsid w:val="00D045FF"/>
    <w:rsid w:val="00D04A68"/>
    <w:rsid w:val="00D04D1D"/>
    <w:rsid w:val="00D05541"/>
    <w:rsid w:val="00D056F8"/>
    <w:rsid w:val="00D05A1E"/>
    <w:rsid w:val="00D062BA"/>
    <w:rsid w:val="00D06603"/>
    <w:rsid w:val="00D068BF"/>
    <w:rsid w:val="00D06A6A"/>
    <w:rsid w:val="00D06ADB"/>
    <w:rsid w:val="00D070E2"/>
    <w:rsid w:val="00D075F7"/>
    <w:rsid w:val="00D07932"/>
    <w:rsid w:val="00D07C7E"/>
    <w:rsid w:val="00D07CF8"/>
    <w:rsid w:val="00D1009C"/>
    <w:rsid w:val="00D10830"/>
    <w:rsid w:val="00D10912"/>
    <w:rsid w:val="00D10C50"/>
    <w:rsid w:val="00D10DEB"/>
    <w:rsid w:val="00D114DD"/>
    <w:rsid w:val="00D11AF1"/>
    <w:rsid w:val="00D11F7D"/>
    <w:rsid w:val="00D138E5"/>
    <w:rsid w:val="00D139C4"/>
    <w:rsid w:val="00D13A4F"/>
    <w:rsid w:val="00D13B84"/>
    <w:rsid w:val="00D13E8A"/>
    <w:rsid w:val="00D13F82"/>
    <w:rsid w:val="00D1465F"/>
    <w:rsid w:val="00D149A9"/>
    <w:rsid w:val="00D14C06"/>
    <w:rsid w:val="00D14C60"/>
    <w:rsid w:val="00D14CD9"/>
    <w:rsid w:val="00D14EF0"/>
    <w:rsid w:val="00D15318"/>
    <w:rsid w:val="00D15399"/>
    <w:rsid w:val="00D155B0"/>
    <w:rsid w:val="00D1560B"/>
    <w:rsid w:val="00D15A85"/>
    <w:rsid w:val="00D15CBE"/>
    <w:rsid w:val="00D1612D"/>
    <w:rsid w:val="00D1636E"/>
    <w:rsid w:val="00D16430"/>
    <w:rsid w:val="00D1651A"/>
    <w:rsid w:val="00D16B59"/>
    <w:rsid w:val="00D16D02"/>
    <w:rsid w:val="00D17271"/>
    <w:rsid w:val="00D178C0"/>
    <w:rsid w:val="00D17CA7"/>
    <w:rsid w:val="00D17DC9"/>
    <w:rsid w:val="00D2009B"/>
    <w:rsid w:val="00D20809"/>
    <w:rsid w:val="00D20CFA"/>
    <w:rsid w:val="00D21336"/>
    <w:rsid w:val="00D21382"/>
    <w:rsid w:val="00D214EA"/>
    <w:rsid w:val="00D2169F"/>
    <w:rsid w:val="00D21D78"/>
    <w:rsid w:val="00D223E3"/>
    <w:rsid w:val="00D22513"/>
    <w:rsid w:val="00D229D5"/>
    <w:rsid w:val="00D23C20"/>
    <w:rsid w:val="00D248B8"/>
    <w:rsid w:val="00D24E15"/>
    <w:rsid w:val="00D24EDD"/>
    <w:rsid w:val="00D25801"/>
    <w:rsid w:val="00D2594B"/>
    <w:rsid w:val="00D25A2E"/>
    <w:rsid w:val="00D267BB"/>
    <w:rsid w:val="00D278B6"/>
    <w:rsid w:val="00D278F7"/>
    <w:rsid w:val="00D27C3E"/>
    <w:rsid w:val="00D308D9"/>
    <w:rsid w:val="00D30EF7"/>
    <w:rsid w:val="00D30F4B"/>
    <w:rsid w:val="00D31384"/>
    <w:rsid w:val="00D318DD"/>
    <w:rsid w:val="00D31C6A"/>
    <w:rsid w:val="00D3285D"/>
    <w:rsid w:val="00D328AD"/>
    <w:rsid w:val="00D32DE2"/>
    <w:rsid w:val="00D32E09"/>
    <w:rsid w:val="00D33038"/>
    <w:rsid w:val="00D33A24"/>
    <w:rsid w:val="00D33AFB"/>
    <w:rsid w:val="00D33C03"/>
    <w:rsid w:val="00D33D64"/>
    <w:rsid w:val="00D340BF"/>
    <w:rsid w:val="00D346C4"/>
    <w:rsid w:val="00D34968"/>
    <w:rsid w:val="00D34B08"/>
    <w:rsid w:val="00D34B4F"/>
    <w:rsid w:val="00D35224"/>
    <w:rsid w:val="00D35581"/>
    <w:rsid w:val="00D355C9"/>
    <w:rsid w:val="00D355F1"/>
    <w:rsid w:val="00D358B1"/>
    <w:rsid w:val="00D35ADD"/>
    <w:rsid w:val="00D368F1"/>
    <w:rsid w:val="00D36B15"/>
    <w:rsid w:val="00D36B29"/>
    <w:rsid w:val="00D374C8"/>
    <w:rsid w:val="00D3752A"/>
    <w:rsid w:val="00D3757F"/>
    <w:rsid w:val="00D379C9"/>
    <w:rsid w:val="00D37A71"/>
    <w:rsid w:val="00D402ED"/>
    <w:rsid w:val="00D4038D"/>
    <w:rsid w:val="00D40561"/>
    <w:rsid w:val="00D408AF"/>
    <w:rsid w:val="00D40E50"/>
    <w:rsid w:val="00D41086"/>
    <w:rsid w:val="00D41869"/>
    <w:rsid w:val="00D42030"/>
    <w:rsid w:val="00D422A2"/>
    <w:rsid w:val="00D422FC"/>
    <w:rsid w:val="00D4281C"/>
    <w:rsid w:val="00D42C57"/>
    <w:rsid w:val="00D43083"/>
    <w:rsid w:val="00D43210"/>
    <w:rsid w:val="00D44321"/>
    <w:rsid w:val="00D4459F"/>
    <w:rsid w:val="00D44B99"/>
    <w:rsid w:val="00D44FA2"/>
    <w:rsid w:val="00D457F5"/>
    <w:rsid w:val="00D45B25"/>
    <w:rsid w:val="00D4680B"/>
    <w:rsid w:val="00D46C25"/>
    <w:rsid w:val="00D47092"/>
    <w:rsid w:val="00D4714B"/>
    <w:rsid w:val="00D472EB"/>
    <w:rsid w:val="00D475AA"/>
    <w:rsid w:val="00D50288"/>
    <w:rsid w:val="00D5051E"/>
    <w:rsid w:val="00D50D2E"/>
    <w:rsid w:val="00D5141C"/>
    <w:rsid w:val="00D518C7"/>
    <w:rsid w:val="00D519CD"/>
    <w:rsid w:val="00D51D76"/>
    <w:rsid w:val="00D52079"/>
    <w:rsid w:val="00D52156"/>
    <w:rsid w:val="00D53193"/>
    <w:rsid w:val="00D534C8"/>
    <w:rsid w:val="00D543E6"/>
    <w:rsid w:val="00D54DDD"/>
    <w:rsid w:val="00D54F42"/>
    <w:rsid w:val="00D55875"/>
    <w:rsid w:val="00D55E31"/>
    <w:rsid w:val="00D561A7"/>
    <w:rsid w:val="00D56B0F"/>
    <w:rsid w:val="00D56FD6"/>
    <w:rsid w:val="00D57189"/>
    <w:rsid w:val="00D572C2"/>
    <w:rsid w:val="00D57703"/>
    <w:rsid w:val="00D60D68"/>
    <w:rsid w:val="00D60EF2"/>
    <w:rsid w:val="00D616E2"/>
    <w:rsid w:val="00D61A40"/>
    <w:rsid w:val="00D61D2F"/>
    <w:rsid w:val="00D61D33"/>
    <w:rsid w:val="00D62125"/>
    <w:rsid w:val="00D6221E"/>
    <w:rsid w:val="00D6223E"/>
    <w:rsid w:val="00D62277"/>
    <w:rsid w:val="00D6263C"/>
    <w:rsid w:val="00D6305B"/>
    <w:rsid w:val="00D633DC"/>
    <w:rsid w:val="00D63907"/>
    <w:rsid w:val="00D6391E"/>
    <w:rsid w:val="00D639D5"/>
    <w:rsid w:val="00D63D90"/>
    <w:rsid w:val="00D63E33"/>
    <w:rsid w:val="00D64172"/>
    <w:rsid w:val="00D64201"/>
    <w:rsid w:val="00D646A4"/>
    <w:rsid w:val="00D64D5C"/>
    <w:rsid w:val="00D64F68"/>
    <w:rsid w:val="00D6528E"/>
    <w:rsid w:val="00D65354"/>
    <w:rsid w:val="00D65911"/>
    <w:rsid w:val="00D65C81"/>
    <w:rsid w:val="00D65EE5"/>
    <w:rsid w:val="00D66057"/>
    <w:rsid w:val="00D66521"/>
    <w:rsid w:val="00D66BEA"/>
    <w:rsid w:val="00D66BEB"/>
    <w:rsid w:val="00D677A4"/>
    <w:rsid w:val="00D678FF"/>
    <w:rsid w:val="00D6795B"/>
    <w:rsid w:val="00D67A97"/>
    <w:rsid w:val="00D67E82"/>
    <w:rsid w:val="00D67EC8"/>
    <w:rsid w:val="00D702F3"/>
    <w:rsid w:val="00D70351"/>
    <w:rsid w:val="00D7042B"/>
    <w:rsid w:val="00D704DA"/>
    <w:rsid w:val="00D7076D"/>
    <w:rsid w:val="00D70ACA"/>
    <w:rsid w:val="00D7176E"/>
    <w:rsid w:val="00D720B6"/>
    <w:rsid w:val="00D72381"/>
    <w:rsid w:val="00D726DB"/>
    <w:rsid w:val="00D72B31"/>
    <w:rsid w:val="00D734D7"/>
    <w:rsid w:val="00D734E9"/>
    <w:rsid w:val="00D73B3F"/>
    <w:rsid w:val="00D73E8F"/>
    <w:rsid w:val="00D74335"/>
    <w:rsid w:val="00D74C17"/>
    <w:rsid w:val="00D74E02"/>
    <w:rsid w:val="00D75047"/>
    <w:rsid w:val="00D7537B"/>
    <w:rsid w:val="00D756A0"/>
    <w:rsid w:val="00D757E9"/>
    <w:rsid w:val="00D76835"/>
    <w:rsid w:val="00D76868"/>
    <w:rsid w:val="00D76A0A"/>
    <w:rsid w:val="00D76C97"/>
    <w:rsid w:val="00D77612"/>
    <w:rsid w:val="00D77639"/>
    <w:rsid w:val="00D77918"/>
    <w:rsid w:val="00D80152"/>
    <w:rsid w:val="00D80DC6"/>
    <w:rsid w:val="00D80E0A"/>
    <w:rsid w:val="00D80E39"/>
    <w:rsid w:val="00D80F64"/>
    <w:rsid w:val="00D81DCB"/>
    <w:rsid w:val="00D823C3"/>
    <w:rsid w:val="00D82515"/>
    <w:rsid w:val="00D825F0"/>
    <w:rsid w:val="00D82C29"/>
    <w:rsid w:val="00D82C6F"/>
    <w:rsid w:val="00D83196"/>
    <w:rsid w:val="00D83457"/>
    <w:rsid w:val="00D837C4"/>
    <w:rsid w:val="00D839E1"/>
    <w:rsid w:val="00D843A0"/>
    <w:rsid w:val="00D84BC7"/>
    <w:rsid w:val="00D84C51"/>
    <w:rsid w:val="00D84F11"/>
    <w:rsid w:val="00D8506A"/>
    <w:rsid w:val="00D85293"/>
    <w:rsid w:val="00D8587C"/>
    <w:rsid w:val="00D85A76"/>
    <w:rsid w:val="00D865A7"/>
    <w:rsid w:val="00D86A79"/>
    <w:rsid w:val="00D905DF"/>
    <w:rsid w:val="00D90E91"/>
    <w:rsid w:val="00D910D0"/>
    <w:rsid w:val="00D91237"/>
    <w:rsid w:val="00D920FC"/>
    <w:rsid w:val="00D9251F"/>
    <w:rsid w:val="00D93693"/>
    <w:rsid w:val="00D93BCC"/>
    <w:rsid w:val="00D93D31"/>
    <w:rsid w:val="00D93E74"/>
    <w:rsid w:val="00D93E7B"/>
    <w:rsid w:val="00D9430C"/>
    <w:rsid w:val="00D9434A"/>
    <w:rsid w:val="00D950C6"/>
    <w:rsid w:val="00D955AF"/>
    <w:rsid w:val="00D9573A"/>
    <w:rsid w:val="00D958A9"/>
    <w:rsid w:val="00D9591F"/>
    <w:rsid w:val="00D95D82"/>
    <w:rsid w:val="00D95D9E"/>
    <w:rsid w:val="00D95F97"/>
    <w:rsid w:val="00D967D7"/>
    <w:rsid w:val="00D97091"/>
    <w:rsid w:val="00D972A5"/>
    <w:rsid w:val="00D97B1C"/>
    <w:rsid w:val="00D97B5D"/>
    <w:rsid w:val="00DA00B6"/>
    <w:rsid w:val="00DA0850"/>
    <w:rsid w:val="00DA1648"/>
    <w:rsid w:val="00DA1BE6"/>
    <w:rsid w:val="00DA1C64"/>
    <w:rsid w:val="00DA2551"/>
    <w:rsid w:val="00DA2A14"/>
    <w:rsid w:val="00DA2AD4"/>
    <w:rsid w:val="00DA2D6F"/>
    <w:rsid w:val="00DA2D9E"/>
    <w:rsid w:val="00DA37D6"/>
    <w:rsid w:val="00DA38A2"/>
    <w:rsid w:val="00DA4045"/>
    <w:rsid w:val="00DA44AD"/>
    <w:rsid w:val="00DA48A5"/>
    <w:rsid w:val="00DA4C13"/>
    <w:rsid w:val="00DA4C43"/>
    <w:rsid w:val="00DA4E8C"/>
    <w:rsid w:val="00DA5404"/>
    <w:rsid w:val="00DA5E83"/>
    <w:rsid w:val="00DA6191"/>
    <w:rsid w:val="00DA6560"/>
    <w:rsid w:val="00DA66E4"/>
    <w:rsid w:val="00DA6DBC"/>
    <w:rsid w:val="00DA6DD5"/>
    <w:rsid w:val="00DA7593"/>
    <w:rsid w:val="00DA7677"/>
    <w:rsid w:val="00DA7C85"/>
    <w:rsid w:val="00DA7F8E"/>
    <w:rsid w:val="00DB092A"/>
    <w:rsid w:val="00DB100D"/>
    <w:rsid w:val="00DB11B3"/>
    <w:rsid w:val="00DB16A8"/>
    <w:rsid w:val="00DB1998"/>
    <w:rsid w:val="00DB2627"/>
    <w:rsid w:val="00DB2768"/>
    <w:rsid w:val="00DB30E5"/>
    <w:rsid w:val="00DB3452"/>
    <w:rsid w:val="00DB3FB9"/>
    <w:rsid w:val="00DB4665"/>
    <w:rsid w:val="00DB4C5F"/>
    <w:rsid w:val="00DB50E9"/>
    <w:rsid w:val="00DB50F1"/>
    <w:rsid w:val="00DB58DB"/>
    <w:rsid w:val="00DB58F9"/>
    <w:rsid w:val="00DB6354"/>
    <w:rsid w:val="00DB6B69"/>
    <w:rsid w:val="00DB6BE4"/>
    <w:rsid w:val="00DB73F2"/>
    <w:rsid w:val="00DB7C68"/>
    <w:rsid w:val="00DC031B"/>
    <w:rsid w:val="00DC08FD"/>
    <w:rsid w:val="00DC0B9E"/>
    <w:rsid w:val="00DC10C9"/>
    <w:rsid w:val="00DC127D"/>
    <w:rsid w:val="00DC1291"/>
    <w:rsid w:val="00DC1544"/>
    <w:rsid w:val="00DC1A87"/>
    <w:rsid w:val="00DC1B9F"/>
    <w:rsid w:val="00DC205D"/>
    <w:rsid w:val="00DC214A"/>
    <w:rsid w:val="00DC2155"/>
    <w:rsid w:val="00DC23CE"/>
    <w:rsid w:val="00DC24F7"/>
    <w:rsid w:val="00DC29A7"/>
    <w:rsid w:val="00DC2CFF"/>
    <w:rsid w:val="00DC2F9D"/>
    <w:rsid w:val="00DC3340"/>
    <w:rsid w:val="00DC3D1A"/>
    <w:rsid w:val="00DC4147"/>
    <w:rsid w:val="00DC4619"/>
    <w:rsid w:val="00DC47E0"/>
    <w:rsid w:val="00DC5100"/>
    <w:rsid w:val="00DC51C1"/>
    <w:rsid w:val="00DC5343"/>
    <w:rsid w:val="00DC5DCA"/>
    <w:rsid w:val="00DC5E79"/>
    <w:rsid w:val="00DC62AD"/>
    <w:rsid w:val="00DC67DC"/>
    <w:rsid w:val="00DC67E6"/>
    <w:rsid w:val="00DC71B7"/>
    <w:rsid w:val="00DC7457"/>
    <w:rsid w:val="00DC7636"/>
    <w:rsid w:val="00DD087C"/>
    <w:rsid w:val="00DD08D1"/>
    <w:rsid w:val="00DD0CC8"/>
    <w:rsid w:val="00DD1677"/>
    <w:rsid w:val="00DD21A3"/>
    <w:rsid w:val="00DD2DFF"/>
    <w:rsid w:val="00DD31AD"/>
    <w:rsid w:val="00DD3478"/>
    <w:rsid w:val="00DD36D7"/>
    <w:rsid w:val="00DD3A1C"/>
    <w:rsid w:val="00DD3C71"/>
    <w:rsid w:val="00DD3FD0"/>
    <w:rsid w:val="00DD48A0"/>
    <w:rsid w:val="00DD4DF7"/>
    <w:rsid w:val="00DD5159"/>
    <w:rsid w:val="00DD537A"/>
    <w:rsid w:val="00DD54E4"/>
    <w:rsid w:val="00DD57DA"/>
    <w:rsid w:val="00DD5C60"/>
    <w:rsid w:val="00DD60A2"/>
    <w:rsid w:val="00DD690D"/>
    <w:rsid w:val="00DD6DC7"/>
    <w:rsid w:val="00DD7505"/>
    <w:rsid w:val="00DE00E3"/>
    <w:rsid w:val="00DE00EB"/>
    <w:rsid w:val="00DE07B0"/>
    <w:rsid w:val="00DE0F00"/>
    <w:rsid w:val="00DE1011"/>
    <w:rsid w:val="00DE174F"/>
    <w:rsid w:val="00DE178C"/>
    <w:rsid w:val="00DE1C08"/>
    <w:rsid w:val="00DE2354"/>
    <w:rsid w:val="00DE2457"/>
    <w:rsid w:val="00DE2619"/>
    <w:rsid w:val="00DE2B42"/>
    <w:rsid w:val="00DE2C67"/>
    <w:rsid w:val="00DE30A7"/>
    <w:rsid w:val="00DE3110"/>
    <w:rsid w:val="00DE3929"/>
    <w:rsid w:val="00DE3C7B"/>
    <w:rsid w:val="00DE406E"/>
    <w:rsid w:val="00DE4326"/>
    <w:rsid w:val="00DE4390"/>
    <w:rsid w:val="00DE45A3"/>
    <w:rsid w:val="00DE477F"/>
    <w:rsid w:val="00DE4BF6"/>
    <w:rsid w:val="00DE4E2A"/>
    <w:rsid w:val="00DE5114"/>
    <w:rsid w:val="00DE515C"/>
    <w:rsid w:val="00DE527F"/>
    <w:rsid w:val="00DE56EA"/>
    <w:rsid w:val="00DE5C62"/>
    <w:rsid w:val="00DE5EAA"/>
    <w:rsid w:val="00DE607F"/>
    <w:rsid w:val="00DE6DC5"/>
    <w:rsid w:val="00DE6DCE"/>
    <w:rsid w:val="00DE6E02"/>
    <w:rsid w:val="00DE7678"/>
    <w:rsid w:val="00DE76E0"/>
    <w:rsid w:val="00DE7931"/>
    <w:rsid w:val="00DE7C65"/>
    <w:rsid w:val="00DE7C75"/>
    <w:rsid w:val="00DE7EFD"/>
    <w:rsid w:val="00DE7F61"/>
    <w:rsid w:val="00DF033D"/>
    <w:rsid w:val="00DF03DC"/>
    <w:rsid w:val="00DF07EC"/>
    <w:rsid w:val="00DF0AAF"/>
    <w:rsid w:val="00DF0C3C"/>
    <w:rsid w:val="00DF0E3B"/>
    <w:rsid w:val="00DF121F"/>
    <w:rsid w:val="00DF28DB"/>
    <w:rsid w:val="00DF294F"/>
    <w:rsid w:val="00DF29C0"/>
    <w:rsid w:val="00DF2A27"/>
    <w:rsid w:val="00DF2ED7"/>
    <w:rsid w:val="00DF32F5"/>
    <w:rsid w:val="00DF364E"/>
    <w:rsid w:val="00DF3D0C"/>
    <w:rsid w:val="00DF3EE2"/>
    <w:rsid w:val="00DF3F81"/>
    <w:rsid w:val="00DF43FA"/>
    <w:rsid w:val="00DF493D"/>
    <w:rsid w:val="00DF49DF"/>
    <w:rsid w:val="00DF5617"/>
    <w:rsid w:val="00DF60D6"/>
    <w:rsid w:val="00DF6A42"/>
    <w:rsid w:val="00DF6D81"/>
    <w:rsid w:val="00DF71E6"/>
    <w:rsid w:val="00DF743E"/>
    <w:rsid w:val="00DF7CF6"/>
    <w:rsid w:val="00E00026"/>
    <w:rsid w:val="00E00928"/>
    <w:rsid w:val="00E01158"/>
    <w:rsid w:val="00E01729"/>
    <w:rsid w:val="00E01D1A"/>
    <w:rsid w:val="00E01DBD"/>
    <w:rsid w:val="00E01EC1"/>
    <w:rsid w:val="00E02ACD"/>
    <w:rsid w:val="00E02E73"/>
    <w:rsid w:val="00E02EC2"/>
    <w:rsid w:val="00E03153"/>
    <w:rsid w:val="00E03201"/>
    <w:rsid w:val="00E037B6"/>
    <w:rsid w:val="00E038A8"/>
    <w:rsid w:val="00E041D7"/>
    <w:rsid w:val="00E045E6"/>
    <w:rsid w:val="00E04617"/>
    <w:rsid w:val="00E04778"/>
    <w:rsid w:val="00E0486E"/>
    <w:rsid w:val="00E04E05"/>
    <w:rsid w:val="00E04E28"/>
    <w:rsid w:val="00E05098"/>
    <w:rsid w:val="00E052C6"/>
    <w:rsid w:val="00E054C2"/>
    <w:rsid w:val="00E05530"/>
    <w:rsid w:val="00E0574E"/>
    <w:rsid w:val="00E0592E"/>
    <w:rsid w:val="00E0611C"/>
    <w:rsid w:val="00E061B7"/>
    <w:rsid w:val="00E068DF"/>
    <w:rsid w:val="00E06B67"/>
    <w:rsid w:val="00E06BBA"/>
    <w:rsid w:val="00E06EDA"/>
    <w:rsid w:val="00E06FBD"/>
    <w:rsid w:val="00E07464"/>
    <w:rsid w:val="00E079EC"/>
    <w:rsid w:val="00E07BBB"/>
    <w:rsid w:val="00E10762"/>
    <w:rsid w:val="00E11478"/>
    <w:rsid w:val="00E117CD"/>
    <w:rsid w:val="00E11B92"/>
    <w:rsid w:val="00E12040"/>
    <w:rsid w:val="00E120EB"/>
    <w:rsid w:val="00E124A0"/>
    <w:rsid w:val="00E124FF"/>
    <w:rsid w:val="00E126C6"/>
    <w:rsid w:val="00E12732"/>
    <w:rsid w:val="00E12D9F"/>
    <w:rsid w:val="00E12DAE"/>
    <w:rsid w:val="00E12FAB"/>
    <w:rsid w:val="00E131B5"/>
    <w:rsid w:val="00E134BA"/>
    <w:rsid w:val="00E1350D"/>
    <w:rsid w:val="00E137D6"/>
    <w:rsid w:val="00E14121"/>
    <w:rsid w:val="00E14783"/>
    <w:rsid w:val="00E149DB"/>
    <w:rsid w:val="00E14CA0"/>
    <w:rsid w:val="00E15BBF"/>
    <w:rsid w:val="00E15D00"/>
    <w:rsid w:val="00E160DC"/>
    <w:rsid w:val="00E163A2"/>
    <w:rsid w:val="00E168CA"/>
    <w:rsid w:val="00E177D8"/>
    <w:rsid w:val="00E17CD2"/>
    <w:rsid w:val="00E17DF1"/>
    <w:rsid w:val="00E20418"/>
    <w:rsid w:val="00E208C0"/>
    <w:rsid w:val="00E2092F"/>
    <w:rsid w:val="00E20C6C"/>
    <w:rsid w:val="00E20E6E"/>
    <w:rsid w:val="00E20FE1"/>
    <w:rsid w:val="00E21434"/>
    <w:rsid w:val="00E217A4"/>
    <w:rsid w:val="00E21D19"/>
    <w:rsid w:val="00E21D5D"/>
    <w:rsid w:val="00E21EEC"/>
    <w:rsid w:val="00E22A7C"/>
    <w:rsid w:val="00E22BFE"/>
    <w:rsid w:val="00E22C3D"/>
    <w:rsid w:val="00E22CB1"/>
    <w:rsid w:val="00E22F86"/>
    <w:rsid w:val="00E2319E"/>
    <w:rsid w:val="00E2334D"/>
    <w:rsid w:val="00E23558"/>
    <w:rsid w:val="00E23750"/>
    <w:rsid w:val="00E239E9"/>
    <w:rsid w:val="00E23CA0"/>
    <w:rsid w:val="00E23EEE"/>
    <w:rsid w:val="00E2448E"/>
    <w:rsid w:val="00E245ED"/>
    <w:rsid w:val="00E24935"/>
    <w:rsid w:val="00E253F1"/>
    <w:rsid w:val="00E25554"/>
    <w:rsid w:val="00E25947"/>
    <w:rsid w:val="00E25CBC"/>
    <w:rsid w:val="00E25F9E"/>
    <w:rsid w:val="00E2602E"/>
    <w:rsid w:val="00E2604D"/>
    <w:rsid w:val="00E261C8"/>
    <w:rsid w:val="00E26426"/>
    <w:rsid w:val="00E27028"/>
    <w:rsid w:val="00E27561"/>
    <w:rsid w:val="00E2798D"/>
    <w:rsid w:val="00E30139"/>
    <w:rsid w:val="00E30C52"/>
    <w:rsid w:val="00E30D96"/>
    <w:rsid w:val="00E311EB"/>
    <w:rsid w:val="00E314E3"/>
    <w:rsid w:val="00E31603"/>
    <w:rsid w:val="00E317E5"/>
    <w:rsid w:val="00E31813"/>
    <w:rsid w:val="00E31F47"/>
    <w:rsid w:val="00E322E6"/>
    <w:rsid w:val="00E3233D"/>
    <w:rsid w:val="00E3245A"/>
    <w:rsid w:val="00E32603"/>
    <w:rsid w:val="00E33712"/>
    <w:rsid w:val="00E3394B"/>
    <w:rsid w:val="00E33F97"/>
    <w:rsid w:val="00E34279"/>
    <w:rsid w:val="00E3484E"/>
    <w:rsid w:val="00E35359"/>
    <w:rsid w:val="00E35429"/>
    <w:rsid w:val="00E35ABE"/>
    <w:rsid w:val="00E35B9B"/>
    <w:rsid w:val="00E35FB8"/>
    <w:rsid w:val="00E3645C"/>
    <w:rsid w:val="00E37001"/>
    <w:rsid w:val="00E37106"/>
    <w:rsid w:val="00E37276"/>
    <w:rsid w:val="00E3740B"/>
    <w:rsid w:val="00E37435"/>
    <w:rsid w:val="00E37E51"/>
    <w:rsid w:val="00E4002A"/>
    <w:rsid w:val="00E402C6"/>
    <w:rsid w:val="00E40ADC"/>
    <w:rsid w:val="00E40B55"/>
    <w:rsid w:val="00E40CAB"/>
    <w:rsid w:val="00E41A9D"/>
    <w:rsid w:val="00E41D5C"/>
    <w:rsid w:val="00E42302"/>
    <w:rsid w:val="00E42409"/>
    <w:rsid w:val="00E42475"/>
    <w:rsid w:val="00E42C25"/>
    <w:rsid w:val="00E42DE1"/>
    <w:rsid w:val="00E43798"/>
    <w:rsid w:val="00E43E2B"/>
    <w:rsid w:val="00E44081"/>
    <w:rsid w:val="00E44156"/>
    <w:rsid w:val="00E44499"/>
    <w:rsid w:val="00E444EA"/>
    <w:rsid w:val="00E44790"/>
    <w:rsid w:val="00E44AED"/>
    <w:rsid w:val="00E450C9"/>
    <w:rsid w:val="00E453D7"/>
    <w:rsid w:val="00E455E5"/>
    <w:rsid w:val="00E46783"/>
    <w:rsid w:val="00E46C30"/>
    <w:rsid w:val="00E46CEB"/>
    <w:rsid w:val="00E46E6B"/>
    <w:rsid w:val="00E473F9"/>
    <w:rsid w:val="00E477B3"/>
    <w:rsid w:val="00E5001E"/>
    <w:rsid w:val="00E5004B"/>
    <w:rsid w:val="00E5086D"/>
    <w:rsid w:val="00E50A59"/>
    <w:rsid w:val="00E50F82"/>
    <w:rsid w:val="00E516FE"/>
    <w:rsid w:val="00E51D76"/>
    <w:rsid w:val="00E51DDB"/>
    <w:rsid w:val="00E52619"/>
    <w:rsid w:val="00E527F8"/>
    <w:rsid w:val="00E52DF5"/>
    <w:rsid w:val="00E533FE"/>
    <w:rsid w:val="00E535FA"/>
    <w:rsid w:val="00E54440"/>
    <w:rsid w:val="00E54561"/>
    <w:rsid w:val="00E54D92"/>
    <w:rsid w:val="00E552F0"/>
    <w:rsid w:val="00E55C82"/>
    <w:rsid w:val="00E55E47"/>
    <w:rsid w:val="00E55F34"/>
    <w:rsid w:val="00E55FEF"/>
    <w:rsid w:val="00E56016"/>
    <w:rsid w:val="00E56037"/>
    <w:rsid w:val="00E560B6"/>
    <w:rsid w:val="00E56700"/>
    <w:rsid w:val="00E56EB2"/>
    <w:rsid w:val="00E57D19"/>
    <w:rsid w:val="00E57EB3"/>
    <w:rsid w:val="00E57F95"/>
    <w:rsid w:val="00E60021"/>
    <w:rsid w:val="00E601C8"/>
    <w:rsid w:val="00E609A6"/>
    <w:rsid w:val="00E617BB"/>
    <w:rsid w:val="00E61CE9"/>
    <w:rsid w:val="00E61E93"/>
    <w:rsid w:val="00E6201D"/>
    <w:rsid w:val="00E62493"/>
    <w:rsid w:val="00E62553"/>
    <w:rsid w:val="00E62581"/>
    <w:rsid w:val="00E62906"/>
    <w:rsid w:val="00E629D4"/>
    <w:rsid w:val="00E62C71"/>
    <w:rsid w:val="00E62D31"/>
    <w:rsid w:val="00E62D89"/>
    <w:rsid w:val="00E63E9C"/>
    <w:rsid w:val="00E64311"/>
    <w:rsid w:val="00E64C96"/>
    <w:rsid w:val="00E65D07"/>
    <w:rsid w:val="00E65D54"/>
    <w:rsid w:val="00E662C5"/>
    <w:rsid w:val="00E677A9"/>
    <w:rsid w:val="00E67DE6"/>
    <w:rsid w:val="00E70100"/>
    <w:rsid w:val="00E70AFF"/>
    <w:rsid w:val="00E70BBC"/>
    <w:rsid w:val="00E71746"/>
    <w:rsid w:val="00E71AA4"/>
    <w:rsid w:val="00E71DA5"/>
    <w:rsid w:val="00E71F89"/>
    <w:rsid w:val="00E721E6"/>
    <w:rsid w:val="00E72264"/>
    <w:rsid w:val="00E72B4E"/>
    <w:rsid w:val="00E72C23"/>
    <w:rsid w:val="00E73046"/>
    <w:rsid w:val="00E733E5"/>
    <w:rsid w:val="00E73593"/>
    <w:rsid w:val="00E73649"/>
    <w:rsid w:val="00E737ED"/>
    <w:rsid w:val="00E739C6"/>
    <w:rsid w:val="00E73AD3"/>
    <w:rsid w:val="00E74387"/>
    <w:rsid w:val="00E74CF2"/>
    <w:rsid w:val="00E75605"/>
    <w:rsid w:val="00E75D40"/>
    <w:rsid w:val="00E767AF"/>
    <w:rsid w:val="00E76CBA"/>
    <w:rsid w:val="00E8022F"/>
    <w:rsid w:val="00E80234"/>
    <w:rsid w:val="00E80444"/>
    <w:rsid w:val="00E8050B"/>
    <w:rsid w:val="00E80E01"/>
    <w:rsid w:val="00E80E4D"/>
    <w:rsid w:val="00E80F4B"/>
    <w:rsid w:val="00E81197"/>
    <w:rsid w:val="00E811B2"/>
    <w:rsid w:val="00E815C4"/>
    <w:rsid w:val="00E81C96"/>
    <w:rsid w:val="00E82202"/>
    <w:rsid w:val="00E8280C"/>
    <w:rsid w:val="00E82B5A"/>
    <w:rsid w:val="00E82BDB"/>
    <w:rsid w:val="00E83255"/>
    <w:rsid w:val="00E842DC"/>
    <w:rsid w:val="00E843F2"/>
    <w:rsid w:val="00E84AA5"/>
    <w:rsid w:val="00E84B99"/>
    <w:rsid w:val="00E84DD4"/>
    <w:rsid w:val="00E86189"/>
    <w:rsid w:val="00E864BB"/>
    <w:rsid w:val="00E864C0"/>
    <w:rsid w:val="00E8664F"/>
    <w:rsid w:val="00E866AC"/>
    <w:rsid w:val="00E87490"/>
    <w:rsid w:val="00E875B7"/>
    <w:rsid w:val="00E8784E"/>
    <w:rsid w:val="00E87B87"/>
    <w:rsid w:val="00E87FC4"/>
    <w:rsid w:val="00E905B1"/>
    <w:rsid w:val="00E90980"/>
    <w:rsid w:val="00E90A89"/>
    <w:rsid w:val="00E91603"/>
    <w:rsid w:val="00E917E2"/>
    <w:rsid w:val="00E91985"/>
    <w:rsid w:val="00E91B5E"/>
    <w:rsid w:val="00E92136"/>
    <w:rsid w:val="00E92459"/>
    <w:rsid w:val="00E92E84"/>
    <w:rsid w:val="00E92FC9"/>
    <w:rsid w:val="00E932D5"/>
    <w:rsid w:val="00E93AF2"/>
    <w:rsid w:val="00E93E82"/>
    <w:rsid w:val="00E94131"/>
    <w:rsid w:val="00E9483D"/>
    <w:rsid w:val="00E953B9"/>
    <w:rsid w:val="00E955CD"/>
    <w:rsid w:val="00E95EE1"/>
    <w:rsid w:val="00E9615D"/>
    <w:rsid w:val="00E9620C"/>
    <w:rsid w:val="00E962F5"/>
    <w:rsid w:val="00E964E8"/>
    <w:rsid w:val="00E96CC5"/>
    <w:rsid w:val="00E96E07"/>
    <w:rsid w:val="00E96F0F"/>
    <w:rsid w:val="00E975CD"/>
    <w:rsid w:val="00E977E5"/>
    <w:rsid w:val="00E979BD"/>
    <w:rsid w:val="00E979D9"/>
    <w:rsid w:val="00E97C4D"/>
    <w:rsid w:val="00E97C5A"/>
    <w:rsid w:val="00EA002D"/>
    <w:rsid w:val="00EA0499"/>
    <w:rsid w:val="00EA0CBB"/>
    <w:rsid w:val="00EA161A"/>
    <w:rsid w:val="00EA1E02"/>
    <w:rsid w:val="00EA1F16"/>
    <w:rsid w:val="00EA245E"/>
    <w:rsid w:val="00EA374C"/>
    <w:rsid w:val="00EA38E8"/>
    <w:rsid w:val="00EA3B0D"/>
    <w:rsid w:val="00EA3B56"/>
    <w:rsid w:val="00EA3EB9"/>
    <w:rsid w:val="00EA3FF0"/>
    <w:rsid w:val="00EA40AA"/>
    <w:rsid w:val="00EA4288"/>
    <w:rsid w:val="00EA588D"/>
    <w:rsid w:val="00EA639E"/>
    <w:rsid w:val="00EA6487"/>
    <w:rsid w:val="00EA648C"/>
    <w:rsid w:val="00EA64DD"/>
    <w:rsid w:val="00EA6731"/>
    <w:rsid w:val="00EA6E1A"/>
    <w:rsid w:val="00EA7903"/>
    <w:rsid w:val="00EA7DF9"/>
    <w:rsid w:val="00EB078C"/>
    <w:rsid w:val="00EB0D89"/>
    <w:rsid w:val="00EB117B"/>
    <w:rsid w:val="00EB11A3"/>
    <w:rsid w:val="00EB140B"/>
    <w:rsid w:val="00EB1DC5"/>
    <w:rsid w:val="00EB20FA"/>
    <w:rsid w:val="00EB2465"/>
    <w:rsid w:val="00EB25DA"/>
    <w:rsid w:val="00EB2843"/>
    <w:rsid w:val="00EB28F3"/>
    <w:rsid w:val="00EB2B86"/>
    <w:rsid w:val="00EB2D97"/>
    <w:rsid w:val="00EB2DE3"/>
    <w:rsid w:val="00EB3BF3"/>
    <w:rsid w:val="00EB4463"/>
    <w:rsid w:val="00EB449F"/>
    <w:rsid w:val="00EB45C9"/>
    <w:rsid w:val="00EB4CA4"/>
    <w:rsid w:val="00EB5121"/>
    <w:rsid w:val="00EB58F9"/>
    <w:rsid w:val="00EB5DCA"/>
    <w:rsid w:val="00EB6A88"/>
    <w:rsid w:val="00EB7678"/>
    <w:rsid w:val="00EB7773"/>
    <w:rsid w:val="00EB7DBB"/>
    <w:rsid w:val="00EC011E"/>
    <w:rsid w:val="00EC026F"/>
    <w:rsid w:val="00EC029E"/>
    <w:rsid w:val="00EC0954"/>
    <w:rsid w:val="00EC0C61"/>
    <w:rsid w:val="00EC0E86"/>
    <w:rsid w:val="00EC1829"/>
    <w:rsid w:val="00EC25A3"/>
    <w:rsid w:val="00EC2600"/>
    <w:rsid w:val="00EC261F"/>
    <w:rsid w:val="00EC2704"/>
    <w:rsid w:val="00EC2DCB"/>
    <w:rsid w:val="00EC2ED4"/>
    <w:rsid w:val="00EC2F4E"/>
    <w:rsid w:val="00EC32A2"/>
    <w:rsid w:val="00EC38DA"/>
    <w:rsid w:val="00EC3BA0"/>
    <w:rsid w:val="00EC3C1A"/>
    <w:rsid w:val="00EC4208"/>
    <w:rsid w:val="00EC45D3"/>
    <w:rsid w:val="00EC4871"/>
    <w:rsid w:val="00EC62C6"/>
    <w:rsid w:val="00EC657C"/>
    <w:rsid w:val="00EC67F1"/>
    <w:rsid w:val="00EC6FBE"/>
    <w:rsid w:val="00EC7912"/>
    <w:rsid w:val="00EC7949"/>
    <w:rsid w:val="00EC7E75"/>
    <w:rsid w:val="00ED0E63"/>
    <w:rsid w:val="00ED1396"/>
    <w:rsid w:val="00ED1BE9"/>
    <w:rsid w:val="00ED1C54"/>
    <w:rsid w:val="00ED1EF4"/>
    <w:rsid w:val="00ED24D7"/>
    <w:rsid w:val="00ED278B"/>
    <w:rsid w:val="00ED30B2"/>
    <w:rsid w:val="00ED31A0"/>
    <w:rsid w:val="00ED3E41"/>
    <w:rsid w:val="00ED40CC"/>
    <w:rsid w:val="00ED41B8"/>
    <w:rsid w:val="00ED4B44"/>
    <w:rsid w:val="00ED4D1E"/>
    <w:rsid w:val="00ED51F9"/>
    <w:rsid w:val="00ED56E6"/>
    <w:rsid w:val="00ED592A"/>
    <w:rsid w:val="00ED5AC7"/>
    <w:rsid w:val="00ED5B48"/>
    <w:rsid w:val="00ED6201"/>
    <w:rsid w:val="00ED65C5"/>
    <w:rsid w:val="00ED76A8"/>
    <w:rsid w:val="00ED7A99"/>
    <w:rsid w:val="00ED7E0C"/>
    <w:rsid w:val="00ED7ECC"/>
    <w:rsid w:val="00ED7ED8"/>
    <w:rsid w:val="00ED7F26"/>
    <w:rsid w:val="00EE0280"/>
    <w:rsid w:val="00EE02B8"/>
    <w:rsid w:val="00EE0C46"/>
    <w:rsid w:val="00EE136A"/>
    <w:rsid w:val="00EE1686"/>
    <w:rsid w:val="00EE1771"/>
    <w:rsid w:val="00EE17FD"/>
    <w:rsid w:val="00EE2B24"/>
    <w:rsid w:val="00EE2E81"/>
    <w:rsid w:val="00EE3623"/>
    <w:rsid w:val="00EE437D"/>
    <w:rsid w:val="00EE46D5"/>
    <w:rsid w:val="00EE618E"/>
    <w:rsid w:val="00EE683B"/>
    <w:rsid w:val="00EE685D"/>
    <w:rsid w:val="00EE6F62"/>
    <w:rsid w:val="00EE6FA2"/>
    <w:rsid w:val="00EE7104"/>
    <w:rsid w:val="00EE744D"/>
    <w:rsid w:val="00EE77A1"/>
    <w:rsid w:val="00EE7842"/>
    <w:rsid w:val="00EE7985"/>
    <w:rsid w:val="00EE7B68"/>
    <w:rsid w:val="00EE7E81"/>
    <w:rsid w:val="00EF0473"/>
    <w:rsid w:val="00EF0512"/>
    <w:rsid w:val="00EF05EA"/>
    <w:rsid w:val="00EF1134"/>
    <w:rsid w:val="00EF1C8E"/>
    <w:rsid w:val="00EF2160"/>
    <w:rsid w:val="00EF2572"/>
    <w:rsid w:val="00EF333B"/>
    <w:rsid w:val="00EF33B6"/>
    <w:rsid w:val="00EF377A"/>
    <w:rsid w:val="00EF442A"/>
    <w:rsid w:val="00EF448D"/>
    <w:rsid w:val="00EF4EDF"/>
    <w:rsid w:val="00EF4F12"/>
    <w:rsid w:val="00EF4F7C"/>
    <w:rsid w:val="00EF5167"/>
    <w:rsid w:val="00EF5772"/>
    <w:rsid w:val="00EF57DD"/>
    <w:rsid w:val="00EF678E"/>
    <w:rsid w:val="00EF7728"/>
    <w:rsid w:val="00EF7796"/>
    <w:rsid w:val="00EF7EAB"/>
    <w:rsid w:val="00EF7FE7"/>
    <w:rsid w:val="00F00296"/>
    <w:rsid w:val="00F00976"/>
    <w:rsid w:val="00F00B02"/>
    <w:rsid w:val="00F00D33"/>
    <w:rsid w:val="00F00E70"/>
    <w:rsid w:val="00F00F74"/>
    <w:rsid w:val="00F010F9"/>
    <w:rsid w:val="00F012D9"/>
    <w:rsid w:val="00F0138E"/>
    <w:rsid w:val="00F01405"/>
    <w:rsid w:val="00F01932"/>
    <w:rsid w:val="00F01E91"/>
    <w:rsid w:val="00F01ED4"/>
    <w:rsid w:val="00F021E2"/>
    <w:rsid w:val="00F0221F"/>
    <w:rsid w:val="00F02541"/>
    <w:rsid w:val="00F02DB0"/>
    <w:rsid w:val="00F02EEC"/>
    <w:rsid w:val="00F03139"/>
    <w:rsid w:val="00F0395A"/>
    <w:rsid w:val="00F039D9"/>
    <w:rsid w:val="00F03C47"/>
    <w:rsid w:val="00F03F21"/>
    <w:rsid w:val="00F050D1"/>
    <w:rsid w:val="00F0544B"/>
    <w:rsid w:val="00F057B2"/>
    <w:rsid w:val="00F05A33"/>
    <w:rsid w:val="00F05E41"/>
    <w:rsid w:val="00F060B3"/>
    <w:rsid w:val="00F0628A"/>
    <w:rsid w:val="00F0637D"/>
    <w:rsid w:val="00F07200"/>
    <w:rsid w:val="00F0743F"/>
    <w:rsid w:val="00F07AE5"/>
    <w:rsid w:val="00F07B2F"/>
    <w:rsid w:val="00F10071"/>
    <w:rsid w:val="00F10726"/>
    <w:rsid w:val="00F11088"/>
    <w:rsid w:val="00F114FF"/>
    <w:rsid w:val="00F11589"/>
    <w:rsid w:val="00F117CA"/>
    <w:rsid w:val="00F11A04"/>
    <w:rsid w:val="00F11A25"/>
    <w:rsid w:val="00F11BA5"/>
    <w:rsid w:val="00F12458"/>
    <w:rsid w:val="00F126E3"/>
    <w:rsid w:val="00F13241"/>
    <w:rsid w:val="00F132B0"/>
    <w:rsid w:val="00F134A5"/>
    <w:rsid w:val="00F13680"/>
    <w:rsid w:val="00F13780"/>
    <w:rsid w:val="00F13CB4"/>
    <w:rsid w:val="00F13EA7"/>
    <w:rsid w:val="00F13FD3"/>
    <w:rsid w:val="00F141D5"/>
    <w:rsid w:val="00F146DC"/>
    <w:rsid w:val="00F14BAB"/>
    <w:rsid w:val="00F151CF"/>
    <w:rsid w:val="00F15782"/>
    <w:rsid w:val="00F15C61"/>
    <w:rsid w:val="00F15D12"/>
    <w:rsid w:val="00F16A10"/>
    <w:rsid w:val="00F16D75"/>
    <w:rsid w:val="00F16E2F"/>
    <w:rsid w:val="00F16F44"/>
    <w:rsid w:val="00F17445"/>
    <w:rsid w:val="00F17722"/>
    <w:rsid w:val="00F179AA"/>
    <w:rsid w:val="00F20057"/>
    <w:rsid w:val="00F20191"/>
    <w:rsid w:val="00F206AF"/>
    <w:rsid w:val="00F21484"/>
    <w:rsid w:val="00F21877"/>
    <w:rsid w:val="00F21C33"/>
    <w:rsid w:val="00F21C54"/>
    <w:rsid w:val="00F22289"/>
    <w:rsid w:val="00F223CB"/>
    <w:rsid w:val="00F225E2"/>
    <w:rsid w:val="00F2297B"/>
    <w:rsid w:val="00F22AA4"/>
    <w:rsid w:val="00F22B70"/>
    <w:rsid w:val="00F22BF3"/>
    <w:rsid w:val="00F23341"/>
    <w:rsid w:val="00F23AE4"/>
    <w:rsid w:val="00F243AC"/>
    <w:rsid w:val="00F243BB"/>
    <w:rsid w:val="00F24767"/>
    <w:rsid w:val="00F24DDD"/>
    <w:rsid w:val="00F250AE"/>
    <w:rsid w:val="00F25214"/>
    <w:rsid w:val="00F253DC"/>
    <w:rsid w:val="00F257CA"/>
    <w:rsid w:val="00F261C4"/>
    <w:rsid w:val="00F264EA"/>
    <w:rsid w:val="00F26846"/>
    <w:rsid w:val="00F275C1"/>
    <w:rsid w:val="00F27A18"/>
    <w:rsid w:val="00F27B27"/>
    <w:rsid w:val="00F27B6B"/>
    <w:rsid w:val="00F27BA4"/>
    <w:rsid w:val="00F27BB2"/>
    <w:rsid w:val="00F27CF2"/>
    <w:rsid w:val="00F30030"/>
    <w:rsid w:val="00F3017F"/>
    <w:rsid w:val="00F3125F"/>
    <w:rsid w:val="00F32458"/>
    <w:rsid w:val="00F32743"/>
    <w:rsid w:val="00F33021"/>
    <w:rsid w:val="00F334C2"/>
    <w:rsid w:val="00F336A0"/>
    <w:rsid w:val="00F336D2"/>
    <w:rsid w:val="00F3380E"/>
    <w:rsid w:val="00F33DE2"/>
    <w:rsid w:val="00F3447F"/>
    <w:rsid w:val="00F347F9"/>
    <w:rsid w:val="00F34ECD"/>
    <w:rsid w:val="00F354F5"/>
    <w:rsid w:val="00F355B6"/>
    <w:rsid w:val="00F3565B"/>
    <w:rsid w:val="00F35977"/>
    <w:rsid w:val="00F36446"/>
    <w:rsid w:val="00F3656F"/>
    <w:rsid w:val="00F365C2"/>
    <w:rsid w:val="00F365E1"/>
    <w:rsid w:val="00F365F9"/>
    <w:rsid w:val="00F36AB1"/>
    <w:rsid w:val="00F36AFD"/>
    <w:rsid w:val="00F37073"/>
    <w:rsid w:val="00F37241"/>
    <w:rsid w:val="00F37329"/>
    <w:rsid w:val="00F37A1A"/>
    <w:rsid w:val="00F40597"/>
    <w:rsid w:val="00F40898"/>
    <w:rsid w:val="00F40930"/>
    <w:rsid w:val="00F40F92"/>
    <w:rsid w:val="00F41175"/>
    <w:rsid w:val="00F414C3"/>
    <w:rsid w:val="00F4192A"/>
    <w:rsid w:val="00F41A5B"/>
    <w:rsid w:val="00F41CCC"/>
    <w:rsid w:val="00F41F4A"/>
    <w:rsid w:val="00F42265"/>
    <w:rsid w:val="00F427EB"/>
    <w:rsid w:val="00F431AD"/>
    <w:rsid w:val="00F43412"/>
    <w:rsid w:val="00F43502"/>
    <w:rsid w:val="00F4360E"/>
    <w:rsid w:val="00F4387A"/>
    <w:rsid w:val="00F43C6F"/>
    <w:rsid w:val="00F43EAC"/>
    <w:rsid w:val="00F4480C"/>
    <w:rsid w:val="00F4492E"/>
    <w:rsid w:val="00F44E27"/>
    <w:rsid w:val="00F450FA"/>
    <w:rsid w:val="00F452CB"/>
    <w:rsid w:val="00F45541"/>
    <w:rsid w:val="00F4560B"/>
    <w:rsid w:val="00F456EE"/>
    <w:rsid w:val="00F45910"/>
    <w:rsid w:val="00F45C78"/>
    <w:rsid w:val="00F45D26"/>
    <w:rsid w:val="00F464F8"/>
    <w:rsid w:val="00F46511"/>
    <w:rsid w:val="00F46997"/>
    <w:rsid w:val="00F47142"/>
    <w:rsid w:val="00F47399"/>
    <w:rsid w:val="00F47781"/>
    <w:rsid w:val="00F500D6"/>
    <w:rsid w:val="00F5013A"/>
    <w:rsid w:val="00F509FB"/>
    <w:rsid w:val="00F50C7C"/>
    <w:rsid w:val="00F51134"/>
    <w:rsid w:val="00F5117B"/>
    <w:rsid w:val="00F51287"/>
    <w:rsid w:val="00F5167A"/>
    <w:rsid w:val="00F516D3"/>
    <w:rsid w:val="00F51904"/>
    <w:rsid w:val="00F51995"/>
    <w:rsid w:val="00F51C62"/>
    <w:rsid w:val="00F51E59"/>
    <w:rsid w:val="00F52050"/>
    <w:rsid w:val="00F52167"/>
    <w:rsid w:val="00F522C4"/>
    <w:rsid w:val="00F526B5"/>
    <w:rsid w:val="00F52882"/>
    <w:rsid w:val="00F52C69"/>
    <w:rsid w:val="00F52DF8"/>
    <w:rsid w:val="00F53221"/>
    <w:rsid w:val="00F53329"/>
    <w:rsid w:val="00F533BD"/>
    <w:rsid w:val="00F53A03"/>
    <w:rsid w:val="00F542BD"/>
    <w:rsid w:val="00F54F61"/>
    <w:rsid w:val="00F551DE"/>
    <w:rsid w:val="00F553C9"/>
    <w:rsid w:val="00F55ABA"/>
    <w:rsid w:val="00F55DFA"/>
    <w:rsid w:val="00F5648F"/>
    <w:rsid w:val="00F564CE"/>
    <w:rsid w:val="00F56572"/>
    <w:rsid w:val="00F57022"/>
    <w:rsid w:val="00F570B2"/>
    <w:rsid w:val="00F5734A"/>
    <w:rsid w:val="00F573CC"/>
    <w:rsid w:val="00F57BE8"/>
    <w:rsid w:val="00F57CAC"/>
    <w:rsid w:val="00F602F4"/>
    <w:rsid w:val="00F60A35"/>
    <w:rsid w:val="00F60A8F"/>
    <w:rsid w:val="00F60C73"/>
    <w:rsid w:val="00F60DE4"/>
    <w:rsid w:val="00F60F3A"/>
    <w:rsid w:val="00F61066"/>
    <w:rsid w:val="00F6109A"/>
    <w:rsid w:val="00F614A7"/>
    <w:rsid w:val="00F615DA"/>
    <w:rsid w:val="00F6173D"/>
    <w:rsid w:val="00F61943"/>
    <w:rsid w:val="00F61A86"/>
    <w:rsid w:val="00F61B88"/>
    <w:rsid w:val="00F62E6D"/>
    <w:rsid w:val="00F62F9F"/>
    <w:rsid w:val="00F63CB9"/>
    <w:rsid w:val="00F64007"/>
    <w:rsid w:val="00F64050"/>
    <w:rsid w:val="00F64288"/>
    <w:rsid w:val="00F64CBF"/>
    <w:rsid w:val="00F64F89"/>
    <w:rsid w:val="00F657BF"/>
    <w:rsid w:val="00F6584F"/>
    <w:rsid w:val="00F66B03"/>
    <w:rsid w:val="00F66BC9"/>
    <w:rsid w:val="00F67639"/>
    <w:rsid w:val="00F67F20"/>
    <w:rsid w:val="00F704A5"/>
    <w:rsid w:val="00F716B5"/>
    <w:rsid w:val="00F71A87"/>
    <w:rsid w:val="00F71FDD"/>
    <w:rsid w:val="00F72068"/>
    <w:rsid w:val="00F72521"/>
    <w:rsid w:val="00F7261C"/>
    <w:rsid w:val="00F7265E"/>
    <w:rsid w:val="00F728DD"/>
    <w:rsid w:val="00F72B1F"/>
    <w:rsid w:val="00F72BA6"/>
    <w:rsid w:val="00F72C9F"/>
    <w:rsid w:val="00F733EF"/>
    <w:rsid w:val="00F7346F"/>
    <w:rsid w:val="00F73514"/>
    <w:rsid w:val="00F735B1"/>
    <w:rsid w:val="00F73611"/>
    <w:rsid w:val="00F73C6C"/>
    <w:rsid w:val="00F74218"/>
    <w:rsid w:val="00F74567"/>
    <w:rsid w:val="00F746E5"/>
    <w:rsid w:val="00F74935"/>
    <w:rsid w:val="00F7520D"/>
    <w:rsid w:val="00F754AA"/>
    <w:rsid w:val="00F7587C"/>
    <w:rsid w:val="00F75C4B"/>
    <w:rsid w:val="00F75DEF"/>
    <w:rsid w:val="00F760B6"/>
    <w:rsid w:val="00F768E2"/>
    <w:rsid w:val="00F76C57"/>
    <w:rsid w:val="00F76DAB"/>
    <w:rsid w:val="00F7758F"/>
    <w:rsid w:val="00F778E0"/>
    <w:rsid w:val="00F77920"/>
    <w:rsid w:val="00F77A81"/>
    <w:rsid w:val="00F77CC1"/>
    <w:rsid w:val="00F77D52"/>
    <w:rsid w:val="00F80810"/>
    <w:rsid w:val="00F80B94"/>
    <w:rsid w:val="00F81361"/>
    <w:rsid w:val="00F814AC"/>
    <w:rsid w:val="00F816E3"/>
    <w:rsid w:val="00F816E6"/>
    <w:rsid w:val="00F817FB"/>
    <w:rsid w:val="00F81F13"/>
    <w:rsid w:val="00F827FF"/>
    <w:rsid w:val="00F82EA7"/>
    <w:rsid w:val="00F835EA"/>
    <w:rsid w:val="00F83D39"/>
    <w:rsid w:val="00F846BE"/>
    <w:rsid w:val="00F84DED"/>
    <w:rsid w:val="00F84E56"/>
    <w:rsid w:val="00F84F56"/>
    <w:rsid w:val="00F84FBA"/>
    <w:rsid w:val="00F859E8"/>
    <w:rsid w:val="00F85B25"/>
    <w:rsid w:val="00F85DBF"/>
    <w:rsid w:val="00F8618A"/>
    <w:rsid w:val="00F861AC"/>
    <w:rsid w:val="00F868B5"/>
    <w:rsid w:val="00F873D1"/>
    <w:rsid w:val="00F87627"/>
    <w:rsid w:val="00F87B2B"/>
    <w:rsid w:val="00F87CA4"/>
    <w:rsid w:val="00F87D4A"/>
    <w:rsid w:val="00F87E11"/>
    <w:rsid w:val="00F87FC1"/>
    <w:rsid w:val="00F90270"/>
    <w:rsid w:val="00F90463"/>
    <w:rsid w:val="00F9093F"/>
    <w:rsid w:val="00F909B8"/>
    <w:rsid w:val="00F90C99"/>
    <w:rsid w:val="00F90F9D"/>
    <w:rsid w:val="00F917D4"/>
    <w:rsid w:val="00F92665"/>
    <w:rsid w:val="00F927C7"/>
    <w:rsid w:val="00F92B9F"/>
    <w:rsid w:val="00F9326B"/>
    <w:rsid w:val="00F93310"/>
    <w:rsid w:val="00F935BC"/>
    <w:rsid w:val="00F942F6"/>
    <w:rsid w:val="00F944A5"/>
    <w:rsid w:val="00F94574"/>
    <w:rsid w:val="00F949D1"/>
    <w:rsid w:val="00F94AAE"/>
    <w:rsid w:val="00F94F99"/>
    <w:rsid w:val="00F95288"/>
    <w:rsid w:val="00F95554"/>
    <w:rsid w:val="00F959B3"/>
    <w:rsid w:val="00F9617A"/>
    <w:rsid w:val="00F9648B"/>
    <w:rsid w:val="00F968C3"/>
    <w:rsid w:val="00F96FC5"/>
    <w:rsid w:val="00F976FB"/>
    <w:rsid w:val="00F97852"/>
    <w:rsid w:val="00FA00EC"/>
    <w:rsid w:val="00FA0E00"/>
    <w:rsid w:val="00FA1BF8"/>
    <w:rsid w:val="00FA1EE8"/>
    <w:rsid w:val="00FA2356"/>
    <w:rsid w:val="00FA2CCA"/>
    <w:rsid w:val="00FA2D75"/>
    <w:rsid w:val="00FA2F9B"/>
    <w:rsid w:val="00FA311A"/>
    <w:rsid w:val="00FA39AC"/>
    <w:rsid w:val="00FA3DCB"/>
    <w:rsid w:val="00FA4A3C"/>
    <w:rsid w:val="00FA4AB2"/>
    <w:rsid w:val="00FA4B56"/>
    <w:rsid w:val="00FA4C6E"/>
    <w:rsid w:val="00FA52E7"/>
    <w:rsid w:val="00FA55F4"/>
    <w:rsid w:val="00FA5B9D"/>
    <w:rsid w:val="00FA6392"/>
    <w:rsid w:val="00FA658A"/>
    <w:rsid w:val="00FA67FD"/>
    <w:rsid w:val="00FA6835"/>
    <w:rsid w:val="00FA7A19"/>
    <w:rsid w:val="00FB0C17"/>
    <w:rsid w:val="00FB15F9"/>
    <w:rsid w:val="00FB16D4"/>
    <w:rsid w:val="00FB1858"/>
    <w:rsid w:val="00FB1BA7"/>
    <w:rsid w:val="00FB1F8A"/>
    <w:rsid w:val="00FB1FA8"/>
    <w:rsid w:val="00FB2529"/>
    <w:rsid w:val="00FB2BC5"/>
    <w:rsid w:val="00FB30EE"/>
    <w:rsid w:val="00FB3105"/>
    <w:rsid w:val="00FB3D23"/>
    <w:rsid w:val="00FB3D76"/>
    <w:rsid w:val="00FB424E"/>
    <w:rsid w:val="00FB4783"/>
    <w:rsid w:val="00FB47C2"/>
    <w:rsid w:val="00FB4A10"/>
    <w:rsid w:val="00FB4B12"/>
    <w:rsid w:val="00FB4DFB"/>
    <w:rsid w:val="00FB500C"/>
    <w:rsid w:val="00FB59D2"/>
    <w:rsid w:val="00FB604D"/>
    <w:rsid w:val="00FB696C"/>
    <w:rsid w:val="00FB7077"/>
    <w:rsid w:val="00FB7E19"/>
    <w:rsid w:val="00FC00A4"/>
    <w:rsid w:val="00FC0D77"/>
    <w:rsid w:val="00FC174A"/>
    <w:rsid w:val="00FC20DB"/>
    <w:rsid w:val="00FC2515"/>
    <w:rsid w:val="00FC274E"/>
    <w:rsid w:val="00FC2AFB"/>
    <w:rsid w:val="00FC2C96"/>
    <w:rsid w:val="00FC2D94"/>
    <w:rsid w:val="00FC31AA"/>
    <w:rsid w:val="00FC35ED"/>
    <w:rsid w:val="00FC397A"/>
    <w:rsid w:val="00FC3D2D"/>
    <w:rsid w:val="00FC3E3A"/>
    <w:rsid w:val="00FC3FE4"/>
    <w:rsid w:val="00FC4778"/>
    <w:rsid w:val="00FC4C90"/>
    <w:rsid w:val="00FC5504"/>
    <w:rsid w:val="00FC561C"/>
    <w:rsid w:val="00FC59BD"/>
    <w:rsid w:val="00FC6B65"/>
    <w:rsid w:val="00FC6F09"/>
    <w:rsid w:val="00FC7474"/>
    <w:rsid w:val="00FC751B"/>
    <w:rsid w:val="00FC78AE"/>
    <w:rsid w:val="00FC7925"/>
    <w:rsid w:val="00FC7FB2"/>
    <w:rsid w:val="00FD040E"/>
    <w:rsid w:val="00FD0548"/>
    <w:rsid w:val="00FD0549"/>
    <w:rsid w:val="00FD055E"/>
    <w:rsid w:val="00FD0859"/>
    <w:rsid w:val="00FD0C57"/>
    <w:rsid w:val="00FD0E35"/>
    <w:rsid w:val="00FD0EF1"/>
    <w:rsid w:val="00FD0FFC"/>
    <w:rsid w:val="00FD107E"/>
    <w:rsid w:val="00FD1238"/>
    <w:rsid w:val="00FD171B"/>
    <w:rsid w:val="00FD20D1"/>
    <w:rsid w:val="00FD32D4"/>
    <w:rsid w:val="00FD3355"/>
    <w:rsid w:val="00FD4DB9"/>
    <w:rsid w:val="00FD569B"/>
    <w:rsid w:val="00FD581F"/>
    <w:rsid w:val="00FD5A45"/>
    <w:rsid w:val="00FD5C79"/>
    <w:rsid w:val="00FD6016"/>
    <w:rsid w:val="00FD61F0"/>
    <w:rsid w:val="00FD6202"/>
    <w:rsid w:val="00FD65D2"/>
    <w:rsid w:val="00FD6E43"/>
    <w:rsid w:val="00FD70B6"/>
    <w:rsid w:val="00FD77DC"/>
    <w:rsid w:val="00FD7B32"/>
    <w:rsid w:val="00FE0179"/>
    <w:rsid w:val="00FE1522"/>
    <w:rsid w:val="00FE3250"/>
    <w:rsid w:val="00FE3CCE"/>
    <w:rsid w:val="00FE3CF7"/>
    <w:rsid w:val="00FE3F92"/>
    <w:rsid w:val="00FE4189"/>
    <w:rsid w:val="00FE459D"/>
    <w:rsid w:val="00FE517F"/>
    <w:rsid w:val="00FE558B"/>
    <w:rsid w:val="00FE5F2D"/>
    <w:rsid w:val="00FE6EB0"/>
    <w:rsid w:val="00FE6EF7"/>
    <w:rsid w:val="00FE734A"/>
    <w:rsid w:val="00FE7901"/>
    <w:rsid w:val="00FE7DE5"/>
    <w:rsid w:val="00FE7EF8"/>
    <w:rsid w:val="00FF0D30"/>
    <w:rsid w:val="00FF137C"/>
    <w:rsid w:val="00FF18B9"/>
    <w:rsid w:val="00FF1C77"/>
    <w:rsid w:val="00FF1D07"/>
    <w:rsid w:val="00FF2021"/>
    <w:rsid w:val="00FF20CB"/>
    <w:rsid w:val="00FF2507"/>
    <w:rsid w:val="00FF2BEB"/>
    <w:rsid w:val="00FF3191"/>
    <w:rsid w:val="00FF33BE"/>
    <w:rsid w:val="00FF36B5"/>
    <w:rsid w:val="00FF409A"/>
    <w:rsid w:val="00FF40D9"/>
    <w:rsid w:val="00FF454D"/>
    <w:rsid w:val="00FF5063"/>
    <w:rsid w:val="00FF55D9"/>
    <w:rsid w:val="00FF5A1C"/>
    <w:rsid w:val="00FF60F0"/>
    <w:rsid w:val="00FF6262"/>
    <w:rsid w:val="00FF6544"/>
    <w:rsid w:val="00FF6CD2"/>
    <w:rsid w:val="00FF6FE8"/>
    <w:rsid w:val="00FF72F9"/>
    <w:rsid w:val="00FF7A05"/>
    <w:rsid w:val="00FF7BD9"/>
    <w:rsid w:val="00FF7CE4"/>
    <w:rsid w:val="010461FC"/>
    <w:rsid w:val="010750AA"/>
    <w:rsid w:val="01081124"/>
    <w:rsid w:val="011473B7"/>
    <w:rsid w:val="0115264F"/>
    <w:rsid w:val="01176F91"/>
    <w:rsid w:val="011916E7"/>
    <w:rsid w:val="01213548"/>
    <w:rsid w:val="01234069"/>
    <w:rsid w:val="012370DF"/>
    <w:rsid w:val="012B7E3E"/>
    <w:rsid w:val="01322ED7"/>
    <w:rsid w:val="014D233A"/>
    <w:rsid w:val="014E4B4C"/>
    <w:rsid w:val="015F17F8"/>
    <w:rsid w:val="01605B10"/>
    <w:rsid w:val="01655729"/>
    <w:rsid w:val="016B3017"/>
    <w:rsid w:val="01707D0A"/>
    <w:rsid w:val="01710FA8"/>
    <w:rsid w:val="017677DE"/>
    <w:rsid w:val="01771891"/>
    <w:rsid w:val="018225BF"/>
    <w:rsid w:val="018972D3"/>
    <w:rsid w:val="018E3F16"/>
    <w:rsid w:val="018E48F5"/>
    <w:rsid w:val="0199540E"/>
    <w:rsid w:val="019A2BE9"/>
    <w:rsid w:val="01A4698D"/>
    <w:rsid w:val="01A5172E"/>
    <w:rsid w:val="01AB0271"/>
    <w:rsid w:val="01AC6451"/>
    <w:rsid w:val="01AF2D5E"/>
    <w:rsid w:val="01AF5332"/>
    <w:rsid w:val="01B30592"/>
    <w:rsid w:val="01B3299F"/>
    <w:rsid w:val="01C470D7"/>
    <w:rsid w:val="01CB731F"/>
    <w:rsid w:val="01CC0885"/>
    <w:rsid w:val="01CE5DE6"/>
    <w:rsid w:val="01CF272D"/>
    <w:rsid w:val="01D1386D"/>
    <w:rsid w:val="01D813B7"/>
    <w:rsid w:val="01E05934"/>
    <w:rsid w:val="01E22983"/>
    <w:rsid w:val="01E24452"/>
    <w:rsid w:val="01E46E86"/>
    <w:rsid w:val="01EE2958"/>
    <w:rsid w:val="01F471FD"/>
    <w:rsid w:val="01FE5971"/>
    <w:rsid w:val="020220E2"/>
    <w:rsid w:val="020901DE"/>
    <w:rsid w:val="02090713"/>
    <w:rsid w:val="021B0911"/>
    <w:rsid w:val="021D6D34"/>
    <w:rsid w:val="021E42C0"/>
    <w:rsid w:val="021F2703"/>
    <w:rsid w:val="02240C87"/>
    <w:rsid w:val="02274205"/>
    <w:rsid w:val="02303922"/>
    <w:rsid w:val="02313318"/>
    <w:rsid w:val="02451BA6"/>
    <w:rsid w:val="02470C76"/>
    <w:rsid w:val="025A3BCF"/>
    <w:rsid w:val="025E6FD5"/>
    <w:rsid w:val="026229BE"/>
    <w:rsid w:val="02660D0F"/>
    <w:rsid w:val="026D1B94"/>
    <w:rsid w:val="026F6060"/>
    <w:rsid w:val="02866E1C"/>
    <w:rsid w:val="02866EA3"/>
    <w:rsid w:val="028D22B5"/>
    <w:rsid w:val="02905538"/>
    <w:rsid w:val="02977C89"/>
    <w:rsid w:val="029A5B93"/>
    <w:rsid w:val="029C1108"/>
    <w:rsid w:val="029C718A"/>
    <w:rsid w:val="029E2E64"/>
    <w:rsid w:val="02A05A5D"/>
    <w:rsid w:val="02A47927"/>
    <w:rsid w:val="02A5313A"/>
    <w:rsid w:val="02AD4C14"/>
    <w:rsid w:val="02B239E8"/>
    <w:rsid w:val="02B273CD"/>
    <w:rsid w:val="02B5333C"/>
    <w:rsid w:val="02B57783"/>
    <w:rsid w:val="02B77CBD"/>
    <w:rsid w:val="02BE0BB6"/>
    <w:rsid w:val="02BF652C"/>
    <w:rsid w:val="02C5361A"/>
    <w:rsid w:val="02C75241"/>
    <w:rsid w:val="02D057CC"/>
    <w:rsid w:val="02E00438"/>
    <w:rsid w:val="02E374E6"/>
    <w:rsid w:val="031144BE"/>
    <w:rsid w:val="031D388E"/>
    <w:rsid w:val="031E276F"/>
    <w:rsid w:val="03252D50"/>
    <w:rsid w:val="032618C9"/>
    <w:rsid w:val="032B1215"/>
    <w:rsid w:val="032D21CF"/>
    <w:rsid w:val="033124A2"/>
    <w:rsid w:val="03393105"/>
    <w:rsid w:val="033A67A6"/>
    <w:rsid w:val="0343660D"/>
    <w:rsid w:val="03440E7E"/>
    <w:rsid w:val="034C3D34"/>
    <w:rsid w:val="035978D0"/>
    <w:rsid w:val="036E39F1"/>
    <w:rsid w:val="036F6B27"/>
    <w:rsid w:val="0378032E"/>
    <w:rsid w:val="03784C48"/>
    <w:rsid w:val="037B22EE"/>
    <w:rsid w:val="038053BC"/>
    <w:rsid w:val="03836591"/>
    <w:rsid w:val="038712C9"/>
    <w:rsid w:val="038D79EC"/>
    <w:rsid w:val="038F7232"/>
    <w:rsid w:val="03967D56"/>
    <w:rsid w:val="03970689"/>
    <w:rsid w:val="0399395B"/>
    <w:rsid w:val="03993BA4"/>
    <w:rsid w:val="03A00C07"/>
    <w:rsid w:val="03A553E2"/>
    <w:rsid w:val="03B06C4F"/>
    <w:rsid w:val="03B13FB2"/>
    <w:rsid w:val="03B3263D"/>
    <w:rsid w:val="03B76268"/>
    <w:rsid w:val="03B836D4"/>
    <w:rsid w:val="03B92F39"/>
    <w:rsid w:val="03BD699E"/>
    <w:rsid w:val="03C230CA"/>
    <w:rsid w:val="03C350C4"/>
    <w:rsid w:val="03C36E0F"/>
    <w:rsid w:val="03C6292A"/>
    <w:rsid w:val="03CA0A9B"/>
    <w:rsid w:val="03CB4BF1"/>
    <w:rsid w:val="03CC22F0"/>
    <w:rsid w:val="03D825C1"/>
    <w:rsid w:val="03D92041"/>
    <w:rsid w:val="03D95D89"/>
    <w:rsid w:val="03E16A1D"/>
    <w:rsid w:val="03E35569"/>
    <w:rsid w:val="03E7251F"/>
    <w:rsid w:val="03EB55B8"/>
    <w:rsid w:val="03EE36D3"/>
    <w:rsid w:val="03F725D0"/>
    <w:rsid w:val="03FD21C9"/>
    <w:rsid w:val="03FD2CD7"/>
    <w:rsid w:val="04024DEB"/>
    <w:rsid w:val="0404201D"/>
    <w:rsid w:val="0405508A"/>
    <w:rsid w:val="040D2AF9"/>
    <w:rsid w:val="040E5186"/>
    <w:rsid w:val="040F216A"/>
    <w:rsid w:val="041366E4"/>
    <w:rsid w:val="04180F6C"/>
    <w:rsid w:val="041E7E7C"/>
    <w:rsid w:val="04220C99"/>
    <w:rsid w:val="04236159"/>
    <w:rsid w:val="04247CE6"/>
    <w:rsid w:val="04255010"/>
    <w:rsid w:val="042D0E7E"/>
    <w:rsid w:val="042E5EFD"/>
    <w:rsid w:val="042F04B5"/>
    <w:rsid w:val="04310E0E"/>
    <w:rsid w:val="04320C9C"/>
    <w:rsid w:val="043C2C22"/>
    <w:rsid w:val="043C394F"/>
    <w:rsid w:val="04400A6F"/>
    <w:rsid w:val="04417761"/>
    <w:rsid w:val="04463D2B"/>
    <w:rsid w:val="04480022"/>
    <w:rsid w:val="0449282A"/>
    <w:rsid w:val="044C0C92"/>
    <w:rsid w:val="04572DB3"/>
    <w:rsid w:val="045D0DC2"/>
    <w:rsid w:val="045F4802"/>
    <w:rsid w:val="045F798A"/>
    <w:rsid w:val="04762137"/>
    <w:rsid w:val="04814447"/>
    <w:rsid w:val="0485089C"/>
    <w:rsid w:val="048B3531"/>
    <w:rsid w:val="04902B92"/>
    <w:rsid w:val="04912B2B"/>
    <w:rsid w:val="04912C3B"/>
    <w:rsid w:val="04977481"/>
    <w:rsid w:val="049E71AC"/>
    <w:rsid w:val="04A15587"/>
    <w:rsid w:val="04A42800"/>
    <w:rsid w:val="04A43147"/>
    <w:rsid w:val="04A515BA"/>
    <w:rsid w:val="04B54A0D"/>
    <w:rsid w:val="04C37DFF"/>
    <w:rsid w:val="04C77367"/>
    <w:rsid w:val="04C8135D"/>
    <w:rsid w:val="04D070B6"/>
    <w:rsid w:val="04DE4E49"/>
    <w:rsid w:val="04E13311"/>
    <w:rsid w:val="04E24D0E"/>
    <w:rsid w:val="04E30BC8"/>
    <w:rsid w:val="04E562CB"/>
    <w:rsid w:val="04E608C6"/>
    <w:rsid w:val="04E6769B"/>
    <w:rsid w:val="04ED6A85"/>
    <w:rsid w:val="04F217BD"/>
    <w:rsid w:val="04F37E4B"/>
    <w:rsid w:val="04F40C9B"/>
    <w:rsid w:val="04F43BD5"/>
    <w:rsid w:val="050464DB"/>
    <w:rsid w:val="050A3BAA"/>
    <w:rsid w:val="051F457C"/>
    <w:rsid w:val="052F1FA8"/>
    <w:rsid w:val="0530292D"/>
    <w:rsid w:val="05372881"/>
    <w:rsid w:val="05390F6C"/>
    <w:rsid w:val="053C15AA"/>
    <w:rsid w:val="053F0497"/>
    <w:rsid w:val="054333BC"/>
    <w:rsid w:val="054A07E8"/>
    <w:rsid w:val="054B5A32"/>
    <w:rsid w:val="054C717A"/>
    <w:rsid w:val="05517DBF"/>
    <w:rsid w:val="055A36D1"/>
    <w:rsid w:val="055B08E7"/>
    <w:rsid w:val="055F3274"/>
    <w:rsid w:val="056164F5"/>
    <w:rsid w:val="05711B5E"/>
    <w:rsid w:val="057B5C57"/>
    <w:rsid w:val="057F4C68"/>
    <w:rsid w:val="0582113E"/>
    <w:rsid w:val="05965FE5"/>
    <w:rsid w:val="05974212"/>
    <w:rsid w:val="05A37AAB"/>
    <w:rsid w:val="05A64F10"/>
    <w:rsid w:val="05AA442B"/>
    <w:rsid w:val="05AB0A4D"/>
    <w:rsid w:val="05B4405B"/>
    <w:rsid w:val="05B57D4E"/>
    <w:rsid w:val="05B85D8D"/>
    <w:rsid w:val="05BE35F2"/>
    <w:rsid w:val="05C416B8"/>
    <w:rsid w:val="05C51612"/>
    <w:rsid w:val="05C65C77"/>
    <w:rsid w:val="05C721BF"/>
    <w:rsid w:val="05CE1E79"/>
    <w:rsid w:val="05CE5B3D"/>
    <w:rsid w:val="05CF6414"/>
    <w:rsid w:val="05CF7533"/>
    <w:rsid w:val="05D8062A"/>
    <w:rsid w:val="05D90A70"/>
    <w:rsid w:val="05EB6CA2"/>
    <w:rsid w:val="05F05D44"/>
    <w:rsid w:val="05F36821"/>
    <w:rsid w:val="05FB2C7B"/>
    <w:rsid w:val="060E4140"/>
    <w:rsid w:val="06171501"/>
    <w:rsid w:val="0625569B"/>
    <w:rsid w:val="062878F5"/>
    <w:rsid w:val="06292CCF"/>
    <w:rsid w:val="06312F7F"/>
    <w:rsid w:val="063858F6"/>
    <w:rsid w:val="063D35BF"/>
    <w:rsid w:val="064355AB"/>
    <w:rsid w:val="064951F1"/>
    <w:rsid w:val="064F49ED"/>
    <w:rsid w:val="06513565"/>
    <w:rsid w:val="06541517"/>
    <w:rsid w:val="065C3446"/>
    <w:rsid w:val="06667A0D"/>
    <w:rsid w:val="066C559F"/>
    <w:rsid w:val="067423C0"/>
    <w:rsid w:val="067A4160"/>
    <w:rsid w:val="06860E7A"/>
    <w:rsid w:val="068A0851"/>
    <w:rsid w:val="068F128E"/>
    <w:rsid w:val="0690119E"/>
    <w:rsid w:val="06994AAE"/>
    <w:rsid w:val="069C027A"/>
    <w:rsid w:val="069D0DE0"/>
    <w:rsid w:val="069E2A79"/>
    <w:rsid w:val="069E43F0"/>
    <w:rsid w:val="069F4106"/>
    <w:rsid w:val="06B07B82"/>
    <w:rsid w:val="06B74244"/>
    <w:rsid w:val="06BD404D"/>
    <w:rsid w:val="06C54CB0"/>
    <w:rsid w:val="06CE0F77"/>
    <w:rsid w:val="06CF440B"/>
    <w:rsid w:val="06D12292"/>
    <w:rsid w:val="06D12DDA"/>
    <w:rsid w:val="06D743D3"/>
    <w:rsid w:val="06DE03C4"/>
    <w:rsid w:val="06E35BA8"/>
    <w:rsid w:val="06EA1FB5"/>
    <w:rsid w:val="06EB0E43"/>
    <w:rsid w:val="06EC3A4F"/>
    <w:rsid w:val="06F549C4"/>
    <w:rsid w:val="06F87437"/>
    <w:rsid w:val="06FD1421"/>
    <w:rsid w:val="06FD39CA"/>
    <w:rsid w:val="06FE7174"/>
    <w:rsid w:val="06FF4A78"/>
    <w:rsid w:val="07071CF7"/>
    <w:rsid w:val="070873ED"/>
    <w:rsid w:val="070F2546"/>
    <w:rsid w:val="07100889"/>
    <w:rsid w:val="07127F81"/>
    <w:rsid w:val="07171E4E"/>
    <w:rsid w:val="071E541D"/>
    <w:rsid w:val="071E6A38"/>
    <w:rsid w:val="07256835"/>
    <w:rsid w:val="072F05EF"/>
    <w:rsid w:val="072F1770"/>
    <w:rsid w:val="072F6CF7"/>
    <w:rsid w:val="07324DA7"/>
    <w:rsid w:val="073678AF"/>
    <w:rsid w:val="073855E3"/>
    <w:rsid w:val="073A3A8F"/>
    <w:rsid w:val="073B644C"/>
    <w:rsid w:val="07403FB1"/>
    <w:rsid w:val="075048AA"/>
    <w:rsid w:val="07537F7A"/>
    <w:rsid w:val="07543BE0"/>
    <w:rsid w:val="0754556F"/>
    <w:rsid w:val="076009AD"/>
    <w:rsid w:val="07606735"/>
    <w:rsid w:val="076769AD"/>
    <w:rsid w:val="07700FEE"/>
    <w:rsid w:val="0776134F"/>
    <w:rsid w:val="077638D9"/>
    <w:rsid w:val="07966D78"/>
    <w:rsid w:val="07972F5A"/>
    <w:rsid w:val="079F7C9C"/>
    <w:rsid w:val="07A01180"/>
    <w:rsid w:val="07A1370E"/>
    <w:rsid w:val="07A1571D"/>
    <w:rsid w:val="07A57086"/>
    <w:rsid w:val="07A62E72"/>
    <w:rsid w:val="07A70ED4"/>
    <w:rsid w:val="07AC2C1D"/>
    <w:rsid w:val="07AF1BE8"/>
    <w:rsid w:val="07B33EB6"/>
    <w:rsid w:val="07B521D5"/>
    <w:rsid w:val="07BA553B"/>
    <w:rsid w:val="07C17B6D"/>
    <w:rsid w:val="07C36014"/>
    <w:rsid w:val="07C379AF"/>
    <w:rsid w:val="07C87CCD"/>
    <w:rsid w:val="07CE4A65"/>
    <w:rsid w:val="07D16002"/>
    <w:rsid w:val="07D2374A"/>
    <w:rsid w:val="07D527E9"/>
    <w:rsid w:val="07D6409D"/>
    <w:rsid w:val="07DC5075"/>
    <w:rsid w:val="07DE3FBC"/>
    <w:rsid w:val="07E00FF3"/>
    <w:rsid w:val="07E115DD"/>
    <w:rsid w:val="07E6459E"/>
    <w:rsid w:val="07E72D33"/>
    <w:rsid w:val="07FA6D9A"/>
    <w:rsid w:val="08024EC6"/>
    <w:rsid w:val="08135B3F"/>
    <w:rsid w:val="08137423"/>
    <w:rsid w:val="08174AFA"/>
    <w:rsid w:val="08186641"/>
    <w:rsid w:val="081A109D"/>
    <w:rsid w:val="081F5F85"/>
    <w:rsid w:val="08265899"/>
    <w:rsid w:val="082A0B37"/>
    <w:rsid w:val="082B2230"/>
    <w:rsid w:val="0830085C"/>
    <w:rsid w:val="083827E7"/>
    <w:rsid w:val="083A4857"/>
    <w:rsid w:val="083E1B23"/>
    <w:rsid w:val="08437943"/>
    <w:rsid w:val="084B144F"/>
    <w:rsid w:val="08513B82"/>
    <w:rsid w:val="08516EE8"/>
    <w:rsid w:val="0854453D"/>
    <w:rsid w:val="085540FB"/>
    <w:rsid w:val="085567CB"/>
    <w:rsid w:val="085F5CC0"/>
    <w:rsid w:val="08607386"/>
    <w:rsid w:val="086C1887"/>
    <w:rsid w:val="087D7F17"/>
    <w:rsid w:val="087E6BE1"/>
    <w:rsid w:val="0882267D"/>
    <w:rsid w:val="0882445B"/>
    <w:rsid w:val="08851B67"/>
    <w:rsid w:val="088819EE"/>
    <w:rsid w:val="08881E9D"/>
    <w:rsid w:val="088C2B6B"/>
    <w:rsid w:val="08937FF1"/>
    <w:rsid w:val="08940E3F"/>
    <w:rsid w:val="08956006"/>
    <w:rsid w:val="08962BB4"/>
    <w:rsid w:val="0898176B"/>
    <w:rsid w:val="08993425"/>
    <w:rsid w:val="089A3445"/>
    <w:rsid w:val="08A02C72"/>
    <w:rsid w:val="08A311D7"/>
    <w:rsid w:val="08A85716"/>
    <w:rsid w:val="08A901F4"/>
    <w:rsid w:val="08B61F39"/>
    <w:rsid w:val="08B651F8"/>
    <w:rsid w:val="08BA6FB4"/>
    <w:rsid w:val="08BD7E7F"/>
    <w:rsid w:val="08BE39B8"/>
    <w:rsid w:val="08BF3F5C"/>
    <w:rsid w:val="08C24FD6"/>
    <w:rsid w:val="08C57ED3"/>
    <w:rsid w:val="08CA0C00"/>
    <w:rsid w:val="08CD0A6D"/>
    <w:rsid w:val="08CE42EF"/>
    <w:rsid w:val="08D53E45"/>
    <w:rsid w:val="08DE0DAF"/>
    <w:rsid w:val="08EA746D"/>
    <w:rsid w:val="08EB6F42"/>
    <w:rsid w:val="08EF7CAB"/>
    <w:rsid w:val="08F04266"/>
    <w:rsid w:val="08F35843"/>
    <w:rsid w:val="08F7738C"/>
    <w:rsid w:val="08F8264A"/>
    <w:rsid w:val="08F93B30"/>
    <w:rsid w:val="08FC1E62"/>
    <w:rsid w:val="09005DB9"/>
    <w:rsid w:val="090F5510"/>
    <w:rsid w:val="090F66F1"/>
    <w:rsid w:val="0910172E"/>
    <w:rsid w:val="0912089F"/>
    <w:rsid w:val="09123B20"/>
    <w:rsid w:val="09143A3B"/>
    <w:rsid w:val="0921760B"/>
    <w:rsid w:val="09363670"/>
    <w:rsid w:val="09384959"/>
    <w:rsid w:val="09393918"/>
    <w:rsid w:val="093B76A9"/>
    <w:rsid w:val="094139FD"/>
    <w:rsid w:val="09483B9E"/>
    <w:rsid w:val="094C1395"/>
    <w:rsid w:val="094E64AB"/>
    <w:rsid w:val="094E7E56"/>
    <w:rsid w:val="09526CCE"/>
    <w:rsid w:val="095424E9"/>
    <w:rsid w:val="09552360"/>
    <w:rsid w:val="09577D7C"/>
    <w:rsid w:val="095C7FAA"/>
    <w:rsid w:val="095E0711"/>
    <w:rsid w:val="09665B06"/>
    <w:rsid w:val="09677B0E"/>
    <w:rsid w:val="096D0769"/>
    <w:rsid w:val="09710CD8"/>
    <w:rsid w:val="09740AE2"/>
    <w:rsid w:val="09762A26"/>
    <w:rsid w:val="09824CE2"/>
    <w:rsid w:val="09884349"/>
    <w:rsid w:val="098A5141"/>
    <w:rsid w:val="098F6D85"/>
    <w:rsid w:val="09912E13"/>
    <w:rsid w:val="099550AE"/>
    <w:rsid w:val="099866AB"/>
    <w:rsid w:val="099F02F6"/>
    <w:rsid w:val="09A22462"/>
    <w:rsid w:val="09A41669"/>
    <w:rsid w:val="09A45050"/>
    <w:rsid w:val="09A80FE4"/>
    <w:rsid w:val="09B5347E"/>
    <w:rsid w:val="09B641A8"/>
    <w:rsid w:val="09B90AFC"/>
    <w:rsid w:val="09BB40DD"/>
    <w:rsid w:val="09C22EA2"/>
    <w:rsid w:val="09C70838"/>
    <w:rsid w:val="09CD103A"/>
    <w:rsid w:val="09D745BA"/>
    <w:rsid w:val="09D84F06"/>
    <w:rsid w:val="09D85451"/>
    <w:rsid w:val="09DE6960"/>
    <w:rsid w:val="09EC020F"/>
    <w:rsid w:val="0A002BCE"/>
    <w:rsid w:val="0A091100"/>
    <w:rsid w:val="0A1D31AD"/>
    <w:rsid w:val="0A261F09"/>
    <w:rsid w:val="0A293318"/>
    <w:rsid w:val="0A2A7A1A"/>
    <w:rsid w:val="0A2C751F"/>
    <w:rsid w:val="0A311F31"/>
    <w:rsid w:val="0A325BDE"/>
    <w:rsid w:val="0A335408"/>
    <w:rsid w:val="0A3665F0"/>
    <w:rsid w:val="0A387E2D"/>
    <w:rsid w:val="0A3E44D2"/>
    <w:rsid w:val="0A40746F"/>
    <w:rsid w:val="0A4317D6"/>
    <w:rsid w:val="0A4F5267"/>
    <w:rsid w:val="0A5371A2"/>
    <w:rsid w:val="0A556683"/>
    <w:rsid w:val="0A5A2DFE"/>
    <w:rsid w:val="0A5D2A12"/>
    <w:rsid w:val="0A5E606A"/>
    <w:rsid w:val="0A616DCE"/>
    <w:rsid w:val="0A6F1491"/>
    <w:rsid w:val="0A7318E0"/>
    <w:rsid w:val="0A7B5D0E"/>
    <w:rsid w:val="0A876E4C"/>
    <w:rsid w:val="0A892D67"/>
    <w:rsid w:val="0A8C628A"/>
    <w:rsid w:val="0A8E560C"/>
    <w:rsid w:val="0A954542"/>
    <w:rsid w:val="0AA062F8"/>
    <w:rsid w:val="0AA55524"/>
    <w:rsid w:val="0AAC240E"/>
    <w:rsid w:val="0AB45767"/>
    <w:rsid w:val="0ABC6268"/>
    <w:rsid w:val="0AC5719F"/>
    <w:rsid w:val="0AD06B65"/>
    <w:rsid w:val="0AD61DF2"/>
    <w:rsid w:val="0AD80A56"/>
    <w:rsid w:val="0AE07320"/>
    <w:rsid w:val="0AE4701C"/>
    <w:rsid w:val="0AF264D2"/>
    <w:rsid w:val="0AF4148C"/>
    <w:rsid w:val="0B0B35D9"/>
    <w:rsid w:val="0B140BA6"/>
    <w:rsid w:val="0B1571B6"/>
    <w:rsid w:val="0B1748F4"/>
    <w:rsid w:val="0B3B45A3"/>
    <w:rsid w:val="0B3C0DA5"/>
    <w:rsid w:val="0B3E63F4"/>
    <w:rsid w:val="0B416FFB"/>
    <w:rsid w:val="0B4462B6"/>
    <w:rsid w:val="0B4B0001"/>
    <w:rsid w:val="0B4E214B"/>
    <w:rsid w:val="0B527FFE"/>
    <w:rsid w:val="0B5D311A"/>
    <w:rsid w:val="0B694036"/>
    <w:rsid w:val="0B6D08B6"/>
    <w:rsid w:val="0B712CFA"/>
    <w:rsid w:val="0B7B64AB"/>
    <w:rsid w:val="0B8E2B84"/>
    <w:rsid w:val="0B960018"/>
    <w:rsid w:val="0B972D58"/>
    <w:rsid w:val="0B98565A"/>
    <w:rsid w:val="0BA04C6C"/>
    <w:rsid w:val="0BA54EAA"/>
    <w:rsid w:val="0BA636D8"/>
    <w:rsid w:val="0BAA311F"/>
    <w:rsid w:val="0BAA4E89"/>
    <w:rsid w:val="0BAB4B6E"/>
    <w:rsid w:val="0BB0067A"/>
    <w:rsid w:val="0BBA75A0"/>
    <w:rsid w:val="0BC5011E"/>
    <w:rsid w:val="0BC9528F"/>
    <w:rsid w:val="0BCA342B"/>
    <w:rsid w:val="0BD75FB7"/>
    <w:rsid w:val="0BDC13D1"/>
    <w:rsid w:val="0BDD4549"/>
    <w:rsid w:val="0BDE14C7"/>
    <w:rsid w:val="0BDF5D8F"/>
    <w:rsid w:val="0BE51391"/>
    <w:rsid w:val="0BE82342"/>
    <w:rsid w:val="0BEB28CE"/>
    <w:rsid w:val="0BF07A36"/>
    <w:rsid w:val="0BFD5D33"/>
    <w:rsid w:val="0BFD6B16"/>
    <w:rsid w:val="0C075BDE"/>
    <w:rsid w:val="0C100C10"/>
    <w:rsid w:val="0C157B7E"/>
    <w:rsid w:val="0C1F1FC7"/>
    <w:rsid w:val="0C2506CA"/>
    <w:rsid w:val="0C272546"/>
    <w:rsid w:val="0C2C72E0"/>
    <w:rsid w:val="0C2D1721"/>
    <w:rsid w:val="0C3D1B8E"/>
    <w:rsid w:val="0C445D99"/>
    <w:rsid w:val="0C4A20D3"/>
    <w:rsid w:val="0C4D5E73"/>
    <w:rsid w:val="0C53407E"/>
    <w:rsid w:val="0C5660C6"/>
    <w:rsid w:val="0C5C0335"/>
    <w:rsid w:val="0C5F4082"/>
    <w:rsid w:val="0C616270"/>
    <w:rsid w:val="0C735B51"/>
    <w:rsid w:val="0C78091A"/>
    <w:rsid w:val="0C837B73"/>
    <w:rsid w:val="0C843458"/>
    <w:rsid w:val="0C864F0F"/>
    <w:rsid w:val="0C884407"/>
    <w:rsid w:val="0C8940C8"/>
    <w:rsid w:val="0C896997"/>
    <w:rsid w:val="0C8D6E71"/>
    <w:rsid w:val="0C931FBF"/>
    <w:rsid w:val="0C944EF4"/>
    <w:rsid w:val="0C945BC1"/>
    <w:rsid w:val="0C9508EC"/>
    <w:rsid w:val="0CA912FB"/>
    <w:rsid w:val="0CAC5995"/>
    <w:rsid w:val="0CB63C8D"/>
    <w:rsid w:val="0CBC4713"/>
    <w:rsid w:val="0CC22C75"/>
    <w:rsid w:val="0CD234B9"/>
    <w:rsid w:val="0CD64CC8"/>
    <w:rsid w:val="0CD678E8"/>
    <w:rsid w:val="0CD93263"/>
    <w:rsid w:val="0CDF4558"/>
    <w:rsid w:val="0CE0549B"/>
    <w:rsid w:val="0CEA36C2"/>
    <w:rsid w:val="0CEF321A"/>
    <w:rsid w:val="0CF34200"/>
    <w:rsid w:val="0CF354C7"/>
    <w:rsid w:val="0CFD6347"/>
    <w:rsid w:val="0D074F8E"/>
    <w:rsid w:val="0D1151EA"/>
    <w:rsid w:val="0D124D20"/>
    <w:rsid w:val="0D1D1C4F"/>
    <w:rsid w:val="0D2546FA"/>
    <w:rsid w:val="0D264163"/>
    <w:rsid w:val="0D27045F"/>
    <w:rsid w:val="0D295F98"/>
    <w:rsid w:val="0D2D6634"/>
    <w:rsid w:val="0D355956"/>
    <w:rsid w:val="0D361DE6"/>
    <w:rsid w:val="0D362952"/>
    <w:rsid w:val="0D3C2707"/>
    <w:rsid w:val="0D3D1A44"/>
    <w:rsid w:val="0D403E04"/>
    <w:rsid w:val="0D47054D"/>
    <w:rsid w:val="0D62248A"/>
    <w:rsid w:val="0D6431F8"/>
    <w:rsid w:val="0D6A5FB2"/>
    <w:rsid w:val="0D821B9F"/>
    <w:rsid w:val="0D833F18"/>
    <w:rsid w:val="0D844305"/>
    <w:rsid w:val="0D915F1B"/>
    <w:rsid w:val="0D9909A4"/>
    <w:rsid w:val="0DA02D7E"/>
    <w:rsid w:val="0DA40F8D"/>
    <w:rsid w:val="0DA41AC3"/>
    <w:rsid w:val="0DA43520"/>
    <w:rsid w:val="0DB300F1"/>
    <w:rsid w:val="0DBD4D94"/>
    <w:rsid w:val="0DC01040"/>
    <w:rsid w:val="0DC43CFC"/>
    <w:rsid w:val="0DC8547F"/>
    <w:rsid w:val="0DC971B8"/>
    <w:rsid w:val="0DCF6C72"/>
    <w:rsid w:val="0DF04390"/>
    <w:rsid w:val="0DF43E80"/>
    <w:rsid w:val="0DF72A6E"/>
    <w:rsid w:val="0E0C3E1A"/>
    <w:rsid w:val="0E184DF6"/>
    <w:rsid w:val="0E266279"/>
    <w:rsid w:val="0E272BAB"/>
    <w:rsid w:val="0E282B84"/>
    <w:rsid w:val="0E2844A2"/>
    <w:rsid w:val="0E2E7806"/>
    <w:rsid w:val="0E330F87"/>
    <w:rsid w:val="0E33230D"/>
    <w:rsid w:val="0E42733E"/>
    <w:rsid w:val="0E44273A"/>
    <w:rsid w:val="0E46489E"/>
    <w:rsid w:val="0E4B1AF5"/>
    <w:rsid w:val="0E4E7FF3"/>
    <w:rsid w:val="0E5739FC"/>
    <w:rsid w:val="0E5E63E7"/>
    <w:rsid w:val="0E6139BB"/>
    <w:rsid w:val="0E6501B1"/>
    <w:rsid w:val="0E7605CA"/>
    <w:rsid w:val="0E7E613B"/>
    <w:rsid w:val="0E824329"/>
    <w:rsid w:val="0E84420A"/>
    <w:rsid w:val="0E875BEF"/>
    <w:rsid w:val="0E893023"/>
    <w:rsid w:val="0E992812"/>
    <w:rsid w:val="0E9D69B5"/>
    <w:rsid w:val="0EA05DDB"/>
    <w:rsid w:val="0EA367C5"/>
    <w:rsid w:val="0EA87391"/>
    <w:rsid w:val="0EAC0C2F"/>
    <w:rsid w:val="0EB66936"/>
    <w:rsid w:val="0EB93651"/>
    <w:rsid w:val="0EBA58E0"/>
    <w:rsid w:val="0EBF4721"/>
    <w:rsid w:val="0EC22451"/>
    <w:rsid w:val="0EC36088"/>
    <w:rsid w:val="0ECA08FF"/>
    <w:rsid w:val="0ECA4C67"/>
    <w:rsid w:val="0ECB4C48"/>
    <w:rsid w:val="0ECF2B6F"/>
    <w:rsid w:val="0ED251FE"/>
    <w:rsid w:val="0ED71A24"/>
    <w:rsid w:val="0EDC4650"/>
    <w:rsid w:val="0EE829EA"/>
    <w:rsid w:val="0EEA34E3"/>
    <w:rsid w:val="0EEB0202"/>
    <w:rsid w:val="0EED4626"/>
    <w:rsid w:val="0EF70A9C"/>
    <w:rsid w:val="0F063538"/>
    <w:rsid w:val="0F0B6709"/>
    <w:rsid w:val="0F0C2AB1"/>
    <w:rsid w:val="0F0E3698"/>
    <w:rsid w:val="0F175C63"/>
    <w:rsid w:val="0F193C81"/>
    <w:rsid w:val="0F2807D5"/>
    <w:rsid w:val="0F29004C"/>
    <w:rsid w:val="0F342001"/>
    <w:rsid w:val="0F3A235F"/>
    <w:rsid w:val="0F3A7353"/>
    <w:rsid w:val="0F3B4E70"/>
    <w:rsid w:val="0F4374E9"/>
    <w:rsid w:val="0F445E1F"/>
    <w:rsid w:val="0F4846E9"/>
    <w:rsid w:val="0F4E1E33"/>
    <w:rsid w:val="0F545946"/>
    <w:rsid w:val="0F5B4403"/>
    <w:rsid w:val="0F6905EB"/>
    <w:rsid w:val="0F6A157D"/>
    <w:rsid w:val="0F7206E6"/>
    <w:rsid w:val="0F780008"/>
    <w:rsid w:val="0F79640E"/>
    <w:rsid w:val="0F7B79DF"/>
    <w:rsid w:val="0F7D08C9"/>
    <w:rsid w:val="0F8100DD"/>
    <w:rsid w:val="0F896040"/>
    <w:rsid w:val="0FBB2715"/>
    <w:rsid w:val="0FBB7C48"/>
    <w:rsid w:val="0FBC6177"/>
    <w:rsid w:val="0FC33169"/>
    <w:rsid w:val="0FC74375"/>
    <w:rsid w:val="0FC859EB"/>
    <w:rsid w:val="0FCB0E33"/>
    <w:rsid w:val="0FCF51F0"/>
    <w:rsid w:val="0FD80651"/>
    <w:rsid w:val="0FE466BF"/>
    <w:rsid w:val="0FE854E7"/>
    <w:rsid w:val="0FEA4E03"/>
    <w:rsid w:val="0FEB51D7"/>
    <w:rsid w:val="0FFD2968"/>
    <w:rsid w:val="0FFF56D6"/>
    <w:rsid w:val="10017C90"/>
    <w:rsid w:val="10043120"/>
    <w:rsid w:val="100F5919"/>
    <w:rsid w:val="101203D5"/>
    <w:rsid w:val="10142A18"/>
    <w:rsid w:val="1020246F"/>
    <w:rsid w:val="10220CC7"/>
    <w:rsid w:val="10247568"/>
    <w:rsid w:val="10284291"/>
    <w:rsid w:val="102B22B3"/>
    <w:rsid w:val="10324F17"/>
    <w:rsid w:val="10367E7F"/>
    <w:rsid w:val="10385C50"/>
    <w:rsid w:val="103C6530"/>
    <w:rsid w:val="104135F9"/>
    <w:rsid w:val="10487670"/>
    <w:rsid w:val="104A6951"/>
    <w:rsid w:val="104C6AB5"/>
    <w:rsid w:val="104F3B19"/>
    <w:rsid w:val="10597D75"/>
    <w:rsid w:val="106108D8"/>
    <w:rsid w:val="10667503"/>
    <w:rsid w:val="106E7684"/>
    <w:rsid w:val="10734861"/>
    <w:rsid w:val="107C11F7"/>
    <w:rsid w:val="107C79D6"/>
    <w:rsid w:val="10805C51"/>
    <w:rsid w:val="108160EB"/>
    <w:rsid w:val="1090441B"/>
    <w:rsid w:val="1092465E"/>
    <w:rsid w:val="10944070"/>
    <w:rsid w:val="10982DCE"/>
    <w:rsid w:val="10992FF0"/>
    <w:rsid w:val="109B3D8A"/>
    <w:rsid w:val="10A27C14"/>
    <w:rsid w:val="10AA6A2C"/>
    <w:rsid w:val="10AB55AC"/>
    <w:rsid w:val="10B330FC"/>
    <w:rsid w:val="10B5256D"/>
    <w:rsid w:val="10B560D8"/>
    <w:rsid w:val="10BD2856"/>
    <w:rsid w:val="10C55FD8"/>
    <w:rsid w:val="10C95E9E"/>
    <w:rsid w:val="10D0345D"/>
    <w:rsid w:val="10D34649"/>
    <w:rsid w:val="10D76DAE"/>
    <w:rsid w:val="10DF14D2"/>
    <w:rsid w:val="10E30B54"/>
    <w:rsid w:val="10E754D6"/>
    <w:rsid w:val="10E80FB0"/>
    <w:rsid w:val="10F265C9"/>
    <w:rsid w:val="10F813D6"/>
    <w:rsid w:val="10FB5DA0"/>
    <w:rsid w:val="110411F6"/>
    <w:rsid w:val="110F0335"/>
    <w:rsid w:val="110F5720"/>
    <w:rsid w:val="111D6C91"/>
    <w:rsid w:val="11205904"/>
    <w:rsid w:val="11231BFD"/>
    <w:rsid w:val="112A2281"/>
    <w:rsid w:val="1139086C"/>
    <w:rsid w:val="114505E0"/>
    <w:rsid w:val="114D0931"/>
    <w:rsid w:val="1151750B"/>
    <w:rsid w:val="11550731"/>
    <w:rsid w:val="11586B07"/>
    <w:rsid w:val="1169555D"/>
    <w:rsid w:val="116B092B"/>
    <w:rsid w:val="116D20C1"/>
    <w:rsid w:val="11722488"/>
    <w:rsid w:val="117346C8"/>
    <w:rsid w:val="117F09B1"/>
    <w:rsid w:val="11805EF3"/>
    <w:rsid w:val="11856E30"/>
    <w:rsid w:val="11881B9E"/>
    <w:rsid w:val="11943ED5"/>
    <w:rsid w:val="119A0771"/>
    <w:rsid w:val="119B3C5D"/>
    <w:rsid w:val="11A419D3"/>
    <w:rsid w:val="11A94654"/>
    <w:rsid w:val="11AB6F1B"/>
    <w:rsid w:val="11AF0CB3"/>
    <w:rsid w:val="11AF7808"/>
    <w:rsid w:val="11B31D4E"/>
    <w:rsid w:val="11B33C7B"/>
    <w:rsid w:val="11B73B12"/>
    <w:rsid w:val="11B76BAA"/>
    <w:rsid w:val="11BA7EF9"/>
    <w:rsid w:val="11BE53F0"/>
    <w:rsid w:val="11C5725C"/>
    <w:rsid w:val="11C74E50"/>
    <w:rsid w:val="11D34725"/>
    <w:rsid w:val="11D64E8D"/>
    <w:rsid w:val="11E04EEF"/>
    <w:rsid w:val="11E140E0"/>
    <w:rsid w:val="11EC1E9B"/>
    <w:rsid w:val="11EE6C77"/>
    <w:rsid w:val="11F42873"/>
    <w:rsid w:val="11F72ACF"/>
    <w:rsid w:val="11FF0A82"/>
    <w:rsid w:val="120111F3"/>
    <w:rsid w:val="12096398"/>
    <w:rsid w:val="12190806"/>
    <w:rsid w:val="1230243F"/>
    <w:rsid w:val="123C353F"/>
    <w:rsid w:val="1242149A"/>
    <w:rsid w:val="124B075F"/>
    <w:rsid w:val="124C4DD3"/>
    <w:rsid w:val="125440F2"/>
    <w:rsid w:val="125735A8"/>
    <w:rsid w:val="12573BE5"/>
    <w:rsid w:val="12631F4C"/>
    <w:rsid w:val="12673465"/>
    <w:rsid w:val="12677A29"/>
    <w:rsid w:val="126958F8"/>
    <w:rsid w:val="127C1510"/>
    <w:rsid w:val="128F7080"/>
    <w:rsid w:val="12957C2C"/>
    <w:rsid w:val="12997EFB"/>
    <w:rsid w:val="12A165D1"/>
    <w:rsid w:val="12A61E39"/>
    <w:rsid w:val="12AB491E"/>
    <w:rsid w:val="12B134AB"/>
    <w:rsid w:val="12BA4D3A"/>
    <w:rsid w:val="12BD5D56"/>
    <w:rsid w:val="12C050D0"/>
    <w:rsid w:val="12C454E6"/>
    <w:rsid w:val="12CB10A8"/>
    <w:rsid w:val="12CB6265"/>
    <w:rsid w:val="12CC1508"/>
    <w:rsid w:val="12D544AD"/>
    <w:rsid w:val="12E17D73"/>
    <w:rsid w:val="12E77C3A"/>
    <w:rsid w:val="12F01337"/>
    <w:rsid w:val="12F31A04"/>
    <w:rsid w:val="12FB30F0"/>
    <w:rsid w:val="12FE6943"/>
    <w:rsid w:val="12FF1475"/>
    <w:rsid w:val="130840B2"/>
    <w:rsid w:val="130C4810"/>
    <w:rsid w:val="130E25B5"/>
    <w:rsid w:val="13134D2F"/>
    <w:rsid w:val="13165E4B"/>
    <w:rsid w:val="13184F75"/>
    <w:rsid w:val="131D4976"/>
    <w:rsid w:val="132056FC"/>
    <w:rsid w:val="13206A65"/>
    <w:rsid w:val="13326CD0"/>
    <w:rsid w:val="133C338B"/>
    <w:rsid w:val="133F3C6F"/>
    <w:rsid w:val="13445AD8"/>
    <w:rsid w:val="134655A4"/>
    <w:rsid w:val="134852C7"/>
    <w:rsid w:val="1353193C"/>
    <w:rsid w:val="13541A69"/>
    <w:rsid w:val="13544D93"/>
    <w:rsid w:val="13544E7C"/>
    <w:rsid w:val="135C6B1A"/>
    <w:rsid w:val="13623853"/>
    <w:rsid w:val="13657990"/>
    <w:rsid w:val="136915B2"/>
    <w:rsid w:val="136B7C6C"/>
    <w:rsid w:val="136E0D26"/>
    <w:rsid w:val="1376180B"/>
    <w:rsid w:val="13765F00"/>
    <w:rsid w:val="13794177"/>
    <w:rsid w:val="137E6249"/>
    <w:rsid w:val="138452C2"/>
    <w:rsid w:val="138875B3"/>
    <w:rsid w:val="13947495"/>
    <w:rsid w:val="13952A53"/>
    <w:rsid w:val="139C2756"/>
    <w:rsid w:val="139D658C"/>
    <w:rsid w:val="13AC4A5F"/>
    <w:rsid w:val="13AF2F6F"/>
    <w:rsid w:val="13B04C9C"/>
    <w:rsid w:val="13C13C6B"/>
    <w:rsid w:val="13C55773"/>
    <w:rsid w:val="13CF2EA8"/>
    <w:rsid w:val="13D22C6B"/>
    <w:rsid w:val="13D77455"/>
    <w:rsid w:val="13D87817"/>
    <w:rsid w:val="13E110E2"/>
    <w:rsid w:val="13E45F3D"/>
    <w:rsid w:val="13E500A7"/>
    <w:rsid w:val="13EE44DB"/>
    <w:rsid w:val="13F266E9"/>
    <w:rsid w:val="13FE1F65"/>
    <w:rsid w:val="140C43C6"/>
    <w:rsid w:val="14167777"/>
    <w:rsid w:val="1419089C"/>
    <w:rsid w:val="14282930"/>
    <w:rsid w:val="143C4FA9"/>
    <w:rsid w:val="143D18E9"/>
    <w:rsid w:val="143F6714"/>
    <w:rsid w:val="1442778D"/>
    <w:rsid w:val="144C07BE"/>
    <w:rsid w:val="144F438B"/>
    <w:rsid w:val="14513F61"/>
    <w:rsid w:val="14567CBD"/>
    <w:rsid w:val="145B1E85"/>
    <w:rsid w:val="14603813"/>
    <w:rsid w:val="14627216"/>
    <w:rsid w:val="14667AD2"/>
    <w:rsid w:val="146A5814"/>
    <w:rsid w:val="146B6F15"/>
    <w:rsid w:val="146D2E7E"/>
    <w:rsid w:val="146E2BD8"/>
    <w:rsid w:val="14713259"/>
    <w:rsid w:val="14742B43"/>
    <w:rsid w:val="14744C8B"/>
    <w:rsid w:val="14752E08"/>
    <w:rsid w:val="14754AF7"/>
    <w:rsid w:val="148054FA"/>
    <w:rsid w:val="14832432"/>
    <w:rsid w:val="14882B4E"/>
    <w:rsid w:val="14911FA3"/>
    <w:rsid w:val="14926301"/>
    <w:rsid w:val="14974E0F"/>
    <w:rsid w:val="14A47883"/>
    <w:rsid w:val="14AC643C"/>
    <w:rsid w:val="14B670F9"/>
    <w:rsid w:val="14C26A37"/>
    <w:rsid w:val="14C57C08"/>
    <w:rsid w:val="14C864BB"/>
    <w:rsid w:val="14DF17C8"/>
    <w:rsid w:val="14E0080E"/>
    <w:rsid w:val="14E84B23"/>
    <w:rsid w:val="14E97066"/>
    <w:rsid w:val="14EA24B1"/>
    <w:rsid w:val="14EB6229"/>
    <w:rsid w:val="14F663C5"/>
    <w:rsid w:val="14F77F85"/>
    <w:rsid w:val="14FD0BC7"/>
    <w:rsid w:val="14FD6964"/>
    <w:rsid w:val="15001CD4"/>
    <w:rsid w:val="150A641C"/>
    <w:rsid w:val="150E47D3"/>
    <w:rsid w:val="150F1842"/>
    <w:rsid w:val="15134105"/>
    <w:rsid w:val="151B71F4"/>
    <w:rsid w:val="151E03AD"/>
    <w:rsid w:val="15262497"/>
    <w:rsid w:val="15295DE0"/>
    <w:rsid w:val="153533D0"/>
    <w:rsid w:val="153B4ABB"/>
    <w:rsid w:val="153D2FB9"/>
    <w:rsid w:val="15462202"/>
    <w:rsid w:val="154E5444"/>
    <w:rsid w:val="15545B7C"/>
    <w:rsid w:val="155B6EC7"/>
    <w:rsid w:val="15642ACE"/>
    <w:rsid w:val="15684DE9"/>
    <w:rsid w:val="156C2CBA"/>
    <w:rsid w:val="157A0E04"/>
    <w:rsid w:val="157F45EE"/>
    <w:rsid w:val="158C3568"/>
    <w:rsid w:val="158F43F2"/>
    <w:rsid w:val="15934820"/>
    <w:rsid w:val="159468C1"/>
    <w:rsid w:val="159545D3"/>
    <w:rsid w:val="15957A32"/>
    <w:rsid w:val="15A35CFD"/>
    <w:rsid w:val="15A65C53"/>
    <w:rsid w:val="15A837FD"/>
    <w:rsid w:val="15B649CB"/>
    <w:rsid w:val="15B72090"/>
    <w:rsid w:val="15C92187"/>
    <w:rsid w:val="15CB2C15"/>
    <w:rsid w:val="15D408D2"/>
    <w:rsid w:val="15E23CA1"/>
    <w:rsid w:val="15E44B10"/>
    <w:rsid w:val="15F04FF3"/>
    <w:rsid w:val="15F3132C"/>
    <w:rsid w:val="15F860E3"/>
    <w:rsid w:val="15FA5B71"/>
    <w:rsid w:val="15FF6AE8"/>
    <w:rsid w:val="16021D1A"/>
    <w:rsid w:val="1604482A"/>
    <w:rsid w:val="160E21CF"/>
    <w:rsid w:val="161233C7"/>
    <w:rsid w:val="161550E9"/>
    <w:rsid w:val="16186956"/>
    <w:rsid w:val="1620398B"/>
    <w:rsid w:val="163A05C5"/>
    <w:rsid w:val="164058E2"/>
    <w:rsid w:val="16433A3E"/>
    <w:rsid w:val="16583588"/>
    <w:rsid w:val="16586370"/>
    <w:rsid w:val="165D32C4"/>
    <w:rsid w:val="16650A91"/>
    <w:rsid w:val="166840C5"/>
    <w:rsid w:val="166C616C"/>
    <w:rsid w:val="166D7788"/>
    <w:rsid w:val="16714074"/>
    <w:rsid w:val="16751E9A"/>
    <w:rsid w:val="16767D46"/>
    <w:rsid w:val="167F78A1"/>
    <w:rsid w:val="169721C5"/>
    <w:rsid w:val="16974580"/>
    <w:rsid w:val="169B1B17"/>
    <w:rsid w:val="16A612CD"/>
    <w:rsid w:val="16A94A99"/>
    <w:rsid w:val="16AE11D0"/>
    <w:rsid w:val="16B712B5"/>
    <w:rsid w:val="16B77E6B"/>
    <w:rsid w:val="16B81E99"/>
    <w:rsid w:val="16BF4409"/>
    <w:rsid w:val="16D40C5B"/>
    <w:rsid w:val="16DC65C6"/>
    <w:rsid w:val="16E17C63"/>
    <w:rsid w:val="16E573D4"/>
    <w:rsid w:val="16EA44E3"/>
    <w:rsid w:val="16EB5BE3"/>
    <w:rsid w:val="16EB7682"/>
    <w:rsid w:val="16EF32AC"/>
    <w:rsid w:val="16F07B27"/>
    <w:rsid w:val="16F1577C"/>
    <w:rsid w:val="16FE7F38"/>
    <w:rsid w:val="17017F86"/>
    <w:rsid w:val="17045380"/>
    <w:rsid w:val="170E3AE7"/>
    <w:rsid w:val="170E47DD"/>
    <w:rsid w:val="170F0995"/>
    <w:rsid w:val="170F4A25"/>
    <w:rsid w:val="17107C6C"/>
    <w:rsid w:val="171321BA"/>
    <w:rsid w:val="17147CB9"/>
    <w:rsid w:val="171901C9"/>
    <w:rsid w:val="17190903"/>
    <w:rsid w:val="171F7265"/>
    <w:rsid w:val="1722617F"/>
    <w:rsid w:val="17242B7D"/>
    <w:rsid w:val="172C0D00"/>
    <w:rsid w:val="173916E6"/>
    <w:rsid w:val="173D29C4"/>
    <w:rsid w:val="173E4D36"/>
    <w:rsid w:val="174218AC"/>
    <w:rsid w:val="1744273D"/>
    <w:rsid w:val="17451C21"/>
    <w:rsid w:val="1747316A"/>
    <w:rsid w:val="17495F75"/>
    <w:rsid w:val="174A6742"/>
    <w:rsid w:val="174B5D9B"/>
    <w:rsid w:val="174B6870"/>
    <w:rsid w:val="175073AD"/>
    <w:rsid w:val="17560E1F"/>
    <w:rsid w:val="17586875"/>
    <w:rsid w:val="175B16C1"/>
    <w:rsid w:val="17644E41"/>
    <w:rsid w:val="176E5110"/>
    <w:rsid w:val="17726023"/>
    <w:rsid w:val="17811758"/>
    <w:rsid w:val="178A3AD0"/>
    <w:rsid w:val="17916313"/>
    <w:rsid w:val="17946D71"/>
    <w:rsid w:val="17A55D8C"/>
    <w:rsid w:val="17AF1F69"/>
    <w:rsid w:val="17B54E2F"/>
    <w:rsid w:val="17B84970"/>
    <w:rsid w:val="17BB681D"/>
    <w:rsid w:val="17BD5C5B"/>
    <w:rsid w:val="17C01B9B"/>
    <w:rsid w:val="17C219E5"/>
    <w:rsid w:val="17C4359E"/>
    <w:rsid w:val="17C53E11"/>
    <w:rsid w:val="17C76AD9"/>
    <w:rsid w:val="17CB07DE"/>
    <w:rsid w:val="17CD36EA"/>
    <w:rsid w:val="17CD6C10"/>
    <w:rsid w:val="17CE7E68"/>
    <w:rsid w:val="17D020C2"/>
    <w:rsid w:val="17D3551C"/>
    <w:rsid w:val="17D460A3"/>
    <w:rsid w:val="17DD36AB"/>
    <w:rsid w:val="17DD4433"/>
    <w:rsid w:val="17DE53A2"/>
    <w:rsid w:val="17E12AD5"/>
    <w:rsid w:val="17ED01A9"/>
    <w:rsid w:val="17F33D23"/>
    <w:rsid w:val="17F8587D"/>
    <w:rsid w:val="17F86DDF"/>
    <w:rsid w:val="17FA76AC"/>
    <w:rsid w:val="180520BE"/>
    <w:rsid w:val="18171380"/>
    <w:rsid w:val="18203CF8"/>
    <w:rsid w:val="1820443C"/>
    <w:rsid w:val="18235B74"/>
    <w:rsid w:val="1826621F"/>
    <w:rsid w:val="182E68B5"/>
    <w:rsid w:val="18304FE0"/>
    <w:rsid w:val="18306A6C"/>
    <w:rsid w:val="18361955"/>
    <w:rsid w:val="183B3024"/>
    <w:rsid w:val="183E3DA8"/>
    <w:rsid w:val="183E7DF9"/>
    <w:rsid w:val="18486082"/>
    <w:rsid w:val="18551886"/>
    <w:rsid w:val="185A227F"/>
    <w:rsid w:val="18605B86"/>
    <w:rsid w:val="18620BAC"/>
    <w:rsid w:val="18685DF9"/>
    <w:rsid w:val="18717C2F"/>
    <w:rsid w:val="187364E4"/>
    <w:rsid w:val="18745AE8"/>
    <w:rsid w:val="18772149"/>
    <w:rsid w:val="187C61A2"/>
    <w:rsid w:val="1883469D"/>
    <w:rsid w:val="189270E7"/>
    <w:rsid w:val="18986393"/>
    <w:rsid w:val="189D611D"/>
    <w:rsid w:val="189D62F5"/>
    <w:rsid w:val="189F1FC6"/>
    <w:rsid w:val="18A1588B"/>
    <w:rsid w:val="18A4359D"/>
    <w:rsid w:val="18AF5EEB"/>
    <w:rsid w:val="18BB5877"/>
    <w:rsid w:val="18BE3D2E"/>
    <w:rsid w:val="18C035E4"/>
    <w:rsid w:val="18C10B83"/>
    <w:rsid w:val="18C416E8"/>
    <w:rsid w:val="18CC7B61"/>
    <w:rsid w:val="18D97E60"/>
    <w:rsid w:val="18DB52D8"/>
    <w:rsid w:val="18DF5A23"/>
    <w:rsid w:val="18E36ED5"/>
    <w:rsid w:val="18E37F41"/>
    <w:rsid w:val="18E67BAE"/>
    <w:rsid w:val="18E71B57"/>
    <w:rsid w:val="18EA162A"/>
    <w:rsid w:val="18F345A2"/>
    <w:rsid w:val="19090C79"/>
    <w:rsid w:val="190E1BEA"/>
    <w:rsid w:val="190E24E6"/>
    <w:rsid w:val="19145D4E"/>
    <w:rsid w:val="191776A5"/>
    <w:rsid w:val="19190E8B"/>
    <w:rsid w:val="19290502"/>
    <w:rsid w:val="19353311"/>
    <w:rsid w:val="193E101D"/>
    <w:rsid w:val="193E133E"/>
    <w:rsid w:val="194062C1"/>
    <w:rsid w:val="19527BA2"/>
    <w:rsid w:val="195531FB"/>
    <w:rsid w:val="195A11A9"/>
    <w:rsid w:val="195A531C"/>
    <w:rsid w:val="195E735D"/>
    <w:rsid w:val="19663A48"/>
    <w:rsid w:val="196A24F0"/>
    <w:rsid w:val="196A2E61"/>
    <w:rsid w:val="196D40E0"/>
    <w:rsid w:val="196E288B"/>
    <w:rsid w:val="196E5916"/>
    <w:rsid w:val="19722A75"/>
    <w:rsid w:val="197A1C24"/>
    <w:rsid w:val="197B254B"/>
    <w:rsid w:val="199B447E"/>
    <w:rsid w:val="19BE0A0D"/>
    <w:rsid w:val="19C73D73"/>
    <w:rsid w:val="19C96816"/>
    <w:rsid w:val="19CD1256"/>
    <w:rsid w:val="19D2330D"/>
    <w:rsid w:val="19D92991"/>
    <w:rsid w:val="19DB6136"/>
    <w:rsid w:val="19DC2082"/>
    <w:rsid w:val="19DF0A59"/>
    <w:rsid w:val="19DF0C38"/>
    <w:rsid w:val="19E85250"/>
    <w:rsid w:val="19EA3FA9"/>
    <w:rsid w:val="19EC2C03"/>
    <w:rsid w:val="19F5133B"/>
    <w:rsid w:val="19FD7B33"/>
    <w:rsid w:val="1A035F4D"/>
    <w:rsid w:val="1A065F2D"/>
    <w:rsid w:val="1A0E06FB"/>
    <w:rsid w:val="1A105F4A"/>
    <w:rsid w:val="1A107ADA"/>
    <w:rsid w:val="1A1678A4"/>
    <w:rsid w:val="1A170471"/>
    <w:rsid w:val="1A1B1083"/>
    <w:rsid w:val="1A1C6362"/>
    <w:rsid w:val="1A237B72"/>
    <w:rsid w:val="1A2B1B32"/>
    <w:rsid w:val="1A2C2AF9"/>
    <w:rsid w:val="1A2C531A"/>
    <w:rsid w:val="1A31736B"/>
    <w:rsid w:val="1A32281E"/>
    <w:rsid w:val="1A4615C8"/>
    <w:rsid w:val="1A475E1E"/>
    <w:rsid w:val="1A497AD7"/>
    <w:rsid w:val="1A4A3EB7"/>
    <w:rsid w:val="1A4A49D3"/>
    <w:rsid w:val="1A4B082A"/>
    <w:rsid w:val="1A5228BF"/>
    <w:rsid w:val="1A5B755A"/>
    <w:rsid w:val="1A5C3588"/>
    <w:rsid w:val="1A646862"/>
    <w:rsid w:val="1A6A20E5"/>
    <w:rsid w:val="1A75281D"/>
    <w:rsid w:val="1A7C7171"/>
    <w:rsid w:val="1A862C7C"/>
    <w:rsid w:val="1A8F1797"/>
    <w:rsid w:val="1A90236E"/>
    <w:rsid w:val="1A903AFB"/>
    <w:rsid w:val="1A911621"/>
    <w:rsid w:val="1A915210"/>
    <w:rsid w:val="1A9A59B8"/>
    <w:rsid w:val="1A9A5A57"/>
    <w:rsid w:val="1A9B62C5"/>
    <w:rsid w:val="1A9F1F7F"/>
    <w:rsid w:val="1AA646A4"/>
    <w:rsid w:val="1AA7675D"/>
    <w:rsid w:val="1AA774D8"/>
    <w:rsid w:val="1AAA1BC3"/>
    <w:rsid w:val="1AAA28C3"/>
    <w:rsid w:val="1ABC2DC4"/>
    <w:rsid w:val="1ABE2DF0"/>
    <w:rsid w:val="1AC0222F"/>
    <w:rsid w:val="1AC11F06"/>
    <w:rsid w:val="1AC1665C"/>
    <w:rsid w:val="1AD25D63"/>
    <w:rsid w:val="1AD36971"/>
    <w:rsid w:val="1AD50CBF"/>
    <w:rsid w:val="1AE203DF"/>
    <w:rsid w:val="1AE431D8"/>
    <w:rsid w:val="1AED6063"/>
    <w:rsid w:val="1AF520D1"/>
    <w:rsid w:val="1AF54CE3"/>
    <w:rsid w:val="1AF705EA"/>
    <w:rsid w:val="1AF70DA3"/>
    <w:rsid w:val="1AFC6418"/>
    <w:rsid w:val="1B042739"/>
    <w:rsid w:val="1B075494"/>
    <w:rsid w:val="1B0A22A2"/>
    <w:rsid w:val="1B0A5522"/>
    <w:rsid w:val="1B0B3181"/>
    <w:rsid w:val="1B1825CA"/>
    <w:rsid w:val="1B1E2C5D"/>
    <w:rsid w:val="1B1E43B2"/>
    <w:rsid w:val="1B232AB3"/>
    <w:rsid w:val="1B23671D"/>
    <w:rsid w:val="1B2B02C2"/>
    <w:rsid w:val="1B2D3918"/>
    <w:rsid w:val="1B3264C4"/>
    <w:rsid w:val="1B386D51"/>
    <w:rsid w:val="1B3B41ED"/>
    <w:rsid w:val="1B403C15"/>
    <w:rsid w:val="1B4156D7"/>
    <w:rsid w:val="1B443D64"/>
    <w:rsid w:val="1B455583"/>
    <w:rsid w:val="1B4C5A53"/>
    <w:rsid w:val="1B4D5254"/>
    <w:rsid w:val="1B5468D6"/>
    <w:rsid w:val="1B642039"/>
    <w:rsid w:val="1B690A91"/>
    <w:rsid w:val="1B723200"/>
    <w:rsid w:val="1B7546AC"/>
    <w:rsid w:val="1B7616AC"/>
    <w:rsid w:val="1B78320A"/>
    <w:rsid w:val="1B836EA2"/>
    <w:rsid w:val="1B8759FD"/>
    <w:rsid w:val="1B8D508E"/>
    <w:rsid w:val="1B9C269C"/>
    <w:rsid w:val="1B9C64CF"/>
    <w:rsid w:val="1B9D615A"/>
    <w:rsid w:val="1B9E01AA"/>
    <w:rsid w:val="1BA302BB"/>
    <w:rsid w:val="1BA94B12"/>
    <w:rsid w:val="1BBB1918"/>
    <w:rsid w:val="1BC3580A"/>
    <w:rsid w:val="1BC561B7"/>
    <w:rsid w:val="1BCA2520"/>
    <w:rsid w:val="1BD619E1"/>
    <w:rsid w:val="1BDA4853"/>
    <w:rsid w:val="1BDA7761"/>
    <w:rsid w:val="1BE03CC6"/>
    <w:rsid w:val="1BE42B51"/>
    <w:rsid w:val="1BE534A9"/>
    <w:rsid w:val="1BE87DC6"/>
    <w:rsid w:val="1C0A46B0"/>
    <w:rsid w:val="1C0C5AF2"/>
    <w:rsid w:val="1C102CD0"/>
    <w:rsid w:val="1C1F1628"/>
    <w:rsid w:val="1C2148A0"/>
    <w:rsid w:val="1C271F49"/>
    <w:rsid w:val="1C2E751D"/>
    <w:rsid w:val="1C362480"/>
    <w:rsid w:val="1C3756AE"/>
    <w:rsid w:val="1C3C7E4D"/>
    <w:rsid w:val="1C3D2B71"/>
    <w:rsid w:val="1C3E3B74"/>
    <w:rsid w:val="1C440540"/>
    <w:rsid w:val="1C4516BE"/>
    <w:rsid w:val="1C512148"/>
    <w:rsid w:val="1C54163E"/>
    <w:rsid w:val="1C574C89"/>
    <w:rsid w:val="1C5823F6"/>
    <w:rsid w:val="1C5B1C63"/>
    <w:rsid w:val="1C5D6071"/>
    <w:rsid w:val="1C60775C"/>
    <w:rsid w:val="1C6369F7"/>
    <w:rsid w:val="1C694D3C"/>
    <w:rsid w:val="1C7445EE"/>
    <w:rsid w:val="1C79305B"/>
    <w:rsid w:val="1C7C6DD5"/>
    <w:rsid w:val="1C7F378D"/>
    <w:rsid w:val="1C7F7F83"/>
    <w:rsid w:val="1C8651B5"/>
    <w:rsid w:val="1C867623"/>
    <w:rsid w:val="1C8A1B4D"/>
    <w:rsid w:val="1C8A2B20"/>
    <w:rsid w:val="1C8B7A0E"/>
    <w:rsid w:val="1C915791"/>
    <w:rsid w:val="1C9627DC"/>
    <w:rsid w:val="1C9D2D4B"/>
    <w:rsid w:val="1C9E0704"/>
    <w:rsid w:val="1C9E20B6"/>
    <w:rsid w:val="1C9F0891"/>
    <w:rsid w:val="1CA35D6A"/>
    <w:rsid w:val="1CA42B60"/>
    <w:rsid w:val="1CA5332E"/>
    <w:rsid w:val="1CA77CA4"/>
    <w:rsid w:val="1CA92D01"/>
    <w:rsid w:val="1CAA2ED9"/>
    <w:rsid w:val="1CAB56CB"/>
    <w:rsid w:val="1CB3587E"/>
    <w:rsid w:val="1CB860BE"/>
    <w:rsid w:val="1CBC30A8"/>
    <w:rsid w:val="1CBF06C7"/>
    <w:rsid w:val="1CC12F0F"/>
    <w:rsid w:val="1CC4598C"/>
    <w:rsid w:val="1CC6471F"/>
    <w:rsid w:val="1CCB0D82"/>
    <w:rsid w:val="1CCC0EFB"/>
    <w:rsid w:val="1CD218A1"/>
    <w:rsid w:val="1CD557F5"/>
    <w:rsid w:val="1CE70C84"/>
    <w:rsid w:val="1CEF0322"/>
    <w:rsid w:val="1CF743B7"/>
    <w:rsid w:val="1D0255DD"/>
    <w:rsid w:val="1D097B94"/>
    <w:rsid w:val="1D1259D5"/>
    <w:rsid w:val="1D146655"/>
    <w:rsid w:val="1D151012"/>
    <w:rsid w:val="1D1919AC"/>
    <w:rsid w:val="1D1B5A75"/>
    <w:rsid w:val="1D2020BE"/>
    <w:rsid w:val="1D275B51"/>
    <w:rsid w:val="1D287202"/>
    <w:rsid w:val="1D2E6DDB"/>
    <w:rsid w:val="1D322570"/>
    <w:rsid w:val="1D3249F5"/>
    <w:rsid w:val="1D340923"/>
    <w:rsid w:val="1D3C74A8"/>
    <w:rsid w:val="1D3D318A"/>
    <w:rsid w:val="1D401372"/>
    <w:rsid w:val="1D4043CB"/>
    <w:rsid w:val="1D4315AE"/>
    <w:rsid w:val="1D4969D2"/>
    <w:rsid w:val="1D544687"/>
    <w:rsid w:val="1D55737A"/>
    <w:rsid w:val="1D57646C"/>
    <w:rsid w:val="1D5C5F16"/>
    <w:rsid w:val="1D6525B6"/>
    <w:rsid w:val="1D69029B"/>
    <w:rsid w:val="1D6B61B9"/>
    <w:rsid w:val="1D6E0A39"/>
    <w:rsid w:val="1D73055C"/>
    <w:rsid w:val="1D747A33"/>
    <w:rsid w:val="1D755F0C"/>
    <w:rsid w:val="1D7B0D0A"/>
    <w:rsid w:val="1D7B74D6"/>
    <w:rsid w:val="1D800073"/>
    <w:rsid w:val="1D845053"/>
    <w:rsid w:val="1D8C6BC2"/>
    <w:rsid w:val="1D8E3F78"/>
    <w:rsid w:val="1D8F53E4"/>
    <w:rsid w:val="1D941B40"/>
    <w:rsid w:val="1D99799F"/>
    <w:rsid w:val="1DA0232B"/>
    <w:rsid w:val="1DA71F38"/>
    <w:rsid w:val="1DA8303F"/>
    <w:rsid w:val="1DA96932"/>
    <w:rsid w:val="1DAE1B8D"/>
    <w:rsid w:val="1DB9291B"/>
    <w:rsid w:val="1DBC3FAE"/>
    <w:rsid w:val="1DBC75D4"/>
    <w:rsid w:val="1DC64373"/>
    <w:rsid w:val="1DD21A7A"/>
    <w:rsid w:val="1DDA7E2C"/>
    <w:rsid w:val="1DE160D4"/>
    <w:rsid w:val="1DE1743A"/>
    <w:rsid w:val="1DEA6200"/>
    <w:rsid w:val="1DED3012"/>
    <w:rsid w:val="1DEF0DFE"/>
    <w:rsid w:val="1DFC744D"/>
    <w:rsid w:val="1E007A1F"/>
    <w:rsid w:val="1E0A442D"/>
    <w:rsid w:val="1E0F11DA"/>
    <w:rsid w:val="1E124B5C"/>
    <w:rsid w:val="1E146C1C"/>
    <w:rsid w:val="1E1D17EE"/>
    <w:rsid w:val="1E2A1A42"/>
    <w:rsid w:val="1E3E0DA5"/>
    <w:rsid w:val="1E430BB2"/>
    <w:rsid w:val="1E432C6D"/>
    <w:rsid w:val="1E4504AC"/>
    <w:rsid w:val="1E455B65"/>
    <w:rsid w:val="1E461A7F"/>
    <w:rsid w:val="1E484E15"/>
    <w:rsid w:val="1E4E190A"/>
    <w:rsid w:val="1E4F5985"/>
    <w:rsid w:val="1E5170FD"/>
    <w:rsid w:val="1E5E0586"/>
    <w:rsid w:val="1E670523"/>
    <w:rsid w:val="1E6719AC"/>
    <w:rsid w:val="1E707B6E"/>
    <w:rsid w:val="1E765D0F"/>
    <w:rsid w:val="1E7818E5"/>
    <w:rsid w:val="1E7D5438"/>
    <w:rsid w:val="1E8023A9"/>
    <w:rsid w:val="1E893E47"/>
    <w:rsid w:val="1E926F12"/>
    <w:rsid w:val="1E9A5DA3"/>
    <w:rsid w:val="1E9B481C"/>
    <w:rsid w:val="1EA02135"/>
    <w:rsid w:val="1EA2792C"/>
    <w:rsid w:val="1EA638ED"/>
    <w:rsid w:val="1EAD4CC4"/>
    <w:rsid w:val="1EB1403F"/>
    <w:rsid w:val="1EB309CE"/>
    <w:rsid w:val="1EB34D89"/>
    <w:rsid w:val="1EB51951"/>
    <w:rsid w:val="1EC61787"/>
    <w:rsid w:val="1EC8682E"/>
    <w:rsid w:val="1ECB33A2"/>
    <w:rsid w:val="1ECB7FFF"/>
    <w:rsid w:val="1ED01AE8"/>
    <w:rsid w:val="1ED06545"/>
    <w:rsid w:val="1ED21D12"/>
    <w:rsid w:val="1ED61CF8"/>
    <w:rsid w:val="1EDA3B35"/>
    <w:rsid w:val="1EDC498D"/>
    <w:rsid w:val="1EE2601B"/>
    <w:rsid w:val="1EE41FFE"/>
    <w:rsid w:val="1EE61F3B"/>
    <w:rsid w:val="1EEA622B"/>
    <w:rsid w:val="1EEB554F"/>
    <w:rsid w:val="1EF06916"/>
    <w:rsid w:val="1EF80128"/>
    <w:rsid w:val="1EFE53DD"/>
    <w:rsid w:val="1F063F0A"/>
    <w:rsid w:val="1F091105"/>
    <w:rsid w:val="1F0B7BF4"/>
    <w:rsid w:val="1F0C4DE9"/>
    <w:rsid w:val="1F0E5964"/>
    <w:rsid w:val="1F112955"/>
    <w:rsid w:val="1F1F34F6"/>
    <w:rsid w:val="1F1F5E4E"/>
    <w:rsid w:val="1F206DEB"/>
    <w:rsid w:val="1F210BF0"/>
    <w:rsid w:val="1F2724CA"/>
    <w:rsid w:val="1F2C4FD3"/>
    <w:rsid w:val="1F2E083B"/>
    <w:rsid w:val="1F33406A"/>
    <w:rsid w:val="1F354FC8"/>
    <w:rsid w:val="1F367F81"/>
    <w:rsid w:val="1F3F5B60"/>
    <w:rsid w:val="1F407A85"/>
    <w:rsid w:val="1F4359CD"/>
    <w:rsid w:val="1F46658F"/>
    <w:rsid w:val="1F487C3F"/>
    <w:rsid w:val="1F5359BE"/>
    <w:rsid w:val="1F546703"/>
    <w:rsid w:val="1F5835FA"/>
    <w:rsid w:val="1F590D48"/>
    <w:rsid w:val="1F597844"/>
    <w:rsid w:val="1F654E00"/>
    <w:rsid w:val="1F690BF5"/>
    <w:rsid w:val="1F6D7F66"/>
    <w:rsid w:val="1F700CB2"/>
    <w:rsid w:val="1F7108CD"/>
    <w:rsid w:val="1F7767BD"/>
    <w:rsid w:val="1F777B86"/>
    <w:rsid w:val="1F7E6617"/>
    <w:rsid w:val="1F826B07"/>
    <w:rsid w:val="1F881237"/>
    <w:rsid w:val="1F8C6C4C"/>
    <w:rsid w:val="1F900169"/>
    <w:rsid w:val="1F926555"/>
    <w:rsid w:val="1F944B30"/>
    <w:rsid w:val="1FA37D0D"/>
    <w:rsid w:val="1FA44662"/>
    <w:rsid w:val="1FA71619"/>
    <w:rsid w:val="1FAC7B52"/>
    <w:rsid w:val="1FBB35E8"/>
    <w:rsid w:val="1FBE4C66"/>
    <w:rsid w:val="1FC04FB3"/>
    <w:rsid w:val="1FC20A57"/>
    <w:rsid w:val="1FC20A8C"/>
    <w:rsid w:val="1FC319E3"/>
    <w:rsid w:val="1FC83070"/>
    <w:rsid w:val="1FD06E8E"/>
    <w:rsid w:val="1FD160C2"/>
    <w:rsid w:val="1FD313F0"/>
    <w:rsid w:val="1FD7195E"/>
    <w:rsid w:val="1FD80714"/>
    <w:rsid w:val="1FD85E11"/>
    <w:rsid w:val="1FDD4A1F"/>
    <w:rsid w:val="1FE162F5"/>
    <w:rsid w:val="1FEB1F1D"/>
    <w:rsid w:val="1FEE0A7F"/>
    <w:rsid w:val="1FEF06D7"/>
    <w:rsid w:val="1FF16202"/>
    <w:rsid w:val="1FFB7EEF"/>
    <w:rsid w:val="1FFE50E3"/>
    <w:rsid w:val="1FFF3961"/>
    <w:rsid w:val="20012538"/>
    <w:rsid w:val="200206E5"/>
    <w:rsid w:val="200742C6"/>
    <w:rsid w:val="200A3A07"/>
    <w:rsid w:val="200D7D4E"/>
    <w:rsid w:val="201115AC"/>
    <w:rsid w:val="20192212"/>
    <w:rsid w:val="201A0E7B"/>
    <w:rsid w:val="2026400C"/>
    <w:rsid w:val="202D5DC8"/>
    <w:rsid w:val="20340A84"/>
    <w:rsid w:val="20387CF2"/>
    <w:rsid w:val="203A4953"/>
    <w:rsid w:val="204C0A33"/>
    <w:rsid w:val="204D625B"/>
    <w:rsid w:val="2063435E"/>
    <w:rsid w:val="20637207"/>
    <w:rsid w:val="206615FE"/>
    <w:rsid w:val="20683E15"/>
    <w:rsid w:val="2077514B"/>
    <w:rsid w:val="207F2875"/>
    <w:rsid w:val="208A3385"/>
    <w:rsid w:val="208C08C0"/>
    <w:rsid w:val="20900455"/>
    <w:rsid w:val="209877B2"/>
    <w:rsid w:val="209A17F0"/>
    <w:rsid w:val="209C6EA1"/>
    <w:rsid w:val="209D648D"/>
    <w:rsid w:val="20AC2BFD"/>
    <w:rsid w:val="20B16E8C"/>
    <w:rsid w:val="20B532F3"/>
    <w:rsid w:val="20B76408"/>
    <w:rsid w:val="20C07FF8"/>
    <w:rsid w:val="20C12B7A"/>
    <w:rsid w:val="20C50676"/>
    <w:rsid w:val="20CD2A98"/>
    <w:rsid w:val="20DC6A9E"/>
    <w:rsid w:val="20DD55C0"/>
    <w:rsid w:val="20E4139D"/>
    <w:rsid w:val="20E75CB1"/>
    <w:rsid w:val="20EA3A28"/>
    <w:rsid w:val="20ED7A12"/>
    <w:rsid w:val="20EF3A95"/>
    <w:rsid w:val="20F2574F"/>
    <w:rsid w:val="20F46B58"/>
    <w:rsid w:val="20F525F8"/>
    <w:rsid w:val="20F9187D"/>
    <w:rsid w:val="21043F6B"/>
    <w:rsid w:val="210A3C28"/>
    <w:rsid w:val="210D2C11"/>
    <w:rsid w:val="21147BC7"/>
    <w:rsid w:val="2116324A"/>
    <w:rsid w:val="21192959"/>
    <w:rsid w:val="21197F46"/>
    <w:rsid w:val="211C4FC0"/>
    <w:rsid w:val="2120725A"/>
    <w:rsid w:val="21407393"/>
    <w:rsid w:val="215059C6"/>
    <w:rsid w:val="215238B8"/>
    <w:rsid w:val="21527B7A"/>
    <w:rsid w:val="2159776B"/>
    <w:rsid w:val="21620309"/>
    <w:rsid w:val="21623B5B"/>
    <w:rsid w:val="217C6B87"/>
    <w:rsid w:val="218078DF"/>
    <w:rsid w:val="21817CF9"/>
    <w:rsid w:val="21863C06"/>
    <w:rsid w:val="21902756"/>
    <w:rsid w:val="21933ED0"/>
    <w:rsid w:val="219A525F"/>
    <w:rsid w:val="219E33D5"/>
    <w:rsid w:val="219F6B10"/>
    <w:rsid w:val="21A124D6"/>
    <w:rsid w:val="21AB5206"/>
    <w:rsid w:val="21B46B62"/>
    <w:rsid w:val="21C30F39"/>
    <w:rsid w:val="21C86500"/>
    <w:rsid w:val="21CA3688"/>
    <w:rsid w:val="21CC0404"/>
    <w:rsid w:val="21D62627"/>
    <w:rsid w:val="21DD3243"/>
    <w:rsid w:val="21E16521"/>
    <w:rsid w:val="21E336A7"/>
    <w:rsid w:val="21F07D00"/>
    <w:rsid w:val="21F94BEC"/>
    <w:rsid w:val="21FE57EE"/>
    <w:rsid w:val="221670F5"/>
    <w:rsid w:val="2221247E"/>
    <w:rsid w:val="222A08FD"/>
    <w:rsid w:val="222A49B8"/>
    <w:rsid w:val="222E1BA3"/>
    <w:rsid w:val="222E30EB"/>
    <w:rsid w:val="224017D1"/>
    <w:rsid w:val="22467474"/>
    <w:rsid w:val="22486028"/>
    <w:rsid w:val="22493735"/>
    <w:rsid w:val="22516980"/>
    <w:rsid w:val="2252682D"/>
    <w:rsid w:val="22541985"/>
    <w:rsid w:val="22551466"/>
    <w:rsid w:val="22554145"/>
    <w:rsid w:val="225927B1"/>
    <w:rsid w:val="225D4377"/>
    <w:rsid w:val="225D6265"/>
    <w:rsid w:val="22697339"/>
    <w:rsid w:val="226A7E77"/>
    <w:rsid w:val="226D2DD0"/>
    <w:rsid w:val="228673E4"/>
    <w:rsid w:val="229375DA"/>
    <w:rsid w:val="229B5408"/>
    <w:rsid w:val="229C3D38"/>
    <w:rsid w:val="229E7F41"/>
    <w:rsid w:val="22A81DC2"/>
    <w:rsid w:val="22AD6FD8"/>
    <w:rsid w:val="22BC7EA6"/>
    <w:rsid w:val="22CC54A6"/>
    <w:rsid w:val="22CE0CE2"/>
    <w:rsid w:val="22DB10BE"/>
    <w:rsid w:val="22E82A66"/>
    <w:rsid w:val="22EE64FA"/>
    <w:rsid w:val="22F16537"/>
    <w:rsid w:val="22FD3CF7"/>
    <w:rsid w:val="22FD41E0"/>
    <w:rsid w:val="22FD5518"/>
    <w:rsid w:val="22FE1B5E"/>
    <w:rsid w:val="23071689"/>
    <w:rsid w:val="23094A8A"/>
    <w:rsid w:val="230D66E7"/>
    <w:rsid w:val="23106021"/>
    <w:rsid w:val="231116E2"/>
    <w:rsid w:val="23150900"/>
    <w:rsid w:val="231535D9"/>
    <w:rsid w:val="231A3CFC"/>
    <w:rsid w:val="231A5A5A"/>
    <w:rsid w:val="231E0654"/>
    <w:rsid w:val="23247BEE"/>
    <w:rsid w:val="233104C8"/>
    <w:rsid w:val="233A46C3"/>
    <w:rsid w:val="233D25B3"/>
    <w:rsid w:val="233F5304"/>
    <w:rsid w:val="2349019E"/>
    <w:rsid w:val="23542CBB"/>
    <w:rsid w:val="235F60F6"/>
    <w:rsid w:val="23641680"/>
    <w:rsid w:val="236941EC"/>
    <w:rsid w:val="236E26B5"/>
    <w:rsid w:val="23700025"/>
    <w:rsid w:val="2374611D"/>
    <w:rsid w:val="23750F1A"/>
    <w:rsid w:val="23780AD2"/>
    <w:rsid w:val="23790E1A"/>
    <w:rsid w:val="237C48EC"/>
    <w:rsid w:val="23835DAD"/>
    <w:rsid w:val="238623A5"/>
    <w:rsid w:val="238C7AD1"/>
    <w:rsid w:val="239159FB"/>
    <w:rsid w:val="23954366"/>
    <w:rsid w:val="23955EAD"/>
    <w:rsid w:val="23A002E8"/>
    <w:rsid w:val="23A03458"/>
    <w:rsid w:val="23A2788A"/>
    <w:rsid w:val="23A40B03"/>
    <w:rsid w:val="23B57133"/>
    <w:rsid w:val="23B819CC"/>
    <w:rsid w:val="23B9735B"/>
    <w:rsid w:val="23BF50E6"/>
    <w:rsid w:val="23C46BCA"/>
    <w:rsid w:val="23C51181"/>
    <w:rsid w:val="23CB775D"/>
    <w:rsid w:val="23CD2C26"/>
    <w:rsid w:val="23D031BA"/>
    <w:rsid w:val="23D04A20"/>
    <w:rsid w:val="23D61708"/>
    <w:rsid w:val="23D866DD"/>
    <w:rsid w:val="23DE7645"/>
    <w:rsid w:val="23E15203"/>
    <w:rsid w:val="23F76E82"/>
    <w:rsid w:val="23F95D05"/>
    <w:rsid w:val="2409674D"/>
    <w:rsid w:val="240D5326"/>
    <w:rsid w:val="24116997"/>
    <w:rsid w:val="241314AF"/>
    <w:rsid w:val="24134ED6"/>
    <w:rsid w:val="24170D2A"/>
    <w:rsid w:val="241F1CDE"/>
    <w:rsid w:val="24223252"/>
    <w:rsid w:val="2423153B"/>
    <w:rsid w:val="242D3CD5"/>
    <w:rsid w:val="242F48DA"/>
    <w:rsid w:val="24485FE3"/>
    <w:rsid w:val="244A2FF6"/>
    <w:rsid w:val="244C538F"/>
    <w:rsid w:val="24504957"/>
    <w:rsid w:val="245076FF"/>
    <w:rsid w:val="24521B8A"/>
    <w:rsid w:val="245502E5"/>
    <w:rsid w:val="245575FF"/>
    <w:rsid w:val="245604A1"/>
    <w:rsid w:val="245A0A7F"/>
    <w:rsid w:val="245A195E"/>
    <w:rsid w:val="245F724E"/>
    <w:rsid w:val="24655BA6"/>
    <w:rsid w:val="2472601F"/>
    <w:rsid w:val="247E36CF"/>
    <w:rsid w:val="247F4284"/>
    <w:rsid w:val="24822EB3"/>
    <w:rsid w:val="24835957"/>
    <w:rsid w:val="24871D5F"/>
    <w:rsid w:val="24980425"/>
    <w:rsid w:val="249B3813"/>
    <w:rsid w:val="249D62D1"/>
    <w:rsid w:val="24A02EA5"/>
    <w:rsid w:val="24A25288"/>
    <w:rsid w:val="24AD6BE8"/>
    <w:rsid w:val="24B06F90"/>
    <w:rsid w:val="24B240B3"/>
    <w:rsid w:val="24B44889"/>
    <w:rsid w:val="24B83FD1"/>
    <w:rsid w:val="24B9641E"/>
    <w:rsid w:val="24BA7AFE"/>
    <w:rsid w:val="24BE1264"/>
    <w:rsid w:val="24CC22FB"/>
    <w:rsid w:val="24D06521"/>
    <w:rsid w:val="24D952E1"/>
    <w:rsid w:val="24DD529B"/>
    <w:rsid w:val="24DF1E8D"/>
    <w:rsid w:val="24F06265"/>
    <w:rsid w:val="24F82AF5"/>
    <w:rsid w:val="25000C26"/>
    <w:rsid w:val="25037B30"/>
    <w:rsid w:val="25112977"/>
    <w:rsid w:val="253634F0"/>
    <w:rsid w:val="253B28B5"/>
    <w:rsid w:val="253D4889"/>
    <w:rsid w:val="253E1595"/>
    <w:rsid w:val="254327E6"/>
    <w:rsid w:val="254D7E6D"/>
    <w:rsid w:val="254F2DD3"/>
    <w:rsid w:val="25546D72"/>
    <w:rsid w:val="25565941"/>
    <w:rsid w:val="255F36C5"/>
    <w:rsid w:val="256062A5"/>
    <w:rsid w:val="25611299"/>
    <w:rsid w:val="25667C37"/>
    <w:rsid w:val="256B3794"/>
    <w:rsid w:val="25714FBF"/>
    <w:rsid w:val="2573559F"/>
    <w:rsid w:val="257C26A0"/>
    <w:rsid w:val="257C7710"/>
    <w:rsid w:val="2586473A"/>
    <w:rsid w:val="25891872"/>
    <w:rsid w:val="258C7E03"/>
    <w:rsid w:val="258E2883"/>
    <w:rsid w:val="259863FD"/>
    <w:rsid w:val="259E012A"/>
    <w:rsid w:val="259F7F34"/>
    <w:rsid w:val="25AE1727"/>
    <w:rsid w:val="25B04CC0"/>
    <w:rsid w:val="25B20D41"/>
    <w:rsid w:val="25B4289D"/>
    <w:rsid w:val="25BE3B70"/>
    <w:rsid w:val="25C63EC8"/>
    <w:rsid w:val="25CA3FBA"/>
    <w:rsid w:val="25D02B22"/>
    <w:rsid w:val="25D2240E"/>
    <w:rsid w:val="25DA0A1E"/>
    <w:rsid w:val="25E42775"/>
    <w:rsid w:val="25F34F21"/>
    <w:rsid w:val="25F552F5"/>
    <w:rsid w:val="25FA7BA8"/>
    <w:rsid w:val="25FF5B6F"/>
    <w:rsid w:val="26003E8A"/>
    <w:rsid w:val="2604714B"/>
    <w:rsid w:val="260D5FFF"/>
    <w:rsid w:val="26127B25"/>
    <w:rsid w:val="2616153F"/>
    <w:rsid w:val="261D2D87"/>
    <w:rsid w:val="26286A9E"/>
    <w:rsid w:val="262F16FF"/>
    <w:rsid w:val="26300F37"/>
    <w:rsid w:val="26330CDF"/>
    <w:rsid w:val="26345C82"/>
    <w:rsid w:val="263A4437"/>
    <w:rsid w:val="263D1ED2"/>
    <w:rsid w:val="263F27A3"/>
    <w:rsid w:val="263F4E2D"/>
    <w:rsid w:val="264246FE"/>
    <w:rsid w:val="26461511"/>
    <w:rsid w:val="26483DDB"/>
    <w:rsid w:val="264D63FB"/>
    <w:rsid w:val="26690A04"/>
    <w:rsid w:val="26763C01"/>
    <w:rsid w:val="26793E48"/>
    <w:rsid w:val="26800451"/>
    <w:rsid w:val="268159F5"/>
    <w:rsid w:val="2683071F"/>
    <w:rsid w:val="268400DE"/>
    <w:rsid w:val="26914158"/>
    <w:rsid w:val="26961119"/>
    <w:rsid w:val="269B3BA7"/>
    <w:rsid w:val="26C37006"/>
    <w:rsid w:val="26C453F7"/>
    <w:rsid w:val="26C96942"/>
    <w:rsid w:val="26CD1F3C"/>
    <w:rsid w:val="26D94133"/>
    <w:rsid w:val="26DF118A"/>
    <w:rsid w:val="26E551E7"/>
    <w:rsid w:val="26F4468E"/>
    <w:rsid w:val="26F564E2"/>
    <w:rsid w:val="26FB4FD9"/>
    <w:rsid w:val="26FF18DC"/>
    <w:rsid w:val="2700211E"/>
    <w:rsid w:val="27002EA6"/>
    <w:rsid w:val="27045711"/>
    <w:rsid w:val="270D66AE"/>
    <w:rsid w:val="2712321F"/>
    <w:rsid w:val="271D2E3C"/>
    <w:rsid w:val="27244BBC"/>
    <w:rsid w:val="272D3E2A"/>
    <w:rsid w:val="27367FD2"/>
    <w:rsid w:val="27385029"/>
    <w:rsid w:val="273854E4"/>
    <w:rsid w:val="273A6EC2"/>
    <w:rsid w:val="273C6723"/>
    <w:rsid w:val="2748569C"/>
    <w:rsid w:val="27511CE5"/>
    <w:rsid w:val="27521C6D"/>
    <w:rsid w:val="27532138"/>
    <w:rsid w:val="27556925"/>
    <w:rsid w:val="275D0B79"/>
    <w:rsid w:val="27664277"/>
    <w:rsid w:val="276E6F72"/>
    <w:rsid w:val="276F4A98"/>
    <w:rsid w:val="27756435"/>
    <w:rsid w:val="27817E5A"/>
    <w:rsid w:val="27836248"/>
    <w:rsid w:val="278A1216"/>
    <w:rsid w:val="278C4C47"/>
    <w:rsid w:val="278C7164"/>
    <w:rsid w:val="279076FE"/>
    <w:rsid w:val="27962EA4"/>
    <w:rsid w:val="279D0FCC"/>
    <w:rsid w:val="279D49F6"/>
    <w:rsid w:val="27A122EC"/>
    <w:rsid w:val="27A6670B"/>
    <w:rsid w:val="27A952B9"/>
    <w:rsid w:val="27AC0F35"/>
    <w:rsid w:val="27AD0FD9"/>
    <w:rsid w:val="27BC3B07"/>
    <w:rsid w:val="27D709AD"/>
    <w:rsid w:val="27DB451B"/>
    <w:rsid w:val="27E012B3"/>
    <w:rsid w:val="27E24A7C"/>
    <w:rsid w:val="27E35F2B"/>
    <w:rsid w:val="27E66387"/>
    <w:rsid w:val="27F2509D"/>
    <w:rsid w:val="27F77396"/>
    <w:rsid w:val="280727DE"/>
    <w:rsid w:val="280C52E1"/>
    <w:rsid w:val="281D5A63"/>
    <w:rsid w:val="282B5E6A"/>
    <w:rsid w:val="282B65C8"/>
    <w:rsid w:val="28330F7E"/>
    <w:rsid w:val="28384009"/>
    <w:rsid w:val="283D09A7"/>
    <w:rsid w:val="283F539B"/>
    <w:rsid w:val="2840271D"/>
    <w:rsid w:val="284A2623"/>
    <w:rsid w:val="284A5664"/>
    <w:rsid w:val="284E54B5"/>
    <w:rsid w:val="2851569D"/>
    <w:rsid w:val="28663457"/>
    <w:rsid w:val="28677BDC"/>
    <w:rsid w:val="286C3BC6"/>
    <w:rsid w:val="28726E94"/>
    <w:rsid w:val="287D138F"/>
    <w:rsid w:val="28840A8F"/>
    <w:rsid w:val="28977FF3"/>
    <w:rsid w:val="289936C8"/>
    <w:rsid w:val="289B3D2D"/>
    <w:rsid w:val="28A47CE8"/>
    <w:rsid w:val="28A619E2"/>
    <w:rsid w:val="28AB5457"/>
    <w:rsid w:val="28AC60B9"/>
    <w:rsid w:val="28AC6EC6"/>
    <w:rsid w:val="28AF52BB"/>
    <w:rsid w:val="28B40C90"/>
    <w:rsid w:val="28BA1DC8"/>
    <w:rsid w:val="28CA642C"/>
    <w:rsid w:val="28D13347"/>
    <w:rsid w:val="28DB59FC"/>
    <w:rsid w:val="28DC7F0B"/>
    <w:rsid w:val="28E219C5"/>
    <w:rsid w:val="28E952BE"/>
    <w:rsid w:val="28ED2A41"/>
    <w:rsid w:val="28EF68E2"/>
    <w:rsid w:val="28F51662"/>
    <w:rsid w:val="28FE60D3"/>
    <w:rsid w:val="29083849"/>
    <w:rsid w:val="29216D99"/>
    <w:rsid w:val="29230728"/>
    <w:rsid w:val="292D7B28"/>
    <w:rsid w:val="292F3C55"/>
    <w:rsid w:val="292F44DF"/>
    <w:rsid w:val="2935507D"/>
    <w:rsid w:val="29395C03"/>
    <w:rsid w:val="293B3D7D"/>
    <w:rsid w:val="293B65B0"/>
    <w:rsid w:val="293D6BFB"/>
    <w:rsid w:val="29481594"/>
    <w:rsid w:val="294A3A34"/>
    <w:rsid w:val="294C1B9A"/>
    <w:rsid w:val="29506C0A"/>
    <w:rsid w:val="29547798"/>
    <w:rsid w:val="295D10C9"/>
    <w:rsid w:val="29653929"/>
    <w:rsid w:val="29690B29"/>
    <w:rsid w:val="296B349B"/>
    <w:rsid w:val="296C22A1"/>
    <w:rsid w:val="296C50F1"/>
    <w:rsid w:val="29747C9B"/>
    <w:rsid w:val="297665B1"/>
    <w:rsid w:val="297927B6"/>
    <w:rsid w:val="297F526F"/>
    <w:rsid w:val="29885241"/>
    <w:rsid w:val="298D5B60"/>
    <w:rsid w:val="299D17C8"/>
    <w:rsid w:val="299D3B3E"/>
    <w:rsid w:val="29A4380E"/>
    <w:rsid w:val="29A45139"/>
    <w:rsid w:val="29AA078A"/>
    <w:rsid w:val="29AC3B4D"/>
    <w:rsid w:val="29AC4C50"/>
    <w:rsid w:val="29AD5CA4"/>
    <w:rsid w:val="29B137FF"/>
    <w:rsid w:val="29B910E9"/>
    <w:rsid w:val="29C300BB"/>
    <w:rsid w:val="29C4165C"/>
    <w:rsid w:val="29C55D32"/>
    <w:rsid w:val="29C94F21"/>
    <w:rsid w:val="29CD3705"/>
    <w:rsid w:val="29D644B4"/>
    <w:rsid w:val="29DD03DE"/>
    <w:rsid w:val="29DF7CB3"/>
    <w:rsid w:val="29E91916"/>
    <w:rsid w:val="29E9340C"/>
    <w:rsid w:val="29EF5E4F"/>
    <w:rsid w:val="29F16847"/>
    <w:rsid w:val="29F574D6"/>
    <w:rsid w:val="29F81ABF"/>
    <w:rsid w:val="2A025551"/>
    <w:rsid w:val="2A057D9F"/>
    <w:rsid w:val="2A0E5CD0"/>
    <w:rsid w:val="2A0F1521"/>
    <w:rsid w:val="2A175BB1"/>
    <w:rsid w:val="2A1F6E38"/>
    <w:rsid w:val="2A2B646C"/>
    <w:rsid w:val="2A3341A2"/>
    <w:rsid w:val="2A3E750E"/>
    <w:rsid w:val="2A41663F"/>
    <w:rsid w:val="2A4B359A"/>
    <w:rsid w:val="2A4D0158"/>
    <w:rsid w:val="2A565DF1"/>
    <w:rsid w:val="2A582808"/>
    <w:rsid w:val="2A5D22C7"/>
    <w:rsid w:val="2A633900"/>
    <w:rsid w:val="2A651734"/>
    <w:rsid w:val="2A710EF2"/>
    <w:rsid w:val="2A735C44"/>
    <w:rsid w:val="2A7C5494"/>
    <w:rsid w:val="2A7D14E8"/>
    <w:rsid w:val="2A837064"/>
    <w:rsid w:val="2A885049"/>
    <w:rsid w:val="2A8C55B9"/>
    <w:rsid w:val="2A8F2485"/>
    <w:rsid w:val="2A924576"/>
    <w:rsid w:val="2A930A9D"/>
    <w:rsid w:val="2A954347"/>
    <w:rsid w:val="2AA01E42"/>
    <w:rsid w:val="2AA867AE"/>
    <w:rsid w:val="2AAA7910"/>
    <w:rsid w:val="2AAD1B5F"/>
    <w:rsid w:val="2AB51B21"/>
    <w:rsid w:val="2AB76548"/>
    <w:rsid w:val="2ABD181F"/>
    <w:rsid w:val="2ABE5AD9"/>
    <w:rsid w:val="2AC347ED"/>
    <w:rsid w:val="2AD03A9F"/>
    <w:rsid w:val="2AD0449D"/>
    <w:rsid w:val="2AD56B8B"/>
    <w:rsid w:val="2AD62011"/>
    <w:rsid w:val="2ADE5822"/>
    <w:rsid w:val="2AE011D4"/>
    <w:rsid w:val="2AE606D2"/>
    <w:rsid w:val="2AE93942"/>
    <w:rsid w:val="2AEB2245"/>
    <w:rsid w:val="2AEC5353"/>
    <w:rsid w:val="2AEE149F"/>
    <w:rsid w:val="2AF342FD"/>
    <w:rsid w:val="2AF939DC"/>
    <w:rsid w:val="2AF969E5"/>
    <w:rsid w:val="2AFF1A5F"/>
    <w:rsid w:val="2AFF73B8"/>
    <w:rsid w:val="2B022702"/>
    <w:rsid w:val="2B063EFC"/>
    <w:rsid w:val="2B0D6AA1"/>
    <w:rsid w:val="2B0F72A7"/>
    <w:rsid w:val="2B184FE6"/>
    <w:rsid w:val="2B185753"/>
    <w:rsid w:val="2B1F5B82"/>
    <w:rsid w:val="2B2222B4"/>
    <w:rsid w:val="2B2F5D45"/>
    <w:rsid w:val="2B326D3F"/>
    <w:rsid w:val="2B34402E"/>
    <w:rsid w:val="2B38014B"/>
    <w:rsid w:val="2B3E6888"/>
    <w:rsid w:val="2B434064"/>
    <w:rsid w:val="2B473D61"/>
    <w:rsid w:val="2B4E032A"/>
    <w:rsid w:val="2B500602"/>
    <w:rsid w:val="2B6941B8"/>
    <w:rsid w:val="2B7100AF"/>
    <w:rsid w:val="2B782E43"/>
    <w:rsid w:val="2B802CB4"/>
    <w:rsid w:val="2B942AB9"/>
    <w:rsid w:val="2B9548AD"/>
    <w:rsid w:val="2BAB08D4"/>
    <w:rsid w:val="2BBC2D93"/>
    <w:rsid w:val="2BBD475C"/>
    <w:rsid w:val="2BD026C0"/>
    <w:rsid w:val="2BD50571"/>
    <w:rsid w:val="2BDA26D1"/>
    <w:rsid w:val="2BED035B"/>
    <w:rsid w:val="2BF6678E"/>
    <w:rsid w:val="2BF95EEB"/>
    <w:rsid w:val="2C0C0B07"/>
    <w:rsid w:val="2C146B88"/>
    <w:rsid w:val="2C1F083A"/>
    <w:rsid w:val="2C212B81"/>
    <w:rsid w:val="2C233FBA"/>
    <w:rsid w:val="2C24674A"/>
    <w:rsid w:val="2C257CF7"/>
    <w:rsid w:val="2C2C73FB"/>
    <w:rsid w:val="2C324A12"/>
    <w:rsid w:val="2C3D1051"/>
    <w:rsid w:val="2C46226B"/>
    <w:rsid w:val="2C502FA7"/>
    <w:rsid w:val="2C513231"/>
    <w:rsid w:val="2C541DE0"/>
    <w:rsid w:val="2C5768E6"/>
    <w:rsid w:val="2C5A5D16"/>
    <w:rsid w:val="2C5B1670"/>
    <w:rsid w:val="2C5F101C"/>
    <w:rsid w:val="2C5F31B6"/>
    <w:rsid w:val="2C7F752B"/>
    <w:rsid w:val="2C81606C"/>
    <w:rsid w:val="2C89437B"/>
    <w:rsid w:val="2C8F31E1"/>
    <w:rsid w:val="2C91102F"/>
    <w:rsid w:val="2C924633"/>
    <w:rsid w:val="2C9373C6"/>
    <w:rsid w:val="2C987734"/>
    <w:rsid w:val="2C9A7267"/>
    <w:rsid w:val="2C9C30BC"/>
    <w:rsid w:val="2C9E3E47"/>
    <w:rsid w:val="2CA4630B"/>
    <w:rsid w:val="2CB34D98"/>
    <w:rsid w:val="2CB35427"/>
    <w:rsid w:val="2CB55659"/>
    <w:rsid w:val="2CB622E5"/>
    <w:rsid w:val="2CC27D2D"/>
    <w:rsid w:val="2CC67E51"/>
    <w:rsid w:val="2CC8314B"/>
    <w:rsid w:val="2CCA131E"/>
    <w:rsid w:val="2CD45AC9"/>
    <w:rsid w:val="2CE101B5"/>
    <w:rsid w:val="2CE545FA"/>
    <w:rsid w:val="2CE673AE"/>
    <w:rsid w:val="2CF13AA6"/>
    <w:rsid w:val="2CF230ED"/>
    <w:rsid w:val="2CF67EEF"/>
    <w:rsid w:val="2CF7104F"/>
    <w:rsid w:val="2D0469EA"/>
    <w:rsid w:val="2D084723"/>
    <w:rsid w:val="2D0D13EA"/>
    <w:rsid w:val="2D1934DC"/>
    <w:rsid w:val="2D206F68"/>
    <w:rsid w:val="2D2E5A54"/>
    <w:rsid w:val="2D2F4155"/>
    <w:rsid w:val="2D360531"/>
    <w:rsid w:val="2D3D3F92"/>
    <w:rsid w:val="2D3D4A7E"/>
    <w:rsid w:val="2D412230"/>
    <w:rsid w:val="2D4A20E0"/>
    <w:rsid w:val="2D4A4A8D"/>
    <w:rsid w:val="2D4B51F3"/>
    <w:rsid w:val="2D502C75"/>
    <w:rsid w:val="2D522D6C"/>
    <w:rsid w:val="2D53391B"/>
    <w:rsid w:val="2D5A6D4E"/>
    <w:rsid w:val="2D5E6954"/>
    <w:rsid w:val="2D665D7B"/>
    <w:rsid w:val="2D6669F1"/>
    <w:rsid w:val="2D6A3F3C"/>
    <w:rsid w:val="2D6C1426"/>
    <w:rsid w:val="2D6C3F53"/>
    <w:rsid w:val="2D6C6FB3"/>
    <w:rsid w:val="2D6E44A6"/>
    <w:rsid w:val="2D702154"/>
    <w:rsid w:val="2D735424"/>
    <w:rsid w:val="2D79041E"/>
    <w:rsid w:val="2D7F6B78"/>
    <w:rsid w:val="2D8311AB"/>
    <w:rsid w:val="2D83129D"/>
    <w:rsid w:val="2D881C8E"/>
    <w:rsid w:val="2D8C421A"/>
    <w:rsid w:val="2D9B0DC2"/>
    <w:rsid w:val="2DA51600"/>
    <w:rsid w:val="2DA5243E"/>
    <w:rsid w:val="2DA84DFB"/>
    <w:rsid w:val="2DAD5B30"/>
    <w:rsid w:val="2DB11849"/>
    <w:rsid w:val="2DC53663"/>
    <w:rsid w:val="2DCB7356"/>
    <w:rsid w:val="2DCD2E76"/>
    <w:rsid w:val="2DD570BE"/>
    <w:rsid w:val="2DD7454B"/>
    <w:rsid w:val="2DD87D86"/>
    <w:rsid w:val="2DDF255C"/>
    <w:rsid w:val="2DE32494"/>
    <w:rsid w:val="2DE33AEA"/>
    <w:rsid w:val="2DE63F23"/>
    <w:rsid w:val="2DE72218"/>
    <w:rsid w:val="2DEB29FF"/>
    <w:rsid w:val="2DED2E88"/>
    <w:rsid w:val="2DF34029"/>
    <w:rsid w:val="2DF974E2"/>
    <w:rsid w:val="2E086459"/>
    <w:rsid w:val="2E1142C0"/>
    <w:rsid w:val="2E1A7AB6"/>
    <w:rsid w:val="2E1C43CC"/>
    <w:rsid w:val="2E1E7C13"/>
    <w:rsid w:val="2E1F21FB"/>
    <w:rsid w:val="2E2251BE"/>
    <w:rsid w:val="2E2F5776"/>
    <w:rsid w:val="2E374675"/>
    <w:rsid w:val="2E4231F4"/>
    <w:rsid w:val="2E46248D"/>
    <w:rsid w:val="2E4C0111"/>
    <w:rsid w:val="2E4C168F"/>
    <w:rsid w:val="2E4C5C6F"/>
    <w:rsid w:val="2E4E385A"/>
    <w:rsid w:val="2E552E88"/>
    <w:rsid w:val="2E5C0A9F"/>
    <w:rsid w:val="2E5F13C2"/>
    <w:rsid w:val="2E5F2430"/>
    <w:rsid w:val="2E647796"/>
    <w:rsid w:val="2E6621B3"/>
    <w:rsid w:val="2E6811A4"/>
    <w:rsid w:val="2E6B139C"/>
    <w:rsid w:val="2E6C57AA"/>
    <w:rsid w:val="2E785B7F"/>
    <w:rsid w:val="2E7B7ED2"/>
    <w:rsid w:val="2E7F0BD1"/>
    <w:rsid w:val="2E8202E3"/>
    <w:rsid w:val="2E8E7942"/>
    <w:rsid w:val="2E92692A"/>
    <w:rsid w:val="2E980200"/>
    <w:rsid w:val="2E9C2616"/>
    <w:rsid w:val="2EA119DB"/>
    <w:rsid w:val="2EA87847"/>
    <w:rsid w:val="2EAA67C5"/>
    <w:rsid w:val="2EAC037F"/>
    <w:rsid w:val="2EAE163D"/>
    <w:rsid w:val="2EAF1470"/>
    <w:rsid w:val="2EB41A36"/>
    <w:rsid w:val="2EBA2DC8"/>
    <w:rsid w:val="2EBF6F8E"/>
    <w:rsid w:val="2EC04FA7"/>
    <w:rsid w:val="2EC503D7"/>
    <w:rsid w:val="2EC53187"/>
    <w:rsid w:val="2EC659DB"/>
    <w:rsid w:val="2ECA1D33"/>
    <w:rsid w:val="2ED9380B"/>
    <w:rsid w:val="2EDE1246"/>
    <w:rsid w:val="2EE16C53"/>
    <w:rsid w:val="2EE959F0"/>
    <w:rsid w:val="2EF125D9"/>
    <w:rsid w:val="2EF3025E"/>
    <w:rsid w:val="2EF67EC2"/>
    <w:rsid w:val="2EFE6B2E"/>
    <w:rsid w:val="2F037674"/>
    <w:rsid w:val="2F0409BC"/>
    <w:rsid w:val="2F04358E"/>
    <w:rsid w:val="2F061A56"/>
    <w:rsid w:val="2F130783"/>
    <w:rsid w:val="2F203DB1"/>
    <w:rsid w:val="2F28792B"/>
    <w:rsid w:val="2F3135D9"/>
    <w:rsid w:val="2F3445FD"/>
    <w:rsid w:val="2F3B259D"/>
    <w:rsid w:val="2F4A276C"/>
    <w:rsid w:val="2F542EF1"/>
    <w:rsid w:val="2F5876BD"/>
    <w:rsid w:val="2F5A7DDB"/>
    <w:rsid w:val="2F694868"/>
    <w:rsid w:val="2F6C5055"/>
    <w:rsid w:val="2F6C7BC8"/>
    <w:rsid w:val="2F783251"/>
    <w:rsid w:val="2F7A583D"/>
    <w:rsid w:val="2F7D01D0"/>
    <w:rsid w:val="2F877C1C"/>
    <w:rsid w:val="2F8C4586"/>
    <w:rsid w:val="2F8E09EC"/>
    <w:rsid w:val="2F8F5CD7"/>
    <w:rsid w:val="2F947916"/>
    <w:rsid w:val="2F971A88"/>
    <w:rsid w:val="2F9B67AD"/>
    <w:rsid w:val="2F9E2232"/>
    <w:rsid w:val="2FA55609"/>
    <w:rsid w:val="2FA558E8"/>
    <w:rsid w:val="2FA902FC"/>
    <w:rsid w:val="2FAC1E3E"/>
    <w:rsid w:val="2FB52523"/>
    <w:rsid w:val="2FB61DE0"/>
    <w:rsid w:val="2FB655BB"/>
    <w:rsid w:val="2FBA7FA8"/>
    <w:rsid w:val="2FC064A7"/>
    <w:rsid w:val="2FC201C7"/>
    <w:rsid w:val="2FCA45AD"/>
    <w:rsid w:val="2FCB7589"/>
    <w:rsid w:val="2FCF19E7"/>
    <w:rsid w:val="2FCF4325"/>
    <w:rsid w:val="2FDA2872"/>
    <w:rsid w:val="2FDA5387"/>
    <w:rsid w:val="2FDF498B"/>
    <w:rsid w:val="2FDF6A5B"/>
    <w:rsid w:val="2FE14BF2"/>
    <w:rsid w:val="2FE204FD"/>
    <w:rsid w:val="2FEA115F"/>
    <w:rsid w:val="2FEA141F"/>
    <w:rsid w:val="2FEB3082"/>
    <w:rsid w:val="2FEE76C7"/>
    <w:rsid w:val="2FFB15BE"/>
    <w:rsid w:val="30015886"/>
    <w:rsid w:val="300344B8"/>
    <w:rsid w:val="30095825"/>
    <w:rsid w:val="30153C50"/>
    <w:rsid w:val="301B27B7"/>
    <w:rsid w:val="301E3C73"/>
    <w:rsid w:val="301F630C"/>
    <w:rsid w:val="302C348D"/>
    <w:rsid w:val="302E3742"/>
    <w:rsid w:val="302F514D"/>
    <w:rsid w:val="30365D6E"/>
    <w:rsid w:val="30372DBD"/>
    <w:rsid w:val="3038636F"/>
    <w:rsid w:val="30401100"/>
    <w:rsid w:val="30446A90"/>
    <w:rsid w:val="30450784"/>
    <w:rsid w:val="3046209A"/>
    <w:rsid w:val="30493590"/>
    <w:rsid w:val="304D37C3"/>
    <w:rsid w:val="30556CEE"/>
    <w:rsid w:val="305612E3"/>
    <w:rsid w:val="30580313"/>
    <w:rsid w:val="305C6582"/>
    <w:rsid w:val="306E1551"/>
    <w:rsid w:val="30712AFC"/>
    <w:rsid w:val="30782C0F"/>
    <w:rsid w:val="307C0CB7"/>
    <w:rsid w:val="30800BAF"/>
    <w:rsid w:val="3086387A"/>
    <w:rsid w:val="30887A78"/>
    <w:rsid w:val="308F3269"/>
    <w:rsid w:val="30907A1D"/>
    <w:rsid w:val="30976399"/>
    <w:rsid w:val="30987BC4"/>
    <w:rsid w:val="309D6128"/>
    <w:rsid w:val="30A9133E"/>
    <w:rsid w:val="30AD404F"/>
    <w:rsid w:val="30B37116"/>
    <w:rsid w:val="30B90A61"/>
    <w:rsid w:val="30BD44B4"/>
    <w:rsid w:val="30C37A98"/>
    <w:rsid w:val="30C5649A"/>
    <w:rsid w:val="30CA7FD3"/>
    <w:rsid w:val="30CF66EF"/>
    <w:rsid w:val="30DD18A9"/>
    <w:rsid w:val="30DF4782"/>
    <w:rsid w:val="30E33A7C"/>
    <w:rsid w:val="30EA4026"/>
    <w:rsid w:val="30EB2DBA"/>
    <w:rsid w:val="30EC51B8"/>
    <w:rsid w:val="30FC76D2"/>
    <w:rsid w:val="31124E12"/>
    <w:rsid w:val="311553CB"/>
    <w:rsid w:val="311B49FF"/>
    <w:rsid w:val="311F5392"/>
    <w:rsid w:val="31214900"/>
    <w:rsid w:val="31215055"/>
    <w:rsid w:val="31223F6C"/>
    <w:rsid w:val="312600D7"/>
    <w:rsid w:val="312856F9"/>
    <w:rsid w:val="312873FD"/>
    <w:rsid w:val="312B061D"/>
    <w:rsid w:val="312F7772"/>
    <w:rsid w:val="31437CBB"/>
    <w:rsid w:val="3144269D"/>
    <w:rsid w:val="314678FF"/>
    <w:rsid w:val="31481129"/>
    <w:rsid w:val="315676D9"/>
    <w:rsid w:val="315D7A19"/>
    <w:rsid w:val="31673DD6"/>
    <w:rsid w:val="316F3D2C"/>
    <w:rsid w:val="3171715C"/>
    <w:rsid w:val="31741E1B"/>
    <w:rsid w:val="317A07B3"/>
    <w:rsid w:val="3188020F"/>
    <w:rsid w:val="318C5CE1"/>
    <w:rsid w:val="318D184D"/>
    <w:rsid w:val="318D4498"/>
    <w:rsid w:val="318D7092"/>
    <w:rsid w:val="319607EF"/>
    <w:rsid w:val="319B575E"/>
    <w:rsid w:val="31AC60D0"/>
    <w:rsid w:val="31AF1041"/>
    <w:rsid w:val="31B02099"/>
    <w:rsid w:val="31C64474"/>
    <w:rsid w:val="31CA00E3"/>
    <w:rsid w:val="31CE4742"/>
    <w:rsid w:val="31CF0A44"/>
    <w:rsid w:val="31D45D6B"/>
    <w:rsid w:val="31D5760D"/>
    <w:rsid w:val="31DF4126"/>
    <w:rsid w:val="31E542D4"/>
    <w:rsid w:val="31ED0303"/>
    <w:rsid w:val="31EF2764"/>
    <w:rsid w:val="31F80397"/>
    <w:rsid w:val="32044BCD"/>
    <w:rsid w:val="320C7AB3"/>
    <w:rsid w:val="32112144"/>
    <w:rsid w:val="321B5A22"/>
    <w:rsid w:val="3220225F"/>
    <w:rsid w:val="32205605"/>
    <w:rsid w:val="32221084"/>
    <w:rsid w:val="3223620A"/>
    <w:rsid w:val="32282B65"/>
    <w:rsid w:val="322B579F"/>
    <w:rsid w:val="322D4A0A"/>
    <w:rsid w:val="322E1BE1"/>
    <w:rsid w:val="323A4202"/>
    <w:rsid w:val="32427CD7"/>
    <w:rsid w:val="32490D03"/>
    <w:rsid w:val="324A7C32"/>
    <w:rsid w:val="324C37E3"/>
    <w:rsid w:val="324E632C"/>
    <w:rsid w:val="324F326A"/>
    <w:rsid w:val="32521FE7"/>
    <w:rsid w:val="3256252E"/>
    <w:rsid w:val="32583FCB"/>
    <w:rsid w:val="3259126C"/>
    <w:rsid w:val="32597FC8"/>
    <w:rsid w:val="325E7BE3"/>
    <w:rsid w:val="327513DF"/>
    <w:rsid w:val="327B39FD"/>
    <w:rsid w:val="32805DAB"/>
    <w:rsid w:val="32861AB2"/>
    <w:rsid w:val="328E16AE"/>
    <w:rsid w:val="328F3C13"/>
    <w:rsid w:val="3296737C"/>
    <w:rsid w:val="329C2367"/>
    <w:rsid w:val="329E0CF6"/>
    <w:rsid w:val="329F0E39"/>
    <w:rsid w:val="32A62835"/>
    <w:rsid w:val="32B13551"/>
    <w:rsid w:val="32B55A55"/>
    <w:rsid w:val="32B705FF"/>
    <w:rsid w:val="32C57C62"/>
    <w:rsid w:val="32CA4CF4"/>
    <w:rsid w:val="32D1777A"/>
    <w:rsid w:val="32D207E6"/>
    <w:rsid w:val="32D83CA4"/>
    <w:rsid w:val="32DB1296"/>
    <w:rsid w:val="32DB12B4"/>
    <w:rsid w:val="32E30949"/>
    <w:rsid w:val="32E87C4B"/>
    <w:rsid w:val="32EA748A"/>
    <w:rsid w:val="32F10FE0"/>
    <w:rsid w:val="32F43038"/>
    <w:rsid w:val="32F47A4B"/>
    <w:rsid w:val="32F57765"/>
    <w:rsid w:val="33072028"/>
    <w:rsid w:val="330A3DB0"/>
    <w:rsid w:val="330F6322"/>
    <w:rsid w:val="331050D2"/>
    <w:rsid w:val="331137DA"/>
    <w:rsid w:val="331702C3"/>
    <w:rsid w:val="33176159"/>
    <w:rsid w:val="331A5D75"/>
    <w:rsid w:val="331F7372"/>
    <w:rsid w:val="332820FE"/>
    <w:rsid w:val="332F6462"/>
    <w:rsid w:val="33354C00"/>
    <w:rsid w:val="33383727"/>
    <w:rsid w:val="333F661E"/>
    <w:rsid w:val="33477737"/>
    <w:rsid w:val="33484716"/>
    <w:rsid w:val="334868C9"/>
    <w:rsid w:val="3350645E"/>
    <w:rsid w:val="33511153"/>
    <w:rsid w:val="33603461"/>
    <w:rsid w:val="336B24A4"/>
    <w:rsid w:val="33717AAB"/>
    <w:rsid w:val="33776630"/>
    <w:rsid w:val="337A253B"/>
    <w:rsid w:val="337D782B"/>
    <w:rsid w:val="338030AD"/>
    <w:rsid w:val="33824AB9"/>
    <w:rsid w:val="33842533"/>
    <w:rsid w:val="33853FEE"/>
    <w:rsid w:val="33894F05"/>
    <w:rsid w:val="339929E7"/>
    <w:rsid w:val="33A87367"/>
    <w:rsid w:val="33AB6E58"/>
    <w:rsid w:val="33B124DD"/>
    <w:rsid w:val="33CA19D4"/>
    <w:rsid w:val="33D74839"/>
    <w:rsid w:val="33DF6530"/>
    <w:rsid w:val="33EC5CB1"/>
    <w:rsid w:val="33F445F0"/>
    <w:rsid w:val="33F72506"/>
    <w:rsid w:val="33F85909"/>
    <w:rsid w:val="33F87D68"/>
    <w:rsid w:val="3406440D"/>
    <w:rsid w:val="34086058"/>
    <w:rsid w:val="340B5413"/>
    <w:rsid w:val="34110C1F"/>
    <w:rsid w:val="34143EE2"/>
    <w:rsid w:val="34164C19"/>
    <w:rsid w:val="34183467"/>
    <w:rsid w:val="341B32EA"/>
    <w:rsid w:val="341B5DFC"/>
    <w:rsid w:val="341D5FA7"/>
    <w:rsid w:val="34210C38"/>
    <w:rsid w:val="342525E0"/>
    <w:rsid w:val="34273681"/>
    <w:rsid w:val="342D6FD4"/>
    <w:rsid w:val="343707B5"/>
    <w:rsid w:val="34400F81"/>
    <w:rsid w:val="34421ED7"/>
    <w:rsid w:val="344D5F4C"/>
    <w:rsid w:val="34536D24"/>
    <w:rsid w:val="34557CA7"/>
    <w:rsid w:val="34565015"/>
    <w:rsid w:val="34566510"/>
    <w:rsid w:val="34575E82"/>
    <w:rsid w:val="345A5E81"/>
    <w:rsid w:val="345B4703"/>
    <w:rsid w:val="346E4389"/>
    <w:rsid w:val="346E66F2"/>
    <w:rsid w:val="34723EE3"/>
    <w:rsid w:val="347B789E"/>
    <w:rsid w:val="347E5B46"/>
    <w:rsid w:val="347F2552"/>
    <w:rsid w:val="34821147"/>
    <w:rsid w:val="348778C5"/>
    <w:rsid w:val="348879B3"/>
    <w:rsid w:val="348D2FED"/>
    <w:rsid w:val="349066F4"/>
    <w:rsid w:val="349414FC"/>
    <w:rsid w:val="34AD45BB"/>
    <w:rsid w:val="34AE4E51"/>
    <w:rsid w:val="34AE542D"/>
    <w:rsid w:val="34AF4725"/>
    <w:rsid w:val="34B44240"/>
    <w:rsid w:val="34BB4D9A"/>
    <w:rsid w:val="34BB7203"/>
    <w:rsid w:val="34C11BB2"/>
    <w:rsid w:val="34C130AB"/>
    <w:rsid w:val="34C40125"/>
    <w:rsid w:val="34CF1B35"/>
    <w:rsid w:val="34D07FE0"/>
    <w:rsid w:val="34D63317"/>
    <w:rsid w:val="34D704E9"/>
    <w:rsid w:val="34D821B1"/>
    <w:rsid w:val="34DF7649"/>
    <w:rsid w:val="34E00AF8"/>
    <w:rsid w:val="34E50A53"/>
    <w:rsid w:val="34E56574"/>
    <w:rsid w:val="34ED2BF7"/>
    <w:rsid w:val="34F57401"/>
    <w:rsid w:val="34FF4B23"/>
    <w:rsid w:val="35001E3E"/>
    <w:rsid w:val="350F1FBE"/>
    <w:rsid w:val="3515164C"/>
    <w:rsid w:val="351B1C5A"/>
    <w:rsid w:val="352B3139"/>
    <w:rsid w:val="352E2FCE"/>
    <w:rsid w:val="35391794"/>
    <w:rsid w:val="353D7F83"/>
    <w:rsid w:val="353E7880"/>
    <w:rsid w:val="353F4879"/>
    <w:rsid w:val="35440A74"/>
    <w:rsid w:val="35442CD3"/>
    <w:rsid w:val="354D7E4F"/>
    <w:rsid w:val="35545A54"/>
    <w:rsid w:val="35546F00"/>
    <w:rsid w:val="35554788"/>
    <w:rsid w:val="3558448F"/>
    <w:rsid w:val="355A0DD0"/>
    <w:rsid w:val="355A541B"/>
    <w:rsid w:val="35635521"/>
    <w:rsid w:val="35643C0A"/>
    <w:rsid w:val="35655FAD"/>
    <w:rsid w:val="3569225E"/>
    <w:rsid w:val="357E7296"/>
    <w:rsid w:val="35811AA1"/>
    <w:rsid w:val="35832318"/>
    <w:rsid w:val="35852EC5"/>
    <w:rsid w:val="35880AB5"/>
    <w:rsid w:val="359D5606"/>
    <w:rsid w:val="359F3258"/>
    <w:rsid w:val="35AA386B"/>
    <w:rsid w:val="35AD104C"/>
    <w:rsid w:val="35AF503E"/>
    <w:rsid w:val="35B211AD"/>
    <w:rsid w:val="35B63522"/>
    <w:rsid w:val="35BF6688"/>
    <w:rsid w:val="35CB558F"/>
    <w:rsid w:val="35DB380A"/>
    <w:rsid w:val="35DF6856"/>
    <w:rsid w:val="35E91DBE"/>
    <w:rsid w:val="35EE38F0"/>
    <w:rsid w:val="35EE3A97"/>
    <w:rsid w:val="35F24C5C"/>
    <w:rsid w:val="35F3766C"/>
    <w:rsid w:val="35F60F41"/>
    <w:rsid w:val="35FB45C8"/>
    <w:rsid w:val="36065D0D"/>
    <w:rsid w:val="36077AED"/>
    <w:rsid w:val="3611372A"/>
    <w:rsid w:val="361947AD"/>
    <w:rsid w:val="361F07A0"/>
    <w:rsid w:val="362C0E64"/>
    <w:rsid w:val="362E110F"/>
    <w:rsid w:val="36394036"/>
    <w:rsid w:val="363C2273"/>
    <w:rsid w:val="363D2A3D"/>
    <w:rsid w:val="3640653B"/>
    <w:rsid w:val="36451E8A"/>
    <w:rsid w:val="36455341"/>
    <w:rsid w:val="364D7B49"/>
    <w:rsid w:val="364F7726"/>
    <w:rsid w:val="365731F1"/>
    <w:rsid w:val="3660217B"/>
    <w:rsid w:val="366154AF"/>
    <w:rsid w:val="366162FA"/>
    <w:rsid w:val="366178FC"/>
    <w:rsid w:val="36626C92"/>
    <w:rsid w:val="3665745A"/>
    <w:rsid w:val="366A4D4E"/>
    <w:rsid w:val="366B3B67"/>
    <w:rsid w:val="366C4FC4"/>
    <w:rsid w:val="367070EE"/>
    <w:rsid w:val="367728CB"/>
    <w:rsid w:val="367927A1"/>
    <w:rsid w:val="367B74AA"/>
    <w:rsid w:val="367E36AB"/>
    <w:rsid w:val="3680166C"/>
    <w:rsid w:val="3680545E"/>
    <w:rsid w:val="36972A17"/>
    <w:rsid w:val="369938DF"/>
    <w:rsid w:val="369C3F12"/>
    <w:rsid w:val="369D1A4B"/>
    <w:rsid w:val="36A54B31"/>
    <w:rsid w:val="36A5688E"/>
    <w:rsid w:val="36AA24AC"/>
    <w:rsid w:val="36AA2D8F"/>
    <w:rsid w:val="36AD19E0"/>
    <w:rsid w:val="36BA5521"/>
    <w:rsid w:val="36BA58B8"/>
    <w:rsid w:val="36BE3490"/>
    <w:rsid w:val="36CC7811"/>
    <w:rsid w:val="36CE565E"/>
    <w:rsid w:val="36D67686"/>
    <w:rsid w:val="36D809DA"/>
    <w:rsid w:val="36DC2292"/>
    <w:rsid w:val="36E80DB1"/>
    <w:rsid w:val="36EA44B3"/>
    <w:rsid w:val="36EB1F06"/>
    <w:rsid w:val="36EE57E5"/>
    <w:rsid w:val="36EF650C"/>
    <w:rsid w:val="36F16746"/>
    <w:rsid w:val="36FC1E63"/>
    <w:rsid w:val="37036542"/>
    <w:rsid w:val="37126A76"/>
    <w:rsid w:val="37157C21"/>
    <w:rsid w:val="37205DF5"/>
    <w:rsid w:val="37210D5F"/>
    <w:rsid w:val="372A2368"/>
    <w:rsid w:val="37314121"/>
    <w:rsid w:val="37332B5D"/>
    <w:rsid w:val="373A37FB"/>
    <w:rsid w:val="373B04F2"/>
    <w:rsid w:val="374843E2"/>
    <w:rsid w:val="374A6A5A"/>
    <w:rsid w:val="37500F26"/>
    <w:rsid w:val="37550EB3"/>
    <w:rsid w:val="376778A8"/>
    <w:rsid w:val="376C04A1"/>
    <w:rsid w:val="37785499"/>
    <w:rsid w:val="377E3540"/>
    <w:rsid w:val="378420D9"/>
    <w:rsid w:val="378718E5"/>
    <w:rsid w:val="378B7890"/>
    <w:rsid w:val="37932CF8"/>
    <w:rsid w:val="37972D5A"/>
    <w:rsid w:val="37990D63"/>
    <w:rsid w:val="379C6A73"/>
    <w:rsid w:val="379D2F5B"/>
    <w:rsid w:val="37A109FA"/>
    <w:rsid w:val="37A261BB"/>
    <w:rsid w:val="37A42E6D"/>
    <w:rsid w:val="37A50E9C"/>
    <w:rsid w:val="37A91A33"/>
    <w:rsid w:val="37AA136D"/>
    <w:rsid w:val="37AC45F5"/>
    <w:rsid w:val="37AC48DF"/>
    <w:rsid w:val="37AC5111"/>
    <w:rsid w:val="37B00475"/>
    <w:rsid w:val="37B523EE"/>
    <w:rsid w:val="37B56462"/>
    <w:rsid w:val="37B637AA"/>
    <w:rsid w:val="37C47EB3"/>
    <w:rsid w:val="37CA6B2B"/>
    <w:rsid w:val="37D63596"/>
    <w:rsid w:val="37DF2BE6"/>
    <w:rsid w:val="37DF54D9"/>
    <w:rsid w:val="37E80A06"/>
    <w:rsid w:val="37EB2F9D"/>
    <w:rsid w:val="37F64533"/>
    <w:rsid w:val="37F90122"/>
    <w:rsid w:val="37FD69E2"/>
    <w:rsid w:val="380D6333"/>
    <w:rsid w:val="38104E1E"/>
    <w:rsid w:val="381301E6"/>
    <w:rsid w:val="38140507"/>
    <w:rsid w:val="3819488E"/>
    <w:rsid w:val="383036BD"/>
    <w:rsid w:val="383722BD"/>
    <w:rsid w:val="38423FAD"/>
    <w:rsid w:val="3847606F"/>
    <w:rsid w:val="384A0518"/>
    <w:rsid w:val="385555E4"/>
    <w:rsid w:val="385B53A8"/>
    <w:rsid w:val="3862042D"/>
    <w:rsid w:val="386F18F2"/>
    <w:rsid w:val="387469E7"/>
    <w:rsid w:val="387A6545"/>
    <w:rsid w:val="387C665F"/>
    <w:rsid w:val="388571F9"/>
    <w:rsid w:val="38866890"/>
    <w:rsid w:val="388B1940"/>
    <w:rsid w:val="38901E8A"/>
    <w:rsid w:val="389813FD"/>
    <w:rsid w:val="38996991"/>
    <w:rsid w:val="38B05757"/>
    <w:rsid w:val="38B30642"/>
    <w:rsid w:val="38C14AA6"/>
    <w:rsid w:val="38C32BD7"/>
    <w:rsid w:val="38CF612B"/>
    <w:rsid w:val="38D201D3"/>
    <w:rsid w:val="38D52365"/>
    <w:rsid w:val="38D86699"/>
    <w:rsid w:val="38DC1314"/>
    <w:rsid w:val="38DC6540"/>
    <w:rsid w:val="38DD3618"/>
    <w:rsid w:val="38E34D8C"/>
    <w:rsid w:val="38E53B55"/>
    <w:rsid w:val="38E74B9E"/>
    <w:rsid w:val="38E75563"/>
    <w:rsid w:val="38ED31C1"/>
    <w:rsid w:val="38F22625"/>
    <w:rsid w:val="39010ADB"/>
    <w:rsid w:val="39082F52"/>
    <w:rsid w:val="3909370E"/>
    <w:rsid w:val="390F1C37"/>
    <w:rsid w:val="391A4597"/>
    <w:rsid w:val="391B0C98"/>
    <w:rsid w:val="392A27AB"/>
    <w:rsid w:val="392B375B"/>
    <w:rsid w:val="392C1E5E"/>
    <w:rsid w:val="3936095B"/>
    <w:rsid w:val="393940F7"/>
    <w:rsid w:val="393A0792"/>
    <w:rsid w:val="393D67A4"/>
    <w:rsid w:val="394238BD"/>
    <w:rsid w:val="39470F0D"/>
    <w:rsid w:val="39475874"/>
    <w:rsid w:val="3948467A"/>
    <w:rsid w:val="394A09A9"/>
    <w:rsid w:val="394B4BE7"/>
    <w:rsid w:val="394C104B"/>
    <w:rsid w:val="39556034"/>
    <w:rsid w:val="39631BD9"/>
    <w:rsid w:val="3966788B"/>
    <w:rsid w:val="396B4B9F"/>
    <w:rsid w:val="396B771F"/>
    <w:rsid w:val="396E1053"/>
    <w:rsid w:val="397321C6"/>
    <w:rsid w:val="39742654"/>
    <w:rsid w:val="397A33D6"/>
    <w:rsid w:val="397B1E50"/>
    <w:rsid w:val="397C7C08"/>
    <w:rsid w:val="398919E9"/>
    <w:rsid w:val="398D1A52"/>
    <w:rsid w:val="39910BF1"/>
    <w:rsid w:val="39924030"/>
    <w:rsid w:val="39931F3B"/>
    <w:rsid w:val="39974106"/>
    <w:rsid w:val="39983E27"/>
    <w:rsid w:val="399E309B"/>
    <w:rsid w:val="39A5111A"/>
    <w:rsid w:val="39AA5F1B"/>
    <w:rsid w:val="39B05D85"/>
    <w:rsid w:val="39B11FE5"/>
    <w:rsid w:val="39C60CF9"/>
    <w:rsid w:val="39CE23D0"/>
    <w:rsid w:val="39D45D6B"/>
    <w:rsid w:val="39D5181A"/>
    <w:rsid w:val="39DB4897"/>
    <w:rsid w:val="39E01B54"/>
    <w:rsid w:val="39E07CC2"/>
    <w:rsid w:val="39E442BC"/>
    <w:rsid w:val="39E7599E"/>
    <w:rsid w:val="39E920EA"/>
    <w:rsid w:val="39EA2DE9"/>
    <w:rsid w:val="39F53FAB"/>
    <w:rsid w:val="39FC24F5"/>
    <w:rsid w:val="39FF4664"/>
    <w:rsid w:val="39FF475D"/>
    <w:rsid w:val="3A033155"/>
    <w:rsid w:val="3A041753"/>
    <w:rsid w:val="3A15327D"/>
    <w:rsid w:val="3A197CB4"/>
    <w:rsid w:val="3A1F6DD0"/>
    <w:rsid w:val="3A2D5EBD"/>
    <w:rsid w:val="3A385DFA"/>
    <w:rsid w:val="3A3A6667"/>
    <w:rsid w:val="3A3B3CCA"/>
    <w:rsid w:val="3A402F80"/>
    <w:rsid w:val="3A496DD7"/>
    <w:rsid w:val="3A4D49FA"/>
    <w:rsid w:val="3A507ABD"/>
    <w:rsid w:val="3A54010E"/>
    <w:rsid w:val="3A54026C"/>
    <w:rsid w:val="3A543E89"/>
    <w:rsid w:val="3A626D22"/>
    <w:rsid w:val="3A65618E"/>
    <w:rsid w:val="3A6D4884"/>
    <w:rsid w:val="3A810BC6"/>
    <w:rsid w:val="3A8B1791"/>
    <w:rsid w:val="3A9B4CC3"/>
    <w:rsid w:val="3A9C6B78"/>
    <w:rsid w:val="3AA57051"/>
    <w:rsid w:val="3AA570BD"/>
    <w:rsid w:val="3AA750CE"/>
    <w:rsid w:val="3AA82701"/>
    <w:rsid w:val="3AA96802"/>
    <w:rsid w:val="3AB16F31"/>
    <w:rsid w:val="3AB32EF3"/>
    <w:rsid w:val="3AB55DC3"/>
    <w:rsid w:val="3ABA0B8A"/>
    <w:rsid w:val="3ABF031F"/>
    <w:rsid w:val="3ACE5805"/>
    <w:rsid w:val="3AD2266F"/>
    <w:rsid w:val="3AD24486"/>
    <w:rsid w:val="3AD56E6C"/>
    <w:rsid w:val="3AE25855"/>
    <w:rsid w:val="3AE62845"/>
    <w:rsid w:val="3AEB7712"/>
    <w:rsid w:val="3AEE45CB"/>
    <w:rsid w:val="3B002E82"/>
    <w:rsid w:val="3B0D0E23"/>
    <w:rsid w:val="3B0D1DC8"/>
    <w:rsid w:val="3B125C96"/>
    <w:rsid w:val="3B171DD0"/>
    <w:rsid w:val="3B2B6991"/>
    <w:rsid w:val="3B2D5FE2"/>
    <w:rsid w:val="3B2E668D"/>
    <w:rsid w:val="3B361AFA"/>
    <w:rsid w:val="3B386D75"/>
    <w:rsid w:val="3B3C089F"/>
    <w:rsid w:val="3B3C27FC"/>
    <w:rsid w:val="3B3E62A5"/>
    <w:rsid w:val="3B414B26"/>
    <w:rsid w:val="3B436BB1"/>
    <w:rsid w:val="3B437602"/>
    <w:rsid w:val="3B491430"/>
    <w:rsid w:val="3B4F5D6F"/>
    <w:rsid w:val="3B564918"/>
    <w:rsid w:val="3B580B67"/>
    <w:rsid w:val="3B5F2ACF"/>
    <w:rsid w:val="3B6145FB"/>
    <w:rsid w:val="3B6C236D"/>
    <w:rsid w:val="3B6F2596"/>
    <w:rsid w:val="3B740371"/>
    <w:rsid w:val="3B783A92"/>
    <w:rsid w:val="3B7A559F"/>
    <w:rsid w:val="3B871D3A"/>
    <w:rsid w:val="3BAD3FAA"/>
    <w:rsid w:val="3BB4130A"/>
    <w:rsid w:val="3BB767F0"/>
    <w:rsid w:val="3BBD561B"/>
    <w:rsid w:val="3BC54CDD"/>
    <w:rsid w:val="3BC92C78"/>
    <w:rsid w:val="3BCC3E0F"/>
    <w:rsid w:val="3BD8670C"/>
    <w:rsid w:val="3BDB2070"/>
    <w:rsid w:val="3BE2271B"/>
    <w:rsid w:val="3BE36E76"/>
    <w:rsid w:val="3BE41159"/>
    <w:rsid w:val="3BF03A8C"/>
    <w:rsid w:val="3BF5780A"/>
    <w:rsid w:val="3BF621E9"/>
    <w:rsid w:val="3BF777D8"/>
    <w:rsid w:val="3BFB7854"/>
    <w:rsid w:val="3BFE3A97"/>
    <w:rsid w:val="3C0362C9"/>
    <w:rsid w:val="3C0C6B80"/>
    <w:rsid w:val="3C156189"/>
    <w:rsid w:val="3C2F1041"/>
    <w:rsid w:val="3C3F5DDB"/>
    <w:rsid w:val="3C487939"/>
    <w:rsid w:val="3C4C631A"/>
    <w:rsid w:val="3C4E2A76"/>
    <w:rsid w:val="3C500343"/>
    <w:rsid w:val="3C501FC9"/>
    <w:rsid w:val="3C536A2E"/>
    <w:rsid w:val="3C58117D"/>
    <w:rsid w:val="3C590C5F"/>
    <w:rsid w:val="3C5C519B"/>
    <w:rsid w:val="3C6172AE"/>
    <w:rsid w:val="3C672912"/>
    <w:rsid w:val="3C6B6D50"/>
    <w:rsid w:val="3C762022"/>
    <w:rsid w:val="3C766277"/>
    <w:rsid w:val="3C786E6C"/>
    <w:rsid w:val="3C9001D9"/>
    <w:rsid w:val="3C911A6F"/>
    <w:rsid w:val="3C93302D"/>
    <w:rsid w:val="3C956C9A"/>
    <w:rsid w:val="3C970C89"/>
    <w:rsid w:val="3C9D31B3"/>
    <w:rsid w:val="3CA20B1B"/>
    <w:rsid w:val="3CAB2F9B"/>
    <w:rsid w:val="3CAC00D3"/>
    <w:rsid w:val="3CB017D5"/>
    <w:rsid w:val="3CB1434F"/>
    <w:rsid w:val="3CB41E22"/>
    <w:rsid w:val="3CBA7E58"/>
    <w:rsid w:val="3CBD36B1"/>
    <w:rsid w:val="3CBE745A"/>
    <w:rsid w:val="3CC62061"/>
    <w:rsid w:val="3CC76334"/>
    <w:rsid w:val="3CCB5EA8"/>
    <w:rsid w:val="3CCE4BAB"/>
    <w:rsid w:val="3CD92C87"/>
    <w:rsid w:val="3CDC4526"/>
    <w:rsid w:val="3CE369EA"/>
    <w:rsid w:val="3CE43022"/>
    <w:rsid w:val="3CEE7FF8"/>
    <w:rsid w:val="3CEF2A25"/>
    <w:rsid w:val="3D027B07"/>
    <w:rsid w:val="3D030D01"/>
    <w:rsid w:val="3D0C04D6"/>
    <w:rsid w:val="3D1072B5"/>
    <w:rsid w:val="3D163FBC"/>
    <w:rsid w:val="3D1B6DFC"/>
    <w:rsid w:val="3D1D2B74"/>
    <w:rsid w:val="3D1F3ECC"/>
    <w:rsid w:val="3D28361F"/>
    <w:rsid w:val="3D2A636C"/>
    <w:rsid w:val="3D2A703F"/>
    <w:rsid w:val="3D2C2DBF"/>
    <w:rsid w:val="3D2F3C14"/>
    <w:rsid w:val="3D34380A"/>
    <w:rsid w:val="3D395ECE"/>
    <w:rsid w:val="3D3A19A2"/>
    <w:rsid w:val="3D3D7699"/>
    <w:rsid w:val="3D413FDC"/>
    <w:rsid w:val="3D47016A"/>
    <w:rsid w:val="3D483612"/>
    <w:rsid w:val="3D4849B6"/>
    <w:rsid w:val="3D525A28"/>
    <w:rsid w:val="3D5764F3"/>
    <w:rsid w:val="3D580CE6"/>
    <w:rsid w:val="3D5C080F"/>
    <w:rsid w:val="3D61016F"/>
    <w:rsid w:val="3D623C46"/>
    <w:rsid w:val="3D635302"/>
    <w:rsid w:val="3D69473A"/>
    <w:rsid w:val="3D6F37E0"/>
    <w:rsid w:val="3D7438B0"/>
    <w:rsid w:val="3D7C0D5A"/>
    <w:rsid w:val="3D7D45D4"/>
    <w:rsid w:val="3D7F5D29"/>
    <w:rsid w:val="3D815B39"/>
    <w:rsid w:val="3D9B7EB0"/>
    <w:rsid w:val="3D9F6E33"/>
    <w:rsid w:val="3DA155C9"/>
    <w:rsid w:val="3DB1150E"/>
    <w:rsid w:val="3DB24705"/>
    <w:rsid w:val="3DB31F10"/>
    <w:rsid w:val="3DBE1B2B"/>
    <w:rsid w:val="3DC3273B"/>
    <w:rsid w:val="3DC3546A"/>
    <w:rsid w:val="3DCB5B63"/>
    <w:rsid w:val="3DD60F75"/>
    <w:rsid w:val="3DD7387F"/>
    <w:rsid w:val="3DDB47E4"/>
    <w:rsid w:val="3DDC134C"/>
    <w:rsid w:val="3DDC5841"/>
    <w:rsid w:val="3DDD758B"/>
    <w:rsid w:val="3DE17623"/>
    <w:rsid w:val="3DE431A5"/>
    <w:rsid w:val="3DEB4A20"/>
    <w:rsid w:val="3DF43966"/>
    <w:rsid w:val="3DFB09D1"/>
    <w:rsid w:val="3DFF5BE5"/>
    <w:rsid w:val="3E000792"/>
    <w:rsid w:val="3E004291"/>
    <w:rsid w:val="3E060877"/>
    <w:rsid w:val="3E0B0037"/>
    <w:rsid w:val="3E102B6B"/>
    <w:rsid w:val="3E18333B"/>
    <w:rsid w:val="3E1A5199"/>
    <w:rsid w:val="3E1B47EF"/>
    <w:rsid w:val="3E1D427C"/>
    <w:rsid w:val="3E1F66BC"/>
    <w:rsid w:val="3E296F5B"/>
    <w:rsid w:val="3E2C6DE7"/>
    <w:rsid w:val="3E356C51"/>
    <w:rsid w:val="3E396C81"/>
    <w:rsid w:val="3E3A3501"/>
    <w:rsid w:val="3E3A75CA"/>
    <w:rsid w:val="3E457D2A"/>
    <w:rsid w:val="3E480791"/>
    <w:rsid w:val="3E540184"/>
    <w:rsid w:val="3E56461E"/>
    <w:rsid w:val="3E5A555B"/>
    <w:rsid w:val="3E630388"/>
    <w:rsid w:val="3E6851B3"/>
    <w:rsid w:val="3E6A6DA2"/>
    <w:rsid w:val="3E810CFF"/>
    <w:rsid w:val="3E85512B"/>
    <w:rsid w:val="3E8C3CBB"/>
    <w:rsid w:val="3E8E691C"/>
    <w:rsid w:val="3E8F6A08"/>
    <w:rsid w:val="3E8F7AA2"/>
    <w:rsid w:val="3E913C15"/>
    <w:rsid w:val="3E943704"/>
    <w:rsid w:val="3E9465CC"/>
    <w:rsid w:val="3E9560B7"/>
    <w:rsid w:val="3E9716EF"/>
    <w:rsid w:val="3E9E4863"/>
    <w:rsid w:val="3EA13891"/>
    <w:rsid w:val="3EAA7931"/>
    <w:rsid w:val="3EB968CD"/>
    <w:rsid w:val="3EBB0D66"/>
    <w:rsid w:val="3EBC620C"/>
    <w:rsid w:val="3EC038C7"/>
    <w:rsid w:val="3EC05B5F"/>
    <w:rsid w:val="3EC07DD2"/>
    <w:rsid w:val="3EC71643"/>
    <w:rsid w:val="3ECE2070"/>
    <w:rsid w:val="3ED17423"/>
    <w:rsid w:val="3EEA0FB0"/>
    <w:rsid w:val="3EEA2BD5"/>
    <w:rsid w:val="3EFA7D2B"/>
    <w:rsid w:val="3F0F4CB5"/>
    <w:rsid w:val="3F1609BD"/>
    <w:rsid w:val="3F1B30E3"/>
    <w:rsid w:val="3F2C1C26"/>
    <w:rsid w:val="3F3036E9"/>
    <w:rsid w:val="3F376CF0"/>
    <w:rsid w:val="3F39027C"/>
    <w:rsid w:val="3F3D2D64"/>
    <w:rsid w:val="3F464454"/>
    <w:rsid w:val="3F472C4B"/>
    <w:rsid w:val="3F4914DE"/>
    <w:rsid w:val="3F5564F0"/>
    <w:rsid w:val="3F6A7BC7"/>
    <w:rsid w:val="3F6C393F"/>
    <w:rsid w:val="3F7040BA"/>
    <w:rsid w:val="3F725AA7"/>
    <w:rsid w:val="3F726A53"/>
    <w:rsid w:val="3F7448C2"/>
    <w:rsid w:val="3F76387F"/>
    <w:rsid w:val="3F7B0390"/>
    <w:rsid w:val="3F7B1E1D"/>
    <w:rsid w:val="3F887B42"/>
    <w:rsid w:val="3F8F5529"/>
    <w:rsid w:val="3F9B6D5D"/>
    <w:rsid w:val="3F9C7841"/>
    <w:rsid w:val="3F9E5120"/>
    <w:rsid w:val="3FA255B3"/>
    <w:rsid w:val="3FA72E59"/>
    <w:rsid w:val="3FA9101B"/>
    <w:rsid w:val="3FAC0B6B"/>
    <w:rsid w:val="3FB72016"/>
    <w:rsid w:val="3FC01EDD"/>
    <w:rsid w:val="3FC222A0"/>
    <w:rsid w:val="3FCB3A44"/>
    <w:rsid w:val="3FCC5C98"/>
    <w:rsid w:val="3FD2028A"/>
    <w:rsid w:val="3FD61F57"/>
    <w:rsid w:val="3FF12096"/>
    <w:rsid w:val="3FFA4E38"/>
    <w:rsid w:val="3FFA7F71"/>
    <w:rsid w:val="4009739C"/>
    <w:rsid w:val="400B13AA"/>
    <w:rsid w:val="40113732"/>
    <w:rsid w:val="40174D0B"/>
    <w:rsid w:val="402840BD"/>
    <w:rsid w:val="4029359A"/>
    <w:rsid w:val="402B30A5"/>
    <w:rsid w:val="402D7572"/>
    <w:rsid w:val="402E6092"/>
    <w:rsid w:val="40355301"/>
    <w:rsid w:val="40375DFD"/>
    <w:rsid w:val="4038621B"/>
    <w:rsid w:val="403B3239"/>
    <w:rsid w:val="403F1053"/>
    <w:rsid w:val="40413115"/>
    <w:rsid w:val="40477F21"/>
    <w:rsid w:val="404843AC"/>
    <w:rsid w:val="404C2041"/>
    <w:rsid w:val="404F6FD5"/>
    <w:rsid w:val="404F7765"/>
    <w:rsid w:val="405030B3"/>
    <w:rsid w:val="40512280"/>
    <w:rsid w:val="4054078A"/>
    <w:rsid w:val="405609E0"/>
    <w:rsid w:val="40582BCA"/>
    <w:rsid w:val="40637705"/>
    <w:rsid w:val="40671DAB"/>
    <w:rsid w:val="406960D0"/>
    <w:rsid w:val="407179C3"/>
    <w:rsid w:val="40750522"/>
    <w:rsid w:val="40767EE4"/>
    <w:rsid w:val="40794DA0"/>
    <w:rsid w:val="4079618D"/>
    <w:rsid w:val="40801DC5"/>
    <w:rsid w:val="408A2243"/>
    <w:rsid w:val="408A343A"/>
    <w:rsid w:val="409230AB"/>
    <w:rsid w:val="4097797A"/>
    <w:rsid w:val="409C33B5"/>
    <w:rsid w:val="40A916A4"/>
    <w:rsid w:val="40B21825"/>
    <w:rsid w:val="40BE7B61"/>
    <w:rsid w:val="40C60F44"/>
    <w:rsid w:val="40CE7BA3"/>
    <w:rsid w:val="40E72518"/>
    <w:rsid w:val="40E95AD0"/>
    <w:rsid w:val="40EC6629"/>
    <w:rsid w:val="40EE7647"/>
    <w:rsid w:val="40EF42E4"/>
    <w:rsid w:val="40F619D5"/>
    <w:rsid w:val="40FE41DF"/>
    <w:rsid w:val="41004C7D"/>
    <w:rsid w:val="410066E2"/>
    <w:rsid w:val="4103174A"/>
    <w:rsid w:val="410F6B0B"/>
    <w:rsid w:val="41113C95"/>
    <w:rsid w:val="411958FB"/>
    <w:rsid w:val="411B1BB9"/>
    <w:rsid w:val="411E5105"/>
    <w:rsid w:val="41225C43"/>
    <w:rsid w:val="412315AD"/>
    <w:rsid w:val="412D3BA9"/>
    <w:rsid w:val="41320BB8"/>
    <w:rsid w:val="41391282"/>
    <w:rsid w:val="413C344D"/>
    <w:rsid w:val="414240A8"/>
    <w:rsid w:val="414601C0"/>
    <w:rsid w:val="4146274D"/>
    <w:rsid w:val="414D4579"/>
    <w:rsid w:val="414E0FDF"/>
    <w:rsid w:val="414E17CA"/>
    <w:rsid w:val="41513022"/>
    <w:rsid w:val="415727F6"/>
    <w:rsid w:val="415974B0"/>
    <w:rsid w:val="415C3F32"/>
    <w:rsid w:val="415D2877"/>
    <w:rsid w:val="415F77A2"/>
    <w:rsid w:val="41625D0B"/>
    <w:rsid w:val="41681225"/>
    <w:rsid w:val="41682300"/>
    <w:rsid w:val="416858E8"/>
    <w:rsid w:val="417644EE"/>
    <w:rsid w:val="41891AD2"/>
    <w:rsid w:val="418B5357"/>
    <w:rsid w:val="418B792E"/>
    <w:rsid w:val="418F3FF2"/>
    <w:rsid w:val="41913D0F"/>
    <w:rsid w:val="41A17C39"/>
    <w:rsid w:val="41B63873"/>
    <w:rsid w:val="41B810BD"/>
    <w:rsid w:val="41BA0790"/>
    <w:rsid w:val="41C27FBF"/>
    <w:rsid w:val="41C55462"/>
    <w:rsid w:val="41C7542D"/>
    <w:rsid w:val="41CD41F7"/>
    <w:rsid w:val="41D01C4B"/>
    <w:rsid w:val="41D03FFE"/>
    <w:rsid w:val="41D2138B"/>
    <w:rsid w:val="41D507D8"/>
    <w:rsid w:val="41DC3ACA"/>
    <w:rsid w:val="41E10CC2"/>
    <w:rsid w:val="41E9571B"/>
    <w:rsid w:val="41EE0FEB"/>
    <w:rsid w:val="41F0060C"/>
    <w:rsid w:val="41F07146"/>
    <w:rsid w:val="41FB7F98"/>
    <w:rsid w:val="420231E2"/>
    <w:rsid w:val="42207DDF"/>
    <w:rsid w:val="42224789"/>
    <w:rsid w:val="4222797A"/>
    <w:rsid w:val="42244172"/>
    <w:rsid w:val="42252B2A"/>
    <w:rsid w:val="423D4951"/>
    <w:rsid w:val="424020CE"/>
    <w:rsid w:val="42587080"/>
    <w:rsid w:val="425B7C9B"/>
    <w:rsid w:val="42676C72"/>
    <w:rsid w:val="426849CF"/>
    <w:rsid w:val="42690610"/>
    <w:rsid w:val="426D0F02"/>
    <w:rsid w:val="4270053B"/>
    <w:rsid w:val="427E1592"/>
    <w:rsid w:val="428619BA"/>
    <w:rsid w:val="4289586D"/>
    <w:rsid w:val="428A33B7"/>
    <w:rsid w:val="42936EB3"/>
    <w:rsid w:val="42980EEF"/>
    <w:rsid w:val="429C621F"/>
    <w:rsid w:val="42A87E2D"/>
    <w:rsid w:val="42B04C62"/>
    <w:rsid w:val="42B2563A"/>
    <w:rsid w:val="42B409D3"/>
    <w:rsid w:val="42D37B16"/>
    <w:rsid w:val="42DC5BDB"/>
    <w:rsid w:val="42EB101F"/>
    <w:rsid w:val="42F205FF"/>
    <w:rsid w:val="42FD6CD5"/>
    <w:rsid w:val="42FF1539"/>
    <w:rsid w:val="43012F78"/>
    <w:rsid w:val="43082409"/>
    <w:rsid w:val="430B6BDF"/>
    <w:rsid w:val="430F6ADD"/>
    <w:rsid w:val="43110D53"/>
    <w:rsid w:val="43146A4C"/>
    <w:rsid w:val="431E0678"/>
    <w:rsid w:val="431F0A91"/>
    <w:rsid w:val="432106F9"/>
    <w:rsid w:val="43216E99"/>
    <w:rsid w:val="432266F3"/>
    <w:rsid w:val="43304B34"/>
    <w:rsid w:val="4335089C"/>
    <w:rsid w:val="434041E1"/>
    <w:rsid w:val="43411D6F"/>
    <w:rsid w:val="434A5A04"/>
    <w:rsid w:val="434F6FEC"/>
    <w:rsid w:val="434F77FF"/>
    <w:rsid w:val="43575D99"/>
    <w:rsid w:val="43587A37"/>
    <w:rsid w:val="43666C5B"/>
    <w:rsid w:val="436C3988"/>
    <w:rsid w:val="43753C34"/>
    <w:rsid w:val="437A3BAA"/>
    <w:rsid w:val="437F1E98"/>
    <w:rsid w:val="43827BD5"/>
    <w:rsid w:val="4384401E"/>
    <w:rsid w:val="438F4031"/>
    <w:rsid w:val="43923B90"/>
    <w:rsid w:val="439421B4"/>
    <w:rsid w:val="43977067"/>
    <w:rsid w:val="439820B6"/>
    <w:rsid w:val="439A093C"/>
    <w:rsid w:val="439F6C27"/>
    <w:rsid w:val="43A03120"/>
    <w:rsid w:val="43A53451"/>
    <w:rsid w:val="43A56FBE"/>
    <w:rsid w:val="43A61AE1"/>
    <w:rsid w:val="43AA712C"/>
    <w:rsid w:val="43AC6A00"/>
    <w:rsid w:val="43B4108A"/>
    <w:rsid w:val="43BC21AA"/>
    <w:rsid w:val="43BF51C4"/>
    <w:rsid w:val="43C04259"/>
    <w:rsid w:val="43C36590"/>
    <w:rsid w:val="43C430D3"/>
    <w:rsid w:val="43C80C3D"/>
    <w:rsid w:val="43CB542E"/>
    <w:rsid w:val="43CE2749"/>
    <w:rsid w:val="43CF5479"/>
    <w:rsid w:val="43D6734D"/>
    <w:rsid w:val="43DF5D64"/>
    <w:rsid w:val="43E20674"/>
    <w:rsid w:val="43E36448"/>
    <w:rsid w:val="43E66E24"/>
    <w:rsid w:val="43E8042D"/>
    <w:rsid w:val="43EC5F75"/>
    <w:rsid w:val="43ED6494"/>
    <w:rsid w:val="43F403A7"/>
    <w:rsid w:val="43FD617D"/>
    <w:rsid w:val="440E34C8"/>
    <w:rsid w:val="44100662"/>
    <w:rsid w:val="44116F59"/>
    <w:rsid w:val="4415427A"/>
    <w:rsid w:val="441E3767"/>
    <w:rsid w:val="44240C8C"/>
    <w:rsid w:val="44253167"/>
    <w:rsid w:val="442531CE"/>
    <w:rsid w:val="442773DE"/>
    <w:rsid w:val="44282AEB"/>
    <w:rsid w:val="44283A33"/>
    <w:rsid w:val="44316F05"/>
    <w:rsid w:val="44394B9A"/>
    <w:rsid w:val="443C44DA"/>
    <w:rsid w:val="44417237"/>
    <w:rsid w:val="44444896"/>
    <w:rsid w:val="44450C02"/>
    <w:rsid w:val="44493829"/>
    <w:rsid w:val="44540580"/>
    <w:rsid w:val="4455434F"/>
    <w:rsid w:val="44560CA6"/>
    <w:rsid w:val="445B0426"/>
    <w:rsid w:val="445B236B"/>
    <w:rsid w:val="446146C2"/>
    <w:rsid w:val="4463144B"/>
    <w:rsid w:val="4466612A"/>
    <w:rsid w:val="446C53C6"/>
    <w:rsid w:val="4476137E"/>
    <w:rsid w:val="44796BFB"/>
    <w:rsid w:val="448127BC"/>
    <w:rsid w:val="448F1A3A"/>
    <w:rsid w:val="448F4487"/>
    <w:rsid w:val="449556E6"/>
    <w:rsid w:val="44956885"/>
    <w:rsid w:val="449A104B"/>
    <w:rsid w:val="449B4749"/>
    <w:rsid w:val="44AD4A6C"/>
    <w:rsid w:val="44B06EF3"/>
    <w:rsid w:val="44B32BFD"/>
    <w:rsid w:val="44B42139"/>
    <w:rsid w:val="44B42BFF"/>
    <w:rsid w:val="44B542BF"/>
    <w:rsid w:val="44BF2808"/>
    <w:rsid w:val="44C22F68"/>
    <w:rsid w:val="44C4421D"/>
    <w:rsid w:val="44CF7D7F"/>
    <w:rsid w:val="44D64BD7"/>
    <w:rsid w:val="44DA134B"/>
    <w:rsid w:val="44E11521"/>
    <w:rsid w:val="44E55D05"/>
    <w:rsid w:val="44E76D34"/>
    <w:rsid w:val="44EF1455"/>
    <w:rsid w:val="44F45D2E"/>
    <w:rsid w:val="44F74DDC"/>
    <w:rsid w:val="44FD7F19"/>
    <w:rsid w:val="44FE4D7E"/>
    <w:rsid w:val="4504103E"/>
    <w:rsid w:val="45074936"/>
    <w:rsid w:val="450C68D6"/>
    <w:rsid w:val="450E6462"/>
    <w:rsid w:val="45103B25"/>
    <w:rsid w:val="451B0098"/>
    <w:rsid w:val="451E0C58"/>
    <w:rsid w:val="45251AF5"/>
    <w:rsid w:val="45265326"/>
    <w:rsid w:val="452E7A96"/>
    <w:rsid w:val="45332760"/>
    <w:rsid w:val="45397684"/>
    <w:rsid w:val="453A003B"/>
    <w:rsid w:val="453C36B5"/>
    <w:rsid w:val="45440C01"/>
    <w:rsid w:val="454476AA"/>
    <w:rsid w:val="45462FC9"/>
    <w:rsid w:val="454669E0"/>
    <w:rsid w:val="454809AA"/>
    <w:rsid w:val="45530F94"/>
    <w:rsid w:val="45590CBD"/>
    <w:rsid w:val="4565155C"/>
    <w:rsid w:val="45657467"/>
    <w:rsid w:val="456C4066"/>
    <w:rsid w:val="45731001"/>
    <w:rsid w:val="457B2AC3"/>
    <w:rsid w:val="457E261E"/>
    <w:rsid w:val="45827BA5"/>
    <w:rsid w:val="45847C7F"/>
    <w:rsid w:val="45872E31"/>
    <w:rsid w:val="458A4E45"/>
    <w:rsid w:val="459E05CA"/>
    <w:rsid w:val="459F5FC7"/>
    <w:rsid w:val="45A86F7F"/>
    <w:rsid w:val="45AA2D32"/>
    <w:rsid w:val="45AD15B1"/>
    <w:rsid w:val="45B66D05"/>
    <w:rsid w:val="45B70CCE"/>
    <w:rsid w:val="45B92CB8"/>
    <w:rsid w:val="45C41232"/>
    <w:rsid w:val="45C703B0"/>
    <w:rsid w:val="45CA643D"/>
    <w:rsid w:val="45CB4C64"/>
    <w:rsid w:val="45D109A0"/>
    <w:rsid w:val="45D2502E"/>
    <w:rsid w:val="45D466E2"/>
    <w:rsid w:val="45DD3BC0"/>
    <w:rsid w:val="45E85DC3"/>
    <w:rsid w:val="45EA514A"/>
    <w:rsid w:val="45FC0202"/>
    <w:rsid w:val="46024FFD"/>
    <w:rsid w:val="46033124"/>
    <w:rsid w:val="46044300"/>
    <w:rsid w:val="4604682B"/>
    <w:rsid w:val="460B41A5"/>
    <w:rsid w:val="46183FCD"/>
    <w:rsid w:val="461B60BF"/>
    <w:rsid w:val="46261186"/>
    <w:rsid w:val="462B6DBC"/>
    <w:rsid w:val="46481257"/>
    <w:rsid w:val="464E6A7D"/>
    <w:rsid w:val="464F3EF8"/>
    <w:rsid w:val="46577CB2"/>
    <w:rsid w:val="465A0F31"/>
    <w:rsid w:val="465A34D7"/>
    <w:rsid w:val="465D1318"/>
    <w:rsid w:val="465D72E0"/>
    <w:rsid w:val="465F3B4D"/>
    <w:rsid w:val="46690FDF"/>
    <w:rsid w:val="46710467"/>
    <w:rsid w:val="467A1D38"/>
    <w:rsid w:val="467A2DE5"/>
    <w:rsid w:val="467D28D5"/>
    <w:rsid w:val="467D7153"/>
    <w:rsid w:val="468439F0"/>
    <w:rsid w:val="468A6DA0"/>
    <w:rsid w:val="46930915"/>
    <w:rsid w:val="469636EF"/>
    <w:rsid w:val="46995490"/>
    <w:rsid w:val="46997E83"/>
    <w:rsid w:val="469B4A2B"/>
    <w:rsid w:val="46A240EA"/>
    <w:rsid w:val="46A40515"/>
    <w:rsid w:val="46A93608"/>
    <w:rsid w:val="46AA073A"/>
    <w:rsid w:val="46B067AF"/>
    <w:rsid w:val="46B51498"/>
    <w:rsid w:val="46B60CB8"/>
    <w:rsid w:val="46B76CCB"/>
    <w:rsid w:val="46BB601E"/>
    <w:rsid w:val="46C32BCA"/>
    <w:rsid w:val="46C81412"/>
    <w:rsid w:val="46C93D6D"/>
    <w:rsid w:val="46D81AA8"/>
    <w:rsid w:val="46DB6CEE"/>
    <w:rsid w:val="46E14335"/>
    <w:rsid w:val="46E20E05"/>
    <w:rsid w:val="4704519C"/>
    <w:rsid w:val="4709790B"/>
    <w:rsid w:val="47171F8D"/>
    <w:rsid w:val="47264AFC"/>
    <w:rsid w:val="472867A5"/>
    <w:rsid w:val="4730245D"/>
    <w:rsid w:val="47352C41"/>
    <w:rsid w:val="4738732D"/>
    <w:rsid w:val="4739012A"/>
    <w:rsid w:val="473979EB"/>
    <w:rsid w:val="473A5A18"/>
    <w:rsid w:val="47434DE4"/>
    <w:rsid w:val="474A34FA"/>
    <w:rsid w:val="474C444B"/>
    <w:rsid w:val="47533690"/>
    <w:rsid w:val="4755115C"/>
    <w:rsid w:val="4755426C"/>
    <w:rsid w:val="47596E9F"/>
    <w:rsid w:val="475A10FE"/>
    <w:rsid w:val="47716B3D"/>
    <w:rsid w:val="4774328E"/>
    <w:rsid w:val="477A3310"/>
    <w:rsid w:val="477F48DA"/>
    <w:rsid w:val="478127A1"/>
    <w:rsid w:val="47891ACF"/>
    <w:rsid w:val="478F466E"/>
    <w:rsid w:val="47950D0B"/>
    <w:rsid w:val="479E4F2D"/>
    <w:rsid w:val="47A178CB"/>
    <w:rsid w:val="47A3011A"/>
    <w:rsid w:val="47A563E7"/>
    <w:rsid w:val="47A752DC"/>
    <w:rsid w:val="47AA030A"/>
    <w:rsid w:val="47AB1FDE"/>
    <w:rsid w:val="47AD0F98"/>
    <w:rsid w:val="47B378A1"/>
    <w:rsid w:val="47B5232B"/>
    <w:rsid w:val="47BB2E58"/>
    <w:rsid w:val="47C13C1F"/>
    <w:rsid w:val="47C27D1D"/>
    <w:rsid w:val="47C32712"/>
    <w:rsid w:val="47D66A8E"/>
    <w:rsid w:val="47DA3D23"/>
    <w:rsid w:val="47DF1BCB"/>
    <w:rsid w:val="47E352EC"/>
    <w:rsid w:val="47E52A12"/>
    <w:rsid w:val="47F006DC"/>
    <w:rsid w:val="47F66FF8"/>
    <w:rsid w:val="47F730AB"/>
    <w:rsid w:val="48040D3F"/>
    <w:rsid w:val="48091BC0"/>
    <w:rsid w:val="480A4F86"/>
    <w:rsid w:val="48132D3F"/>
    <w:rsid w:val="48196045"/>
    <w:rsid w:val="48203246"/>
    <w:rsid w:val="4820514C"/>
    <w:rsid w:val="48236BF5"/>
    <w:rsid w:val="48266E14"/>
    <w:rsid w:val="48342CB5"/>
    <w:rsid w:val="483475C8"/>
    <w:rsid w:val="483653F2"/>
    <w:rsid w:val="48455675"/>
    <w:rsid w:val="485543C7"/>
    <w:rsid w:val="48554AE2"/>
    <w:rsid w:val="4856596A"/>
    <w:rsid w:val="48584B2D"/>
    <w:rsid w:val="485B09F4"/>
    <w:rsid w:val="485E0330"/>
    <w:rsid w:val="485F01F4"/>
    <w:rsid w:val="48640E21"/>
    <w:rsid w:val="486C3998"/>
    <w:rsid w:val="486F4386"/>
    <w:rsid w:val="487109C8"/>
    <w:rsid w:val="48742F5F"/>
    <w:rsid w:val="487B1866"/>
    <w:rsid w:val="488D5C62"/>
    <w:rsid w:val="489270A7"/>
    <w:rsid w:val="489A25DD"/>
    <w:rsid w:val="48B144FE"/>
    <w:rsid w:val="48B65994"/>
    <w:rsid w:val="48BD2D9D"/>
    <w:rsid w:val="48BD42AA"/>
    <w:rsid w:val="48BE39BE"/>
    <w:rsid w:val="48BE792B"/>
    <w:rsid w:val="48C44D8A"/>
    <w:rsid w:val="48D222DA"/>
    <w:rsid w:val="48D42AED"/>
    <w:rsid w:val="48D64CD4"/>
    <w:rsid w:val="48D83DF3"/>
    <w:rsid w:val="48E0180D"/>
    <w:rsid w:val="48E04AC4"/>
    <w:rsid w:val="48E30199"/>
    <w:rsid w:val="48E66A12"/>
    <w:rsid w:val="48E87B15"/>
    <w:rsid w:val="48EF7AC5"/>
    <w:rsid w:val="48F0661B"/>
    <w:rsid w:val="48FA645F"/>
    <w:rsid w:val="48FD215B"/>
    <w:rsid w:val="48FE4461"/>
    <w:rsid w:val="490A11F3"/>
    <w:rsid w:val="4912455E"/>
    <w:rsid w:val="49186ABA"/>
    <w:rsid w:val="491D4036"/>
    <w:rsid w:val="49264C34"/>
    <w:rsid w:val="492D489A"/>
    <w:rsid w:val="49331E1E"/>
    <w:rsid w:val="49342C50"/>
    <w:rsid w:val="493904E2"/>
    <w:rsid w:val="493F661D"/>
    <w:rsid w:val="494420A0"/>
    <w:rsid w:val="49463DA7"/>
    <w:rsid w:val="494B2817"/>
    <w:rsid w:val="4951284A"/>
    <w:rsid w:val="495C2C76"/>
    <w:rsid w:val="496438D9"/>
    <w:rsid w:val="496651F0"/>
    <w:rsid w:val="496A4B69"/>
    <w:rsid w:val="496C723B"/>
    <w:rsid w:val="496D4E83"/>
    <w:rsid w:val="4972249A"/>
    <w:rsid w:val="49834D10"/>
    <w:rsid w:val="49855F47"/>
    <w:rsid w:val="498B7096"/>
    <w:rsid w:val="498D2F6B"/>
    <w:rsid w:val="4991050A"/>
    <w:rsid w:val="499158DF"/>
    <w:rsid w:val="49923F57"/>
    <w:rsid w:val="4994091F"/>
    <w:rsid w:val="49961987"/>
    <w:rsid w:val="499853EC"/>
    <w:rsid w:val="499D4F95"/>
    <w:rsid w:val="499F1A4A"/>
    <w:rsid w:val="49AA6690"/>
    <w:rsid w:val="49AA7083"/>
    <w:rsid w:val="49AD602E"/>
    <w:rsid w:val="49B14C54"/>
    <w:rsid w:val="49C16CFB"/>
    <w:rsid w:val="49C432A5"/>
    <w:rsid w:val="49C93EA3"/>
    <w:rsid w:val="49E707F1"/>
    <w:rsid w:val="49EC5A6B"/>
    <w:rsid w:val="49ED33E0"/>
    <w:rsid w:val="49F033BE"/>
    <w:rsid w:val="49F10669"/>
    <w:rsid w:val="49F25388"/>
    <w:rsid w:val="49F34542"/>
    <w:rsid w:val="49FE0000"/>
    <w:rsid w:val="4A0376B9"/>
    <w:rsid w:val="4A103246"/>
    <w:rsid w:val="4A11580F"/>
    <w:rsid w:val="4A1366B9"/>
    <w:rsid w:val="4A1E4A0D"/>
    <w:rsid w:val="4A227A1C"/>
    <w:rsid w:val="4A294630"/>
    <w:rsid w:val="4A295E9B"/>
    <w:rsid w:val="4A2F0710"/>
    <w:rsid w:val="4A3100DB"/>
    <w:rsid w:val="4A365275"/>
    <w:rsid w:val="4A3D2335"/>
    <w:rsid w:val="4A474140"/>
    <w:rsid w:val="4A4756D4"/>
    <w:rsid w:val="4A4A7382"/>
    <w:rsid w:val="4A4B0B5C"/>
    <w:rsid w:val="4A4B2D3F"/>
    <w:rsid w:val="4A4E2DF6"/>
    <w:rsid w:val="4A5241A8"/>
    <w:rsid w:val="4A6242BC"/>
    <w:rsid w:val="4A62606A"/>
    <w:rsid w:val="4A6C73F2"/>
    <w:rsid w:val="4A6F69D9"/>
    <w:rsid w:val="4A703D38"/>
    <w:rsid w:val="4A7333BD"/>
    <w:rsid w:val="4A7F59C8"/>
    <w:rsid w:val="4A936207"/>
    <w:rsid w:val="4A9E53D1"/>
    <w:rsid w:val="4AC1388C"/>
    <w:rsid w:val="4ACA5C1B"/>
    <w:rsid w:val="4ACD62D0"/>
    <w:rsid w:val="4ACF370E"/>
    <w:rsid w:val="4AD85642"/>
    <w:rsid w:val="4AD901C7"/>
    <w:rsid w:val="4ADA55C0"/>
    <w:rsid w:val="4ADD1644"/>
    <w:rsid w:val="4AE1496F"/>
    <w:rsid w:val="4AE25D7C"/>
    <w:rsid w:val="4AE334B4"/>
    <w:rsid w:val="4AED03DF"/>
    <w:rsid w:val="4AF50BDF"/>
    <w:rsid w:val="4AFE1B83"/>
    <w:rsid w:val="4B0410F6"/>
    <w:rsid w:val="4B0623C7"/>
    <w:rsid w:val="4B067A89"/>
    <w:rsid w:val="4B0E4448"/>
    <w:rsid w:val="4B161D72"/>
    <w:rsid w:val="4B1A0C7D"/>
    <w:rsid w:val="4B222BB0"/>
    <w:rsid w:val="4B225216"/>
    <w:rsid w:val="4B231E48"/>
    <w:rsid w:val="4B234137"/>
    <w:rsid w:val="4B3043BA"/>
    <w:rsid w:val="4B327DE4"/>
    <w:rsid w:val="4B357F3E"/>
    <w:rsid w:val="4B3D70A8"/>
    <w:rsid w:val="4B4425C2"/>
    <w:rsid w:val="4B47639D"/>
    <w:rsid w:val="4B4F2B9F"/>
    <w:rsid w:val="4B5421D9"/>
    <w:rsid w:val="4B54635A"/>
    <w:rsid w:val="4B554289"/>
    <w:rsid w:val="4B5639C4"/>
    <w:rsid w:val="4B5A0A02"/>
    <w:rsid w:val="4B5B76B4"/>
    <w:rsid w:val="4B5F563C"/>
    <w:rsid w:val="4B603612"/>
    <w:rsid w:val="4B616322"/>
    <w:rsid w:val="4B62287C"/>
    <w:rsid w:val="4B694566"/>
    <w:rsid w:val="4B6B2355"/>
    <w:rsid w:val="4B7147E3"/>
    <w:rsid w:val="4B7C2F16"/>
    <w:rsid w:val="4B7F07DE"/>
    <w:rsid w:val="4B807F11"/>
    <w:rsid w:val="4B8420D6"/>
    <w:rsid w:val="4B885FA4"/>
    <w:rsid w:val="4B8C01AA"/>
    <w:rsid w:val="4B9221F7"/>
    <w:rsid w:val="4BA12BC2"/>
    <w:rsid w:val="4BAF7ED3"/>
    <w:rsid w:val="4BB14659"/>
    <w:rsid w:val="4BB2364E"/>
    <w:rsid w:val="4BB24DCF"/>
    <w:rsid w:val="4BB26B7D"/>
    <w:rsid w:val="4BCD5ABB"/>
    <w:rsid w:val="4BD11D67"/>
    <w:rsid w:val="4BD5419C"/>
    <w:rsid w:val="4BD606AC"/>
    <w:rsid w:val="4BDA4522"/>
    <w:rsid w:val="4BE300AB"/>
    <w:rsid w:val="4BF42F4C"/>
    <w:rsid w:val="4C033053"/>
    <w:rsid w:val="4C03562B"/>
    <w:rsid w:val="4C053A27"/>
    <w:rsid w:val="4C0C30DD"/>
    <w:rsid w:val="4C14438F"/>
    <w:rsid w:val="4C1D24DE"/>
    <w:rsid w:val="4C1E2DAE"/>
    <w:rsid w:val="4C1E3668"/>
    <w:rsid w:val="4C217EF7"/>
    <w:rsid w:val="4C29057C"/>
    <w:rsid w:val="4C2B5124"/>
    <w:rsid w:val="4C304255"/>
    <w:rsid w:val="4C3F1721"/>
    <w:rsid w:val="4C546FF9"/>
    <w:rsid w:val="4C56022C"/>
    <w:rsid w:val="4C56461E"/>
    <w:rsid w:val="4C5C003A"/>
    <w:rsid w:val="4C602A7D"/>
    <w:rsid w:val="4C607568"/>
    <w:rsid w:val="4C6C519E"/>
    <w:rsid w:val="4C6C5D64"/>
    <w:rsid w:val="4C743B38"/>
    <w:rsid w:val="4C74633E"/>
    <w:rsid w:val="4C7E0295"/>
    <w:rsid w:val="4C7F3F6E"/>
    <w:rsid w:val="4C815E38"/>
    <w:rsid w:val="4C833C8D"/>
    <w:rsid w:val="4C851783"/>
    <w:rsid w:val="4C8520BB"/>
    <w:rsid w:val="4C862147"/>
    <w:rsid w:val="4C896654"/>
    <w:rsid w:val="4C8972E4"/>
    <w:rsid w:val="4C8E39D4"/>
    <w:rsid w:val="4C943E01"/>
    <w:rsid w:val="4C983043"/>
    <w:rsid w:val="4C984A7E"/>
    <w:rsid w:val="4C9E5354"/>
    <w:rsid w:val="4CA304C9"/>
    <w:rsid w:val="4CA540A3"/>
    <w:rsid w:val="4CAB7660"/>
    <w:rsid w:val="4CAF1686"/>
    <w:rsid w:val="4CB30D23"/>
    <w:rsid w:val="4CB44F03"/>
    <w:rsid w:val="4CBC04CD"/>
    <w:rsid w:val="4CBC5F47"/>
    <w:rsid w:val="4CBF2826"/>
    <w:rsid w:val="4CD50745"/>
    <w:rsid w:val="4CE23492"/>
    <w:rsid w:val="4CE44AF1"/>
    <w:rsid w:val="4CE92A73"/>
    <w:rsid w:val="4CE94821"/>
    <w:rsid w:val="4CE974C5"/>
    <w:rsid w:val="4CEA2E80"/>
    <w:rsid w:val="4CED511E"/>
    <w:rsid w:val="4CF11471"/>
    <w:rsid w:val="4CF16F4A"/>
    <w:rsid w:val="4CFE4934"/>
    <w:rsid w:val="4D0018EE"/>
    <w:rsid w:val="4D05774F"/>
    <w:rsid w:val="4D0C5630"/>
    <w:rsid w:val="4D0F328E"/>
    <w:rsid w:val="4D1522E4"/>
    <w:rsid w:val="4D1C06B6"/>
    <w:rsid w:val="4D232438"/>
    <w:rsid w:val="4D272912"/>
    <w:rsid w:val="4D2C6AE6"/>
    <w:rsid w:val="4D2E1E74"/>
    <w:rsid w:val="4D2E47A6"/>
    <w:rsid w:val="4D330192"/>
    <w:rsid w:val="4D363B4B"/>
    <w:rsid w:val="4D3834D1"/>
    <w:rsid w:val="4D391799"/>
    <w:rsid w:val="4D3C6814"/>
    <w:rsid w:val="4D4373FC"/>
    <w:rsid w:val="4D4C3D75"/>
    <w:rsid w:val="4D4D72DB"/>
    <w:rsid w:val="4D4E0043"/>
    <w:rsid w:val="4D5D0F1F"/>
    <w:rsid w:val="4D607C93"/>
    <w:rsid w:val="4D662315"/>
    <w:rsid w:val="4D693BB4"/>
    <w:rsid w:val="4D6A0363"/>
    <w:rsid w:val="4D6A2508"/>
    <w:rsid w:val="4D6A6F7B"/>
    <w:rsid w:val="4D6C3D0C"/>
    <w:rsid w:val="4D771816"/>
    <w:rsid w:val="4D7C5602"/>
    <w:rsid w:val="4D824021"/>
    <w:rsid w:val="4D825DCF"/>
    <w:rsid w:val="4D834761"/>
    <w:rsid w:val="4D8A31E1"/>
    <w:rsid w:val="4D8B22D3"/>
    <w:rsid w:val="4D8C1650"/>
    <w:rsid w:val="4D977115"/>
    <w:rsid w:val="4D9804B1"/>
    <w:rsid w:val="4D9D2CC9"/>
    <w:rsid w:val="4DA004E5"/>
    <w:rsid w:val="4DA333DD"/>
    <w:rsid w:val="4DAA2B1F"/>
    <w:rsid w:val="4DAA53E1"/>
    <w:rsid w:val="4DB47B62"/>
    <w:rsid w:val="4DBC7AF4"/>
    <w:rsid w:val="4DC476DF"/>
    <w:rsid w:val="4DC54A6E"/>
    <w:rsid w:val="4DC66910"/>
    <w:rsid w:val="4DC75E01"/>
    <w:rsid w:val="4DCB00CC"/>
    <w:rsid w:val="4DCB2B3C"/>
    <w:rsid w:val="4DCD5062"/>
    <w:rsid w:val="4DCF04DD"/>
    <w:rsid w:val="4DD30BDE"/>
    <w:rsid w:val="4DDC4C74"/>
    <w:rsid w:val="4DDD65D2"/>
    <w:rsid w:val="4DE33966"/>
    <w:rsid w:val="4DE97BEE"/>
    <w:rsid w:val="4DEA4CF4"/>
    <w:rsid w:val="4DF71DC0"/>
    <w:rsid w:val="4DF96CE5"/>
    <w:rsid w:val="4E000140"/>
    <w:rsid w:val="4E0764FC"/>
    <w:rsid w:val="4E0927F7"/>
    <w:rsid w:val="4E093CD4"/>
    <w:rsid w:val="4E0F6509"/>
    <w:rsid w:val="4E117D8D"/>
    <w:rsid w:val="4E2A2DD0"/>
    <w:rsid w:val="4E2A4813"/>
    <w:rsid w:val="4E2B2C17"/>
    <w:rsid w:val="4E2E612D"/>
    <w:rsid w:val="4E3031F0"/>
    <w:rsid w:val="4E37702F"/>
    <w:rsid w:val="4E380886"/>
    <w:rsid w:val="4E3B7CB6"/>
    <w:rsid w:val="4E487C6D"/>
    <w:rsid w:val="4E4E5429"/>
    <w:rsid w:val="4E513224"/>
    <w:rsid w:val="4E557C94"/>
    <w:rsid w:val="4E6C6816"/>
    <w:rsid w:val="4E6D7B26"/>
    <w:rsid w:val="4E796078"/>
    <w:rsid w:val="4E7A33F1"/>
    <w:rsid w:val="4E850579"/>
    <w:rsid w:val="4E876508"/>
    <w:rsid w:val="4E8969B9"/>
    <w:rsid w:val="4E8D3BC1"/>
    <w:rsid w:val="4E8D4FD9"/>
    <w:rsid w:val="4E8F764A"/>
    <w:rsid w:val="4E9428EA"/>
    <w:rsid w:val="4E947559"/>
    <w:rsid w:val="4E9609D8"/>
    <w:rsid w:val="4E974704"/>
    <w:rsid w:val="4E983CD2"/>
    <w:rsid w:val="4EA330F5"/>
    <w:rsid w:val="4EA529C9"/>
    <w:rsid w:val="4EAA1110"/>
    <w:rsid w:val="4EC33C27"/>
    <w:rsid w:val="4EC70379"/>
    <w:rsid w:val="4ECA2B5F"/>
    <w:rsid w:val="4ED33302"/>
    <w:rsid w:val="4ED4431A"/>
    <w:rsid w:val="4ED9766D"/>
    <w:rsid w:val="4EE27124"/>
    <w:rsid w:val="4EEC2678"/>
    <w:rsid w:val="4EEC3A28"/>
    <w:rsid w:val="4EF343E0"/>
    <w:rsid w:val="4F010748"/>
    <w:rsid w:val="4F012217"/>
    <w:rsid w:val="4F03777F"/>
    <w:rsid w:val="4F057754"/>
    <w:rsid w:val="4F073684"/>
    <w:rsid w:val="4F0A5641"/>
    <w:rsid w:val="4F0F1E65"/>
    <w:rsid w:val="4F147B4F"/>
    <w:rsid w:val="4F184E21"/>
    <w:rsid w:val="4F1D5054"/>
    <w:rsid w:val="4F226642"/>
    <w:rsid w:val="4F2348BF"/>
    <w:rsid w:val="4F24453B"/>
    <w:rsid w:val="4F2C0E01"/>
    <w:rsid w:val="4F457D08"/>
    <w:rsid w:val="4F4B1BBD"/>
    <w:rsid w:val="4F5009DF"/>
    <w:rsid w:val="4F50502B"/>
    <w:rsid w:val="4F537A5E"/>
    <w:rsid w:val="4F5F701C"/>
    <w:rsid w:val="4F624D5E"/>
    <w:rsid w:val="4F6633B9"/>
    <w:rsid w:val="4F70214B"/>
    <w:rsid w:val="4F731860"/>
    <w:rsid w:val="4F77146C"/>
    <w:rsid w:val="4F832AAD"/>
    <w:rsid w:val="4F834112"/>
    <w:rsid w:val="4F8738B6"/>
    <w:rsid w:val="4F8B7E11"/>
    <w:rsid w:val="4F8C6163"/>
    <w:rsid w:val="4F9162F3"/>
    <w:rsid w:val="4F9F653E"/>
    <w:rsid w:val="4FA7668B"/>
    <w:rsid w:val="4FAA3F87"/>
    <w:rsid w:val="4FB47A77"/>
    <w:rsid w:val="4FB82BD0"/>
    <w:rsid w:val="4FB933D4"/>
    <w:rsid w:val="4FBF0D84"/>
    <w:rsid w:val="4FC12668"/>
    <w:rsid w:val="4FC32924"/>
    <w:rsid w:val="4FCA38AD"/>
    <w:rsid w:val="4FCF5A16"/>
    <w:rsid w:val="4FD31CE7"/>
    <w:rsid w:val="4FD45B8A"/>
    <w:rsid w:val="4FD85ACA"/>
    <w:rsid w:val="4FDB49F6"/>
    <w:rsid w:val="4FDF64E0"/>
    <w:rsid w:val="4FE60E6B"/>
    <w:rsid w:val="4FE8785D"/>
    <w:rsid w:val="4FF54F28"/>
    <w:rsid w:val="4FFD3C69"/>
    <w:rsid w:val="50026D46"/>
    <w:rsid w:val="50072B3D"/>
    <w:rsid w:val="5007369F"/>
    <w:rsid w:val="500D17A2"/>
    <w:rsid w:val="50130402"/>
    <w:rsid w:val="50130EE3"/>
    <w:rsid w:val="501346D7"/>
    <w:rsid w:val="501675D8"/>
    <w:rsid w:val="5017010E"/>
    <w:rsid w:val="50277668"/>
    <w:rsid w:val="502C7F8B"/>
    <w:rsid w:val="502E255F"/>
    <w:rsid w:val="50304C03"/>
    <w:rsid w:val="50387BB0"/>
    <w:rsid w:val="50404BBA"/>
    <w:rsid w:val="50543F61"/>
    <w:rsid w:val="50557736"/>
    <w:rsid w:val="50561D57"/>
    <w:rsid w:val="50592349"/>
    <w:rsid w:val="505934ED"/>
    <w:rsid w:val="505A7589"/>
    <w:rsid w:val="50711F73"/>
    <w:rsid w:val="507126D1"/>
    <w:rsid w:val="5075380C"/>
    <w:rsid w:val="507B10BF"/>
    <w:rsid w:val="507B43BC"/>
    <w:rsid w:val="50825259"/>
    <w:rsid w:val="508B0331"/>
    <w:rsid w:val="5099145C"/>
    <w:rsid w:val="50A14B4C"/>
    <w:rsid w:val="50A41D40"/>
    <w:rsid w:val="50A763BF"/>
    <w:rsid w:val="50B36DE9"/>
    <w:rsid w:val="50BB2FBC"/>
    <w:rsid w:val="50BB522B"/>
    <w:rsid w:val="50BB7977"/>
    <w:rsid w:val="50C076D0"/>
    <w:rsid w:val="50C23D07"/>
    <w:rsid w:val="50D537A4"/>
    <w:rsid w:val="50E4294A"/>
    <w:rsid w:val="50E64F1C"/>
    <w:rsid w:val="50E816F6"/>
    <w:rsid w:val="50EF456D"/>
    <w:rsid w:val="50F6149D"/>
    <w:rsid w:val="50F67BF2"/>
    <w:rsid w:val="50FE08BF"/>
    <w:rsid w:val="50FE4613"/>
    <w:rsid w:val="50FF4657"/>
    <w:rsid w:val="510011CC"/>
    <w:rsid w:val="5104026B"/>
    <w:rsid w:val="51083577"/>
    <w:rsid w:val="512D1CFC"/>
    <w:rsid w:val="513037D3"/>
    <w:rsid w:val="513113A8"/>
    <w:rsid w:val="5133250E"/>
    <w:rsid w:val="513643A1"/>
    <w:rsid w:val="513876EA"/>
    <w:rsid w:val="51440558"/>
    <w:rsid w:val="514960E8"/>
    <w:rsid w:val="51506A1A"/>
    <w:rsid w:val="515D1BF9"/>
    <w:rsid w:val="516746D0"/>
    <w:rsid w:val="516A2920"/>
    <w:rsid w:val="51704153"/>
    <w:rsid w:val="5171202B"/>
    <w:rsid w:val="51735AB7"/>
    <w:rsid w:val="517A13EC"/>
    <w:rsid w:val="517A6409"/>
    <w:rsid w:val="517C77D7"/>
    <w:rsid w:val="517E428B"/>
    <w:rsid w:val="51826A00"/>
    <w:rsid w:val="51951E30"/>
    <w:rsid w:val="519761E5"/>
    <w:rsid w:val="51992E31"/>
    <w:rsid w:val="519B5CB0"/>
    <w:rsid w:val="519E6E30"/>
    <w:rsid w:val="51A0391C"/>
    <w:rsid w:val="51A23C3E"/>
    <w:rsid w:val="51A86035"/>
    <w:rsid w:val="51AB3376"/>
    <w:rsid w:val="51AF6DCD"/>
    <w:rsid w:val="51B5069B"/>
    <w:rsid w:val="51B80AAB"/>
    <w:rsid w:val="51BA49DE"/>
    <w:rsid w:val="51BD1FF3"/>
    <w:rsid w:val="51C1721E"/>
    <w:rsid w:val="51C2071F"/>
    <w:rsid w:val="51C46174"/>
    <w:rsid w:val="51C608D7"/>
    <w:rsid w:val="51CF341F"/>
    <w:rsid w:val="51D05FAF"/>
    <w:rsid w:val="51D441E2"/>
    <w:rsid w:val="51DF0793"/>
    <w:rsid w:val="51DF506D"/>
    <w:rsid w:val="51ED3413"/>
    <w:rsid w:val="51ED6B61"/>
    <w:rsid w:val="51F46B33"/>
    <w:rsid w:val="51F77ECF"/>
    <w:rsid w:val="520018DB"/>
    <w:rsid w:val="520A14D4"/>
    <w:rsid w:val="520B6560"/>
    <w:rsid w:val="5211787A"/>
    <w:rsid w:val="521D5884"/>
    <w:rsid w:val="5221049D"/>
    <w:rsid w:val="522336C0"/>
    <w:rsid w:val="52236C52"/>
    <w:rsid w:val="522E2D5E"/>
    <w:rsid w:val="522F6E08"/>
    <w:rsid w:val="52317773"/>
    <w:rsid w:val="52377FF3"/>
    <w:rsid w:val="523B7F3D"/>
    <w:rsid w:val="523F6E70"/>
    <w:rsid w:val="52420F72"/>
    <w:rsid w:val="52440E41"/>
    <w:rsid w:val="5247379E"/>
    <w:rsid w:val="525118C0"/>
    <w:rsid w:val="5257079E"/>
    <w:rsid w:val="52591FCD"/>
    <w:rsid w:val="526458CE"/>
    <w:rsid w:val="526D4D95"/>
    <w:rsid w:val="52701D2A"/>
    <w:rsid w:val="5272041B"/>
    <w:rsid w:val="5280401A"/>
    <w:rsid w:val="52847F59"/>
    <w:rsid w:val="52993584"/>
    <w:rsid w:val="529D3FB0"/>
    <w:rsid w:val="529F7CA1"/>
    <w:rsid w:val="52A32B02"/>
    <w:rsid w:val="52AB6AA9"/>
    <w:rsid w:val="52B50728"/>
    <w:rsid w:val="52BC460F"/>
    <w:rsid w:val="52CF5EB9"/>
    <w:rsid w:val="52D970E6"/>
    <w:rsid w:val="52DB7128"/>
    <w:rsid w:val="52E35091"/>
    <w:rsid w:val="52E76E7B"/>
    <w:rsid w:val="52F128B9"/>
    <w:rsid w:val="530C4920"/>
    <w:rsid w:val="5316253B"/>
    <w:rsid w:val="53195734"/>
    <w:rsid w:val="53203DBE"/>
    <w:rsid w:val="5326146B"/>
    <w:rsid w:val="532A715E"/>
    <w:rsid w:val="53303630"/>
    <w:rsid w:val="533050E8"/>
    <w:rsid w:val="533079E9"/>
    <w:rsid w:val="53352068"/>
    <w:rsid w:val="53442AD5"/>
    <w:rsid w:val="53456A65"/>
    <w:rsid w:val="534E3C49"/>
    <w:rsid w:val="536E1B84"/>
    <w:rsid w:val="53736C42"/>
    <w:rsid w:val="53765E56"/>
    <w:rsid w:val="537A3694"/>
    <w:rsid w:val="537A45B2"/>
    <w:rsid w:val="53852A69"/>
    <w:rsid w:val="53894FEB"/>
    <w:rsid w:val="538A75ED"/>
    <w:rsid w:val="538C1642"/>
    <w:rsid w:val="53983E76"/>
    <w:rsid w:val="539914A9"/>
    <w:rsid w:val="539B1631"/>
    <w:rsid w:val="53A65898"/>
    <w:rsid w:val="53A73EC8"/>
    <w:rsid w:val="53A97040"/>
    <w:rsid w:val="53B25B59"/>
    <w:rsid w:val="53B56C52"/>
    <w:rsid w:val="53B57137"/>
    <w:rsid w:val="53B62F5A"/>
    <w:rsid w:val="53BB593F"/>
    <w:rsid w:val="53BC0861"/>
    <w:rsid w:val="53BC4FB3"/>
    <w:rsid w:val="53BE06E1"/>
    <w:rsid w:val="53C43780"/>
    <w:rsid w:val="53CE0732"/>
    <w:rsid w:val="53D004E8"/>
    <w:rsid w:val="53D17152"/>
    <w:rsid w:val="53DC49CF"/>
    <w:rsid w:val="53E357A7"/>
    <w:rsid w:val="53E519AD"/>
    <w:rsid w:val="53F2513E"/>
    <w:rsid w:val="53F90EE6"/>
    <w:rsid w:val="54005893"/>
    <w:rsid w:val="54041262"/>
    <w:rsid w:val="540C50BD"/>
    <w:rsid w:val="541D4411"/>
    <w:rsid w:val="54243A90"/>
    <w:rsid w:val="542A4F41"/>
    <w:rsid w:val="542B3971"/>
    <w:rsid w:val="543A576B"/>
    <w:rsid w:val="543C2750"/>
    <w:rsid w:val="543D420B"/>
    <w:rsid w:val="543E7FB9"/>
    <w:rsid w:val="543F2E4F"/>
    <w:rsid w:val="54400000"/>
    <w:rsid w:val="54402A1F"/>
    <w:rsid w:val="54411A74"/>
    <w:rsid w:val="54420CBA"/>
    <w:rsid w:val="54493486"/>
    <w:rsid w:val="544E5790"/>
    <w:rsid w:val="5454601A"/>
    <w:rsid w:val="545555FD"/>
    <w:rsid w:val="545E60B8"/>
    <w:rsid w:val="54626B68"/>
    <w:rsid w:val="546D0833"/>
    <w:rsid w:val="54730187"/>
    <w:rsid w:val="547B204D"/>
    <w:rsid w:val="54805FD9"/>
    <w:rsid w:val="548151A8"/>
    <w:rsid w:val="5489265D"/>
    <w:rsid w:val="54967A7E"/>
    <w:rsid w:val="54975986"/>
    <w:rsid w:val="54997697"/>
    <w:rsid w:val="549E2395"/>
    <w:rsid w:val="54A159E1"/>
    <w:rsid w:val="54A76A9C"/>
    <w:rsid w:val="54AA0E09"/>
    <w:rsid w:val="54B46628"/>
    <w:rsid w:val="54B62BD2"/>
    <w:rsid w:val="54B758B5"/>
    <w:rsid w:val="54B758CB"/>
    <w:rsid w:val="54B80735"/>
    <w:rsid w:val="54B96D1C"/>
    <w:rsid w:val="54C17E31"/>
    <w:rsid w:val="54C33EAE"/>
    <w:rsid w:val="54C76692"/>
    <w:rsid w:val="54C951BD"/>
    <w:rsid w:val="54CC0A96"/>
    <w:rsid w:val="54CF2E72"/>
    <w:rsid w:val="54DB7EE0"/>
    <w:rsid w:val="54EA51DC"/>
    <w:rsid w:val="54F16253"/>
    <w:rsid w:val="550B4AF0"/>
    <w:rsid w:val="550D47AA"/>
    <w:rsid w:val="550E7E34"/>
    <w:rsid w:val="551E1A58"/>
    <w:rsid w:val="55211058"/>
    <w:rsid w:val="55221636"/>
    <w:rsid w:val="55257A57"/>
    <w:rsid w:val="55262A49"/>
    <w:rsid w:val="55276207"/>
    <w:rsid w:val="552A4A99"/>
    <w:rsid w:val="552F123F"/>
    <w:rsid w:val="55346855"/>
    <w:rsid w:val="553A3136"/>
    <w:rsid w:val="553D5D0B"/>
    <w:rsid w:val="55472A2C"/>
    <w:rsid w:val="5547558F"/>
    <w:rsid w:val="554B7E43"/>
    <w:rsid w:val="554C5F67"/>
    <w:rsid w:val="5550657E"/>
    <w:rsid w:val="55546EF7"/>
    <w:rsid w:val="55641A0E"/>
    <w:rsid w:val="55673898"/>
    <w:rsid w:val="55702D56"/>
    <w:rsid w:val="557203E8"/>
    <w:rsid w:val="55775A5D"/>
    <w:rsid w:val="557B4484"/>
    <w:rsid w:val="557C163D"/>
    <w:rsid w:val="55855303"/>
    <w:rsid w:val="5589134E"/>
    <w:rsid w:val="55937B81"/>
    <w:rsid w:val="55942D34"/>
    <w:rsid w:val="559E3CB8"/>
    <w:rsid w:val="55A33D7D"/>
    <w:rsid w:val="55A977E8"/>
    <w:rsid w:val="55AB7033"/>
    <w:rsid w:val="55B431BE"/>
    <w:rsid w:val="55B90536"/>
    <w:rsid w:val="55CF55C7"/>
    <w:rsid w:val="55D41DE6"/>
    <w:rsid w:val="55D43ABC"/>
    <w:rsid w:val="55DD0945"/>
    <w:rsid w:val="55E22A8B"/>
    <w:rsid w:val="55E277E7"/>
    <w:rsid w:val="55EA4378"/>
    <w:rsid w:val="56001FA8"/>
    <w:rsid w:val="56075D18"/>
    <w:rsid w:val="561A47F1"/>
    <w:rsid w:val="561F42AB"/>
    <w:rsid w:val="562B5109"/>
    <w:rsid w:val="5634294E"/>
    <w:rsid w:val="56375053"/>
    <w:rsid w:val="563B35B0"/>
    <w:rsid w:val="564357B8"/>
    <w:rsid w:val="56465579"/>
    <w:rsid w:val="564B75E0"/>
    <w:rsid w:val="564F7ED7"/>
    <w:rsid w:val="56547860"/>
    <w:rsid w:val="565657B9"/>
    <w:rsid w:val="565847C5"/>
    <w:rsid w:val="56627F58"/>
    <w:rsid w:val="566A296A"/>
    <w:rsid w:val="566B50EE"/>
    <w:rsid w:val="566C0FF0"/>
    <w:rsid w:val="56725887"/>
    <w:rsid w:val="56754D0B"/>
    <w:rsid w:val="56757125"/>
    <w:rsid w:val="5677483B"/>
    <w:rsid w:val="567B1FB6"/>
    <w:rsid w:val="5680141A"/>
    <w:rsid w:val="568C3A01"/>
    <w:rsid w:val="56925967"/>
    <w:rsid w:val="56972004"/>
    <w:rsid w:val="569761EB"/>
    <w:rsid w:val="569F41A2"/>
    <w:rsid w:val="56A31EE4"/>
    <w:rsid w:val="56A508E3"/>
    <w:rsid w:val="56A96381"/>
    <w:rsid w:val="56B40571"/>
    <w:rsid w:val="56B41097"/>
    <w:rsid w:val="56B502B4"/>
    <w:rsid w:val="56C70BD6"/>
    <w:rsid w:val="56C72959"/>
    <w:rsid w:val="56C87B9D"/>
    <w:rsid w:val="56CA1961"/>
    <w:rsid w:val="56D05CEB"/>
    <w:rsid w:val="56D4209E"/>
    <w:rsid w:val="56DA64C3"/>
    <w:rsid w:val="56DD6F95"/>
    <w:rsid w:val="56EB33F8"/>
    <w:rsid w:val="56EF3780"/>
    <w:rsid w:val="56F221C8"/>
    <w:rsid w:val="56F4254E"/>
    <w:rsid w:val="56F664B8"/>
    <w:rsid w:val="56FA7F7B"/>
    <w:rsid w:val="57055F97"/>
    <w:rsid w:val="570C6E42"/>
    <w:rsid w:val="570E029A"/>
    <w:rsid w:val="571031C6"/>
    <w:rsid w:val="57134FB0"/>
    <w:rsid w:val="571526B6"/>
    <w:rsid w:val="571869D3"/>
    <w:rsid w:val="57275CF7"/>
    <w:rsid w:val="5728042D"/>
    <w:rsid w:val="572D57D0"/>
    <w:rsid w:val="572E7A88"/>
    <w:rsid w:val="5736256F"/>
    <w:rsid w:val="573661D6"/>
    <w:rsid w:val="57393AEF"/>
    <w:rsid w:val="573A576A"/>
    <w:rsid w:val="573F5B62"/>
    <w:rsid w:val="574238E4"/>
    <w:rsid w:val="574458B3"/>
    <w:rsid w:val="574B73BA"/>
    <w:rsid w:val="575638FF"/>
    <w:rsid w:val="57566CF9"/>
    <w:rsid w:val="575F19EF"/>
    <w:rsid w:val="576904CB"/>
    <w:rsid w:val="57750CEE"/>
    <w:rsid w:val="57791EA8"/>
    <w:rsid w:val="577E299A"/>
    <w:rsid w:val="57853398"/>
    <w:rsid w:val="57926836"/>
    <w:rsid w:val="57931F59"/>
    <w:rsid w:val="57963DCC"/>
    <w:rsid w:val="579655A5"/>
    <w:rsid w:val="57996E43"/>
    <w:rsid w:val="579D4B86"/>
    <w:rsid w:val="579E232D"/>
    <w:rsid w:val="57A71560"/>
    <w:rsid w:val="57AC3AAB"/>
    <w:rsid w:val="57B16CB2"/>
    <w:rsid w:val="57B618E5"/>
    <w:rsid w:val="57C543C0"/>
    <w:rsid w:val="57C75F1F"/>
    <w:rsid w:val="57C837F3"/>
    <w:rsid w:val="57C92690"/>
    <w:rsid w:val="57CD1B81"/>
    <w:rsid w:val="57D26839"/>
    <w:rsid w:val="57D57081"/>
    <w:rsid w:val="57D75C21"/>
    <w:rsid w:val="57DE0CFA"/>
    <w:rsid w:val="57DE49A5"/>
    <w:rsid w:val="57DF44F3"/>
    <w:rsid w:val="57E44551"/>
    <w:rsid w:val="57F0501C"/>
    <w:rsid w:val="57F21BDA"/>
    <w:rsid w:val="57FA080C"/>
    <w:rsid w:val="57FA7673"/>
    <w:rsid w:val="58016D72"/>
    <w:rsid w:val="580460F3"/>
    <w:rsid w:val="580E7968"/>
    <w:rsid w:val="581542B9"/>
    <w:rsid w:val="58155075"/>
    <w:rsid w:val="58186E2E"/>
    <w:rsid w:val="5822166D"/>
    <w:rsid w:val="582263E2"/>
    <w:rsid w:val="58241189"/>
    <w:rsid w:val="582664FB"/>
    <w:rsid w:val="582C6931"/>
    <w:rsid w:val="583243E5"/>
    <w:rsid w:val="58337298"/>
    <w:rsid w:val="58424812"/>
    <w:rsid w:val="58517986"/>
    <w:rsid w:val="58576BD0"/>
    <w:rsid w:val="585D2057"/>
    <w:rsid w:val="58631563"/>
    <w:rsid w:val="586F61F0"/>
    <w:rsid w:val="58737694"/>
    <w:rsid w:val="587F2A55"/>
    <w:rsid w:val="588B2C30"/>
    <w:rsid w:val="588C3EFB"/>
    <w:rsid w:val="588D77F0"/>
    <w:rsid w:val="58921C09"/>
    <w:rsid w:val="589F6E08"/>
    <w:rsid w:val="58A61818"/>
    <w:rsid w:val="58A91308"/>
    <w:rsid w:val="58AB16F6"/>
    <w:rsid w:val="58B32DA4"/>
    <w:rsid w:val="58B82178"/>
    <w:rsid w:val="58BC54DF"/>
    <w:rsid w:val="58C919AA"/>
    <w:rsid w:val="58DE0690"/>
    <w:rsid w:val="58DE7C0C"/>
    <w:rsid w:val="58E16DA5"/>
    <w:rsid w:val="58E4036E"/>
    <w:rsid w:val="58E413D0"/>
    <w:rsid w:val="58E82F8D"/>
    <w:rsid w:val="58F72073"/>
    <w:rsid w:val="58F97AA8"/>
    <w:rsid w:val="59044790"/>
    <w:rsid w:val="59085D21"/>
    <w:rsid w:val="5919023C"/>
    <w:rsid w:val="591C66AE"/>
    <w:rsid w:val="5922205D"/>
    <w:rsid w:val="59226A08"/>
    <w:rsid w:val="59231443"/>
    <w:rsid w:val="59240093"/>
    <w:rsid w:val="592A738A"/>
    <w:rsid w:val="59353488"/>
    <w:rsid w:val="594071D2"/>
    <w:rsid w:val="595E4F84"/>
    <w:rsid w:val="596100D5"/>
    <w:rsid w:val="59633649"/>
    <w:rsid w:val="59706436"/>
    <w:rsid w:val="59710B6E"/>
    <w:rsid w:val="5975743C"/>
    <w:rsid w:val="597F3EB2"/>
    <w:rsid w:val="5985305A"/>
    <w:rsid w:val="598B67C8"/>
    <w:rsid w:val="598C366F"/>
    <w:rsid w:val="59946F6C"/>
    <w:rsid w:val="59955B5A"/>
    <w:rsid w:val="59A64212"/>
    <w:rsid w:val="59A83C72"/>
    <w:rsid w:val="59AB1B50"/>
    <w:rsid w:val="59B16B06"/>
    <w:rsid w:val="59B2479E"/>
    <w:rsid w:val="59B75877"/>
    <w:rsid w:val="59D2488F"/>
    <w:rsid w:val="59E06FAB"/>
    <w:rsid w:val="59F07B73"/>
    <w:rsid w:val="59F32D86"/>
    <w:rsid w:val="59F71FFA"/>
    <w:rsid w:val="59F916C9"/>
    <w:rsid w:val="59FE7432"/>
    <w:rsid w:val="5A0A6938"/>
    <w:rsid w:val="5A0F1924"/>
    <w:rsid w:val="5A136AB1"/>
    <w:rsid w:val="5A186745"/>
    <w:rsid w:val="5A190617"/>
    <w:rsid w:val="5A1B7E68"/>
    <w:rsid w:val="5A1E743D"/>
    <w:rsid w:val="5A2346FE"/>
    <w:rsid w:val="5A32228B"/>
    <w:rsid w:val="5A325697"/>
    <w:rsid w:val="5A336FA5"/>
    <w:rsid w:val="5A3A3265"/>
    <w:rsid w:val="5A3F1F24"/>
    <w:rsid w:val="5A411203"/>
    <w:rsid w:val="5A416EFA"/>
    <w:rsid w:val="5A4237C2"/>
    <w:rsid w:val="5A5857B3"/>
    <w:rsid w:val="5A5D1D54"/>
    <w:rsid w:val="5A5E7768"/>
    <w:rsid w:val="5A64198B"/>
    <w:rsid w:val="5A6C2EE8"/>
    <w:rsid w:val="5A7474F5"/>
    <w:rsid w:val="5A7608BE"/>
    <w:rsid w:val="5A7B2055"/>
    <w:rsid w:val="5A7B2258"/>
    <w:rsid w:val="5A843DDB"/>
    <w:rsid w:val="5A8953FD"/>
    <w:rsid w:val="5A8D1F5E"/>
    <w:rsid w:val="5A8E0EA3"/>
    <w:rsid w:val="5A985AD8"/>
    <w:rsid w:val="5A9958A3"/>
    <w:rsid w:val="5A9C4EA9"/>
    <w:rsid w:val="5AA8341C"/>
    <w:rsid w:val="5AA9047E"/>
    <w:rsid w:val="5AAC6F40"/>
    <w:rsid w:val="5AB0431D"/>
    <w:rsid w:val="5AB17380"/>
    <w:rsid w:val="5AB611C3"/>
    <w:rsid w:val="5AC137C3"/>
    <w:rsid w:val="5AC91D7C"/>
    <w:rsid w:val="5ACD33FA"/>
    <w:rsid w:val="5ACE2085"/>
    <w:rsid w:val="5ACF6E39"/>
    <w:rsid w:val="5AD14B46"/>
    <w:rsid w:val="5AD5513C"/>
    <w:rsid w:val="5AD95A79"/>
    <w:rsid w:val="5ADF54B5"/>
    <w:rsid w:val="5AEE7B72"/>
    <w:rsid w:val="5AEF4DB2"/>
    <w:rsid w:val="5AF522E3"/>
    <w:rsid w:val="5AF5303C"/>
    <w:rsid w:val="5AFD3AF9"/>
    <w:rsid w:val="5B015517"/>
    <w:rsid w:val="5B0939BA"/>
    <w:rsid w:val="5B161C1D"/>
    <w:rsid w:val="5B194BB6"/>
    <w:rsid w:val="5B1C5C19"/>
    <w:rsid w:val="5B2C0772"/>
    <w:rsid w:val="5B340D9A"/>
    <w:rsid w:val="5B382A6F"/>
    <w:rsid w:val="5B385DB9"/>
    <w:rsid w:val="5B3B24FF"/>
    <w:rsid w:val="5B42032E"/>
    <w:rsid w:val="5B4517BC"/>
    <w:rsid w:val="5B4D6EE1"/>
    <w:rsid w:val="5B56245C"/>
    <w:rsid w:val="5B58620F"/>
    <w:rsid w:val="5B687259"/>
    <w:rsid w:val="5B747BDF"/>
    <w:rsid w:val="5B756EAF"/>
    <w:rsid w:val="5B815974"/>
    <w:rsid w:val="5B8231A2"/>
    <w:rsid w:val="5B835E40"/>
    <w:rsid w:val="5B982A7E"/>
    <w:rsid w:val="5BA16532"/>
    <w:rsid w:val="5BA43556"/>
    <w:rsid w:val="5BA45412"/>
    <w:rsid w:val="5BA64C88"/>
    <w:rsid w:val="5BA77007"/>
    <w:rsid w:val="5BB54DDF"/>
    <w:rsid w:val="5BBF6F39"/>
    <w:rsid w:val="5BC06214"/>
    <w:rsid w:val="5BC1475F"/>
    <w:rsid w:val="5BC54262"/>
    <w:rsid w:val="5BD04D1D"/>
    <w:rsid w:val="5BD24E76"/>
    <w:rsid w:val="5BD3376B"/>
    <w:rsid w:val="5BD515C7"/>
    <w:rsid w:val="5BDC26E3"/>
    <w:rsid w:val="5BE54D4D"/>
    <w:rsid w:val="5BE81ADA"/>
    <w:rsid w:val="5BE82EF1"/>
    <w:rsid w:val="5BF2758E"/>
    <w:rsid w:val="5C0276AD"/>
    <w:rsid w:val="5C052CF9"/>
    <w:rsid w:val="5C091F29"/>
    <w:rsid w:val="5C096BF2"/>
    <w:rsid w:val="5C123AEB"/>
    <w:rsid w:val="5C1663D0"/>
    <w:rsid w:val="5C194B8C"/>
    <w:rsid w:val="5C216CC4"/>
    <w:rsid w:val="5C221983"/>
    <w:rsid w:val="5C2770F5"/>
    <w:rsid w:val="5C285D27"/>
    <w:rsid w:val="5C2B6FDB"/>
    <w:rsid w:val="5C2F3027"/>
    <w:rsid w:val="5C2F421A"/>
    <w:rsid w:val="5C313726"/>
    <w:rsid w:val="5C381C01"/>
    <w:rsid w:val="5C390B01"/>
    <w:rsid w:val="5C3A55B1"/>
    <w:rsid w:val="5C3C7D33"/>
    <w:rsid w:val="5C4F0F15"/>
    <w:rsid w:val="5C594DF3"/>
    <w:rsid w:val="5C612EB1"/>
    <w:rsid w:val="5C657EBF"/>
    <w:rsid w:val="5C6812DD"/>
    <w:rsid w:val="5C6B2CED"/>
    <w:rsid w:val="5C6C0FCA"/>
    <w:rsid w:val="5C6C6C4D"/>
    <w:rsid w:val="5C700D2F"/>
    <w:rsid w:val="5C760391"/>
    <w:rsid w:val="5C7F3276"/>
    <w:rsid w:val="5C851D76"/>
    <w:rsid w:val="5C87454D"/>
    <w:rsid w:val="5CA314B1"/>
    <w:rsid w:val="5CA70254"/>
    <w:rsid w:val="5CA714B0"/>
    <w:rsid w:val="5CAE112D"/>
    <w:rsid w:val="5CBF5160"/>
    <w:rsid w:val="5CC54D65"/>
    <w:rsid w:val="5CCA2A8F"/>
    <w:rsid w:val="5CCE6528"/>
    <w:rsid w:val="5CD13658"/>
    <w:rsid w:val="5CD26643"/>
    <w:rsid w:val="5CDB031C"/>
    <w:rsid w:val="5CDC5C04"/>
    <w:rsid w:val="5CEE378D"/>
    <w:rsid w:val="5CF07DE2"/>
    <w:rsid w:val="5D00734A"/>
    <w:rsid w:val="5D077FE3"/>
    <w:rsid w:val="5D0D20F6"/>
    <w:rsid w:val="5D100692"/>
    <w:rsid w:val="5D130F61"/>
    <w:rsid w:val="5D155667"/>
    <w:rsid w:val="5D192F00"/>
    <w:rsid w:val="5D1D4073"/>
    <w:rsid w:val="5D276A8F"/>
    <w:rsid w:val="5D276C9F"/>
    <w:rsid w:val="5D2870CF"/>
    <w:rsid w:val="5D296EBB"/>
    <w:rsid w:val="5D2A2403"/>
    <w:rsid w:val="5D2D5330"/>
    <w:rsid w:val="5D367A4A"/>
    <w:rsid w:val="5D417E67"/>
    <w:rsid w:val="5D450961"/>
    <w:rsid w:val="5D45600B"/>
    <w:rsid w:val="5D4D7F94"/>
    <w:rsid w:val="5D59154F"/>
    <w:rsid w:val="5D5A7075"/>
    <w:rsid w:val="5D5E2921"/>
    <w:rsid w:val="5D5F345A"/>
    <w:rsid w:val="5D7213F6"/>
    <w:rsid w:val="5D744F60"/>
    <w:rsid w:val="5D781694"/>
    <w:rsid w:val="5D7D6046"/>
    <w:rsid w:val="5D8616AC"/>
    <w:rsid w:val="5D88402F"/>
    <w:rsid w:val="5D8B72B4"/>
    <w:rsid w:val="5D8D0C89"/>
    <w:rsid w:val="5D905FDE"/>
    <w:rsid w:val="5D9641DE"/>
    <w:rsid w:val="5DA35C77"/>
    <w:rsid w:val="5DB80270"/>
    <w:rsid w:val="5DBD44CA"/>
    <w:rsid w:val="5DC1115E"/>
    <w:rsid w:val="5DCF7A59"/>
    <w:rsid w:val="5DD725E9"/>
    <w:rsid w:val="5DD93A26"/>
    <w:rsid w:val="5DDB6A39"/>
    <w:rsid w:val="5DE16A22"/>
    <w:rsid w:val="5DEB6269"/>
    <w:rsid w:val="5DF17F52"/>
    <w:rsid w:val="5DF47223"/>
    <w:rsid w:val="5DFA3AE6"/>
    <w:rsid w:val="5E002E2D"/>
    <w:rsid w:val="5E005E6E"/>
    <w:rsid w:val="5E03770C"/>
    <w:rsid w:val="5E04629C"/>
    <w:rsid w:val="5E0803A7"/>
    <w:rsid w:val="5E08087F"/>
    <w:rsid w:val="5E0E59BF"/>
    <w:rsid w:val="5E1835BF"/>
    <w:rsid w:val="5E1D56B9"/>
    <w:rsid w:val="5E206A4B"/>
    <w:rsid w:val="5E243C3B"/>
    <w:rsid w:val="5E2A31A9"/>
    <w:rsid w:val="5E3D6863"/>
    <w:rsid w:val="5E3E58AA"/>
    <w:rsid w:val="5E440D93"/>
    <w:rsid w:val="5E44123B"/>
    <w:rsid w:val="5E514A7E"/>
    <w:rsid w:val="5E52754D"/>
    <w:rsid w:val="5E5B27F7"/>
    <w:rsid w:val="5E5C56E8"/>
    <w:rsid w:val="5E5C72AB"/>
    <w:rsid w:val="5E602BDB"/>
    <w:rsid w:val="5E625A07"/>
    <w:rsid w:val="5E6A5C9C"/>
    <w:rsid w:val="5E797E17"/>
    <w:rsid w:val="5E7B6FC8"/>
    <w:rsid w:val="5E7D6519"/>
    <w:rsid w:val="5E852584"/>
    <w:rsid w:val="5E8572FA"/>
    <w:rsid w:val="5E870C2D"/>
    <w:rsid w:val="5E9023B0"/>
    <w:rsid w:val="5E9F0EAB"/>
    <w:rsid w:val="5EA64235"/>
    <w:rsid w:val="5EAB402C"/>
    <w:rsid w:val="5EAC46E6"/>
    <w:rsid w:val="5EB629D1"/>
    <w:rsid w:val="5EC56770"/>
    <w:rsid w:val="5ECB20AF"/>
    <w:rsid w:val="5ECE039A"/>
    <w:rsid w:val="5ED86AF4"/>
    <w:rsid w:val="5EDA094D"/>
    <w:rsid w:val="5EDB64ED"/>
    <w:rsid w:val="5EDE2487"/>
    <w:rsid w:val="5EE173B5"/>
    <w:rsid w:val="5EEA61D6"/>
    <w:rsid w:val="5EEB3178"/>
    <w:rsid w:val="5EEC3933"/>
    <w:rsid w:val="5EF505B8"/>
    <w:rsid w:val="5EF86B45"/>
    <w:rsid w:val="5F0011A0"/>
    <w:rsid w:val="5F006597"/>
    <w:rsid w:val="5F0E4AA9"/>
    <w:rsid w:val="5F1159DC"/>
    <w:rsid w:val="5F126946"/>
    <w:rsid w:val="5F146901"/>
    <w:rsid w:val="5F150AD4"/>
    <w:rsid w:val="5F1579FA"/>
    <w:rsid w:val="5F1A7078"/>
    <w:rsid w:val="5F1B0738"/>
    <w:rsid w:val="5F1D7A9D"/>
    <w:rsid w:val="5F1E06FF"/>
    <w:rsid w:val="5F202E26"/>
    <w:rsid w:val="5F2822F3"/>
    <w:rsid w:val="5F2A0B8C"/>
    <w:rsid w:val="5F2C175B"/>
    <w:rsid w:val="5F361B59"/>
    <w:rsid w:val="5F441BA1"/>
    <w:rsid w:val="5F4973A1"/>
    <w:rsid w:val="5F4A7063"/>
    <w:rsid w:val="5F4B6602"/>
    <w:rsid w:val="5F4D3532"/>
    <w:rsid w:val="5F4E1DE2"/>
    <w:rsid w:val="5F4F1DE0"/>
    <w:rsid w:val="5F514A0C"/>
    <w:rsid w:val="5F547AA7"/>
    <w:rsid w:val="5F572BE8"/>
    <w:rsid w:val="5F5B5AE4"/>
    <w:rsid w:val="5F5C0008"/>
    <w:rsid w:val="5F5D4BFA"/>
    <w:rsid w:val="5F665583"/>
    <w:rsid w:val="5F750A5A"/>
    <w:rsid w:val="5F7673D1"/>
    <w:rsid w:val="5F8245B5"/>
    <w:rsid w:val="5F9C5C70"/>
    <w:rsid w:val="5F9D7E01"/>
    <w:rsid w:val="5F9E7DA2"/>
    <w:rsid w:val="5FBA6D9A"/>
    <w:rsid w:val="5FC13A98"/>
    <w:rsid w:val="5FC24977"/>
    <w:rsid w:val="5FC35719"/>
    <w:rsid w:val="5FC609F2"/>
    <w:rsid w:val="5FCC379D"/>
    <w:rsid w:val="5FD220E3"/>
    <w:rsid w:val="5FD51418"/>
    <w:rsid w:val="5FDD54FE"/>
    <w:rsid w:val="5FE377F5"/>
    <w:rsid w:val="5FE57693"/>
    <w:rsid w:val="5FEF669B"/>
    <w:rsid w:val="5FF71F48"/>
    <w:rsid w:val="5FFA2540"/>
    <w:rsid w:val="5FFE2086"/>
    <w:rsid w:val="60004801"/>
    <w:rsid w:val="60021AD9"/>
    <w:rsid w:val="600E79CD"/>
    <w:rsid w:val="6011681A"/>
    <w:rsid w:val="601D512A"/>
    <w:rsid w:val="601F3E32"/>
    <w:rsid w:val="60213E7A"/>
    <w:rsid w:val="60270DE3"/>
    <w:rsid w:val="602C18A0"/>
    <w:rsid w:val="60335356"/>
    <w:rsid w:val="60371B1B"/>
    <w:rsid w:val="603736ED"/>
    <w:rsid w:val="603A3C9F"/>
    <w:rsid w:val="603F5550"/>
    <w:rsid w:val="60472CAE"/>
    <w:rsid w:val="604D05CC"/>
    <w:rsid w:val="60555655"/>
    <w:rsid w:val="6057024D"/>
    <w:rsid w:val="605919E9"/>
    <w:rsid w:val="605B1EAB"/>
    <w:rsid w:val="606208DA"/>
    <w:rsid w:val="606C1599"/>
    <w:rsid w:val="606E3563"/>
    <w:rsid w:val="60762029"/>
    <w:rsid w:val="60766A4C"/>
    <w:rsid w:val="607D71A3"/>
    <w:rsid w:val="607E307A"/>
    <w:rsid w:val="607F6ECD"/>
    <w:rsid w:val="6082700E"/>
    <w:rsid w:val="608A36C4"/>
    <w:rsid w:val="60922E63"/>
    <w:rsid w:val="60954B20"/>
    <w:rsid w:val="609B7A74"/>
    <w:rsid w:val="609D684D"/>
    <w:rsid w:val="609F51A8"/>
    <w:rsid w:val="60B7289E"/>
    <w:rsid w:val="60C2471A"/>
    <w:rsid w:val="60C95EDB"/>
    <w:rsid w:val="60CE0C8D"/>
    <w:rsid w:val="60D013EE"/>
    <w:rsid w:val="60D76857"/>
    <w:rsid w:val="60DA47D1"/>
    <w:rsid w:val="60E723B1"/>
    <w:rsid w:val="60E82476"/>
    <w:rsid w:val="60EA1640"/>
    <w:rsid w:val="60EA64AE"/>
    <w:rsid w:val="60EE0200"/>
    <w:rsid w:val="60EE42A7"/>
    <w:rsid w:val="60F03F78"/>
    <w:rsid w:val="60F124F3"/>
    <w:rsid w:val="60F5158E"/>
    <w:rsid w:val="60FA4C7F"/>
    <w:rsid w:val="60FA6CF9"/>
    <w:rsid w:val="610614FF"/>
    <w:rsid w:val="610B36BC"/>
    <w:rsid w:val="610C4B2A"/>
    <w:rsid w:val="61125B18"/>
    <w:rsid w:val="611403C5"/>
    <w:rsid w:val="61176556"/>
    <w:rsid w:val="6119503B"/>
    <w:rsid w:val="611D4E79"/>
    <w:rsid w:val="611D6795"/>
    <w:rsid w:val="61207A18"/>
    <w:rsid w:val="61237FD6"/>
    <w:rsid w:val="61245C38"/>
    <w:rsid w:val="6125317D"/>
    <w:rsid w:val="612551C8"/>
    <w:rsid w:val="612C79EA"/>
    <w:rsid w:val="61303B73"/>
    <w:rsid w:val="61395E46"/>
    <w:rsid w:val="614403AA"/>
    <w:rsid w:val="61502526"/>
    <w:rsid w:val="615F2EAC"/>
    <w:rsid w:val="615F7EBC"/>
    <w:rsid w:val="61642F6E"/>
    <w:rsid w:val="6166574B"/>
    <w:rsid w:val="616B5E3D"/>
    <w:rsid w:val="616D6640"/>
    <w:rsid w:val="616F4464"/>
    <w:rsid w:val="617015EB"/>
    <w:rsid w:val="617446F6"/>
    <w:rsid w:val="61783A9E"/>
    <w:rsid w:val="61814297"/>
    <w:rsid w:val="618636A6"/>
    <w:rsid w:val="618A1D09"/>
    <w:rsid w:val="618A42B3"/>
    <w:rsid w:val="61916C75"/>
    <w:rsid w:val="61993BF0"/>
    <w:rsid w:val="61A10C17"/>
    <w:rsid w:val="61A15272"/>
    <w:rsid w:val="61A34E7C"/>
    <w:rsid w:val="61AE0F07"/>
    <w:rsid w:val="61B54D11"/>
    <w:rsid w:val="61CD6D4E"/>
    <w:rsid w:val="61DE6B86"/>
    <w:rsid w:val="61DF5D52"/>
    <w:rsid w:val="61E15E8E"/>
    <w:rsid w:val="61E24208"/>
    <w:rsid w:val="61EC0F74"/>
    <w:rsid w:val="61F636DA"/>
    <w:rsid w:val="62066515"/>
    <w:rsid w:val="620F042E"/>
    <w:rsid w:val="621C6119"/>
    <w:rsid w:val="621E7876"/>
    <w:rsid w:val="621F2D18"/>
    <w:rsid w:val="622D4D58"/>
    <w:rsid w:val="62312040"/>
    <w:rsid w:val="623567C2"/>
    <w:rsid w:val="623572AF"/>
    <w:rsid w:val="62393A85"/>
    <w:rsid w:val="62404A8B"/>
    <w:rsid w:val="625E56AB"/>
    <w:rsid w:val="6260072B"/>
    <w:rsid w:val="62614A02"/>
    <w:rsid w:val="62637548"/>
    <w:rsid w:val="626E78EE"/>
    <w:rsid w:val="6274464A"/>
    <w:rsid w:val="62763AF1"/>
    <w:rsid w:val="62797D43"/>
    <w:rsid w:val="62816E52"/>
    <w:rsid w:val="62865EBA"/>
    <w:rsid w:val="628847A1"/>
    <w:rsid w:val="6289526F"/>
    <w:rsid w:val="628B49CE"/>
    <w:rsid w:val="628F156F"/>
    <w:rsid w:val="6293483B"/>
    <w:rsid w:val="62A31488"/>
    <w:rsid w:val="62A41858"/>
    <w:rsid w:val="62B162CC"/>
    <w:rsid w:val="62B51744"/>
    <w:rsid w:val="62C34B8F"/>
    <w:rsid w:val="62C6265A"/>
    <w:rsid w:val="62C90F25"/>
    <w:rsid w:val="62CD2097"/>
    <w:rsid w:val="62D0048B"/>
    <w:rsid w:val="62D33E48"/>
    <w:rsid w:val="62DD6F23"/>
    <w:rsid w:val="62F242E9"/>
    <w:rsid w:val="62F66438"/>
    <w:rsid w:val="62F67AF4"/>
    <w:rsid w:val="62F853AB"/>
    <w:rsid w:val="62FE28D2"/>
    <w:rsid w:val="63095644"/>
    <w:rsid w:val="630B281A"/>
    <w:rsid w:val="630F2238"/>
    <w:rsid w:val="63134F69"/>
    <w:rsid w:val="63154395"/>
    <w:rsid w:val="63194BD6"/>
    <w:rsid w:val="63220635"/>
    <w:rsid w:val="632F0B0D"/>
    <w:rsid w:val="63306C35"/>
    <w:rsid w:val="63324739"/>
    <w:rsid w:val="63374405"/>
    <w:rsid w:val="63397C0C"/>
    <w:rsid w:val="633A597E"/>
    <w:rsid w:val="633C129C"/>
    <w:rsid w:val="63415255"/>
    <w:rsid w:val="63417E28"/>
    <w:rsid w:val="634270BD"/>
    <w:rsid w:val="63463737"/>
    <w:rsid w:val="634B4DCA"/>
    <w:rsid w:val="6352407E"/>
    <w:rsid w:val="635A3730"/>
    <w:rsid w:val="635C1170"/>
    <w:rsid w:val="63627882"/>
    <w:rsid w:val="636E0BB4"/>
    <w:rsid w:val="637349EC"/>
    <w:rsid w:val="6376143E"/>
    <w:rsid w:val="6377272F"/>
    <w:rsid w:val="63837BD4"/>
    <w:rsid w:val="638773F8"/>
    <w:rsid w:val="638C79FA"/>
    <w:rsid w:val="638E799F"/>
    <w:rsid w:val="639306E1"/>
    <w:rsid w:val="6393312C"/>
    <w:rsid w:val="63A0795A"/>
    <w:rsid w:val="63A55E71"/>
    <w:rsid w:val="63A66B70"/>
    <w:rsid w:val="63AF34A3"/>
    <w:rsid w:val="63D21EB4"/>
    <w:rsid w:val="63D5258C"/>
    <w:rsid w:val="63D53514"/>
    <w:rsid w:val="63E31B72"/>
    <w:rsid w:val="63F67486"/>
    <w:rsid w:val="63F73C92"/>
    <w:rsid w:val="640D32BA"/>
    <w:rsid w:val="640E7EF8"/>
    <w:rsid w:val="64101DEF"/>
    <w:rsid w:val="641A789D"/>
    <w:rsid w:val="64265F63"/>
    <w:rsid w:val="64273E8D"/>
    <w:rsid w:val="642F72CB"/>
    <w:rsid w:val="643556BD"/>
    <w:rsid w:val="643755BB"/>
    <w:rsid w:val="64466C9F"/>
    <w:rsid w:val="6449047E"/>
    <w:rsid w:val="64595FB9"/>
    <w:rsid w:val="64596343"/>
    <w:rsid w:val="64602ECB"/>
    <w:rsid w:val="646A04E6"/>
    <w:rsid w:val="646B1616"/>
    <w:rsid w:val="64704A1E"/>
    <w:rsid w:val="64717A00"/>
    <w:rsid w:val="64733B00"/>
    <w:rsid w:val="6476731B"/>
    <w:rsid w:val="647A34ED"/>
    <w:rsid w:val="647D5BA9"/>
    <w:rsid w:val="64805649"/>
    <w:rsid w:val="64824F61"/>
    <w:rsid w:val="649060EE"/>
    <w:rsid w:val="649602B9"/>
    <w:rsid w:val="649B079E"/>
    <w:rsid w:val="64BC21B5"/>
    <w:rsid w:val="64BE4972"/>
    <w:rsid w:val="64C2717D"/>
    <w:rsid w:val="64E035DA"/>
    <w:rsid w:val="64E5019E"/>
    <w:rsid w:val="64EA3B44"/>
    <w:rsid w:val="64EB5407"/>
    <w:rsid w:val="64EB734D"/>
    <w:rsid w:val="64EE1147"/>
    <w:rsid w:val="64F057AD"/>
    <w:rsid w:val="64F21FC4"/>
    <w:rsid w:val="64F32289"/>
    <w:rsid w:val="64F663D6"/>
    <w:rsid w:val="64FB01CE"/>
    <w:rsid w:val="64FD75E9"/>
    <w:rsid w:val="65057D7F"/>
    <w:rsid w:val="65110961"/>
    <w:rsid w:val="65172AB0"/>
    <w:rsid w:val="65181364"/>
    <w:rsid w:val="65190DCB"/>
    <w:rsid w:val="651A2F99"/>
    <w:rsid w:val="6525249F"/>
    <w:rsid w:val="65253137"/>
    <w:rsid w:val="65272F05"/>
    <w:rsid w:val="65293778"/>
    <w:rsid w:val="652B1487"/>
    <w:rsid w:val="65306A01"/>
    <w:rsid w:val="6531466B"/>
    <w:rsid w:val="65363F24"/>
    <w:rsid w:val="654428A3"/>
    <w:rsid w:val="65443893"/>
    <w:rsid w:val="6545645C"/>
    <w:rsid w:val="654623B5"/>
    <w:rsid w:val="655A3F62"/>
    <w:rsid w:val="655C07EE"/>
    <w:rsid w:val="655F2268"/>
    <w:rsid w:val="657173F6"/>
    <w:rsid w:val="65764C68"/>
    <w:rsid w:val="657B0C15"/>
    <w:rsid w:val="657D479F"/>
    <w:rsid w:val="6581570A"/>
    <w:rsid w:val="65815AE7"/>
    <w:rsid w:val="65846298"/>
    <w:rsid w:val="65961297"/>
    <w:rsid w:val="659743AA"/>
    <w:rsid w:val="65A115F5"/>
    <w:rsid w:val="65A11CE5"/>
    <w:rsid w:val="65A71F94"/>
    <w:rsid w:val="65AA43D7"/>
    <w:rsid w:val="65AA57C4"/>
    <w:rsid w:val="65B11495"/>
    <w:rsid w:val="65B23EF2"/>
    <w:rsid w:val="65B61302"/>
    <w:rsid w:val="65C07DF2"/>
    <w:rsid w:val="65C634F9"/>
    <w:rsid w:val="65C96988"/>
    <w:rsid w:val="65D528E8"/>
    <w:rsid w:val="65D9198F"/>
    <w:rsid w:val="65DA472E"/>
    <w:rsid w:val="65DD5807"/>
    <w:rsid w:val="65E16C83"/>
    <w:rsid w:val="65E54A75"/>
    <w:rsid w:val="65E72C06"/>
    <w:rsid w:val="65EA6118"/>
    <w:rsid w:val="65F30DD1"/>
    <w:rsid w:val="65F47BBB"/>
    <w:rsid w:val="65F56E82"/>
    <w:rsid w:val="65FA2720"/>
    <w:rsid w:val="6603586C"/>
    <w:rsid w:val="660404C6"/>
    <w:rsid w:val="660773F9"/>
    <w:rsid w:val="66106E6A"/>
    <w:rsid w:val="66192713"/>
    <w:rsid w:val="661B73C4"/>
    <w:rsid w:val="662A5125"/>
    <w:rsid w:val="66354C73"/>
    <w:rsid w:val="66371862"/>
    <w:rsid w:val="663A1133"/>
    <w:rsid w:val="66434B4A"/>
    <w:rsid w:val="664C4834"/>
    <w:rsid w:val="664C779D"/>
    <w:rsid w:val="664E5308"/>
    <w:rsid w:val="665C19BC"/>
    <w:rsid w:val="665C7888"/>
    <w:rsid w:val="66602978"/>
    <w:rsid w:val="66703465"/>
    <w:rsid w:val="66707909"/>
    <w:rsid w:val="66735264"/>
    <w:rsid w:val="66780B68"/>
    <w:rsid w:val="667D1E48"/>
    <w:rsid w:val="667D490E"/>
    <w:rsid w:val="667F7698"/>
    <w:rsid w:val="668A465F"/>
    <w:rsid w:val="668A62E0"/>
    <w:rsid w:val="668C4743"/>
    <w:rsid w:val="668F7D8F"/>
    <w:rsid w:val="66967DE4"/>
    <w:rsid w:val="669E2658"/>
    <w:rsid w:val="66AF5FD5"/>
    <w:rsid w:val="66B57BC4"/>
    <w:rsid w:val="66BB0CBA"/>
    <w:rsid w:val="66BB4702"/>
    <w:rsid w:val="66C30973"/>
    <w:rsid w:val="66C35EC1"/>
    <w:rsid w:val="66C51382"/>
    <w:rsid w:val="66C83C7E"/>
    <w:rsid w:val="66D117B5"/>
    <w:rsid w:val="66D315F1"/>
    <w:rsid w:val="66DC1EC4"/>
    <w:rsid w:val="66DE7F19"/>
    <w:rsid w:val="66E0603C"/>
    <w:rsid w:val="66E16CED"/>
    <w:rsid w:val="66E7535E"/>
    <w:rsid w:val="66EA047F"/>
    <w:rsid w:val="66F606BF"/>
    <w:rsid w:val="66F9345B"/>
    <w:rsid w:val="66FA3043"/>
    <w:rsid w:val="66FE08E0"/>
    <w:rsid w:val="66FE72E9"/>
    <w:rsid w:val="66FF2224"/>
    <w:rsid w:val="670C096A"/>
    <w:rsid w:val="671432AA"/>
    <w:rsid w:val="6716438A"/>
    <w:rsid w:val="671851F4"/>
    <w:rsid w:val="67206C39"/>
    <w:rsid w:val="672120EF"/>
    <w:rsid w:val="672A788D"/>
    <w:rsid w:val="672D0411"/>
    <w:rsid w:val="67331BC7"/>
    <w:rsid w:val="673741DC"/>
    <w:rsid w:val="67385560"/>
    <w:rsid w:val="673A72A9"/>
    <w:rsid w:val="673C019D"/>
    <w:rsid w:val="6741459B"/>
    <w:rsid w:val="674270EF"/>
    <w:rsid w:val="6743035F"/>
    <w:rsid w:val="674822B5"/>
    <w:rsid w:val="674A3CE2"/>
    <w:rsid w:val="67542BFC"/>
    <w:rsid w:val="67580987"/>
    <w:rsid w:val="67644990"/>
    <w:rsid w:val="676A4358"/>
    <w:rsid w:val="676C102F"/>
    <w:rsid w:val="677A27ED"/>
    <w:rsid w:val="677B43EA"/>
    <w:rsid w:val="677D2654"/>
    <w:rsid w:val="677F7E04"/>
    <w:rsid w:val="678310D0"/>
    <w:rsid w:val="67832EDD"/>
    <w:rsid w:val="67872927"/>
    <w:rsid w:val="67885B41"/>
    <w:rsid w:val="678A03B6"/>
    <w:rsid w:val="67990A44"/>
    <w:rsid w:val="679C7155"/>
    <w:rsid w:val="67A56A5B"/>
    <w:rsid w:val="67A76C42"/>
    <w:rsid w:val="67B564FA"/>
    <w:rsid w:val="67CE42FF"/>
    <w:rsid w:val="67D15555"/>
    <w:rsid w:val="67D7444F"/>
    <w:rsid w:val="67DA39F7"/>
    <w:rsid w:val="67E43526"/>
    <w:rsid w:val="67FB6007"/>
    <w:rsid w:val="67FB6EEA"/>
    <w:rsid w:val="68046289"/>
    <w:rsid w:val="68093618"/>
    <w:rsid w:val="680C1882"/>
    <w:rsid w:val="680C6FF4"/>
    <w:rsid w:val="680E669A"/>
    <w:rsid w:val="681847A9"/>
    <w:rsid w:val="681D3980"/>
    <w:rsid w:val="68231644"/>
    <w:rsid w:val="68232E85"/>
    <w:rsid w:val="682A3342"/>
    <w:rsid w:val="682E35D8"/>
    <w:rsid w:val="684979F8"/>
    <w:rsid w:val="684C73D8"/>
    <w:rsid w:val="685333BC"/>
    <w:rsid w:val="68550E93"/>
    <w:rsid w:val="68601B20"/>
    <w:rsid w:val="68615945"/>
    <w:rsid w:val="686A1362"/>
    <w:rsid w:val="686E48F9"/>
    <w:rsid w:val="686E70DF"/>
    <w:rsid w:val="68803F14"/>
    <w:rsid w:val="6880516B"/>
    <w:rsid w:val="688057C1"/>
    <w:rsid w:val="68844450"/>
    <w:rsid w:val="68862870"/>
    <w:rsid w:val="6887004A"/>
    <w:rsid w:val="688B0A2A"/>
    <w:rsid w:val="68945558"/>
    <w:rsid w:val="68945B43"/>
    <w:rsid w:val="689C49E5"/>
    <w:rsid w:val="689F48AC"/>
    <w:rsid w:val="68A45255"/>
    <w:rsid w:val="68A66782"/>
    <w:rsid w:val="68A96EBA"/>
    <w:rsid w:val="68B510FF"/>
    <w:rsid w:val="68BB3114"/>
    <w:rsid w:val="68CA0F13"/>
    <w:rsid w:val="68D26659"/>
    <w:rsid w:val="68D609B0"/>
    <w:rsid w:val="68D60C07"/>
    <w:rsid w:val="68D71474"/>
    <w:rsid w:val="68E234DF"/>
    <w:rsid w:val="68E67D87"/>
    <w:rsid w:val="68ED488B"/>
    <w:rsid w:val="68EE07BD"/>
    <w:rsid w:val="68F47A32"/>
    <w:rsid w:val="68F51A7E"/>
    <w:rsid w:val="690401C1"/>
    <w:rsid w:val="69075EF2"/>
    <w:rsid w:val="690A5DF3"/>
    <w:rsid w:val="690D1B6F"/>
    <w:rsid w:val="690E3F3D"/>
    <w:rsid w:val="69112681"/>
    <w:rsid w:val="69121A0D"/>
    <w:rsid w:val="69147948"/>
    <w:rsid w:val="692253C4"/>
    <w:rsid w:val="69236EB5"/>
    <w:rsid w:val="692463AC"/>
    <w:rsid w:val="69294A14"/>
    <w:rsid w:val="692E4FB1"/>
    <w:rsid w:val="692E7D33"/>
    <w:rsid w:val="692F260D"/>
    <w:rsid w:val="69340F06"/>
    <w:rsid w:val="693637B8"/>
    <w:rsid w:val="69371C47"/>
    <w:rsid w:val="69484F05"/>
    <w:rsid w:val="694918D9"/>
    <w:rsid w:val="694B2559"/>
    <w:rsid w:val="695850C3"/>
    <w:rsid w:val="6959346C"/>
    <w:rsid w:val="69597D9B"/>
    <w:rsid w:val="695A6FD3"/>
    <w:rsid w:val="695B29D4"/>
    <w:rsid w:val="6964165D"/>
    <w:rsid w:val="6965068D"/>
    <w:rsid w:val="696835E0"/>
    <w:rsid w:val="69687BAF"/>
    <w:rsid w:val="696A1C78"/>
    <w:rsid w:val="696B417E"/>
    <w:rsid w:val="696C1E4C"/>
    <w:rsid w:val="697E5441"/>
    <w:rsid w:val="697F24AC"/>
    <w:rsid w:val="698C6C23"/>
    <w:rsid w:val="698F08ED"/>
    <w:rsid w:val="69977968"/>
    <w:rsid w:val="69977CA6"/>
    <w:rsid w:val="699A6FDC"/>
    <w:rsid w:val="69A73642"/>
    <w:rsid w:val="69A74239"/>
    <w:rsid w:val="69A80321"/>
    <w:rsid w:val="69AE2903"/>
    <w:rsid w:val="69AF23E0"/>
    <w:rsid w:val="69B020EE"/>
    <w:rsid w:val="69B830E4"/>
    <w:rsid w:val="69C15149"/>
    <w:rsid w:val="69C538FE"/>
    <w:rsid w:val="69C73CA4"/>
    <w:rsid w:val="69CB37D4"/>
    <w:rsid w:val="69D533D8"/>
    <w:rsid w:val="69D94C19"/>
    <w:rsid w:val="69DB0E86"/>
    <w:rsid w:val="69E93C5A"/>
    <w:rsid w:val="69EB2496"/>
    <w:rsid w:val="69F551BC"/>
    <w:rsid w:val="69FB396D"/>
    <w:rsid w:val="6A055AFD"/>
    <w:rsid w:val="6A1050C8"/>
    <w:rsid w:val="6A1460F7"/>
    <w:rsid w:val="6A153417"/>
    <w:rsid w:val="6A1D3904"/>
    <w:rsid w:val="6A213D48"/>
    <w:rsid w:val="6A24120E"/>
    <w:rsid w:val="6A24611A"/>
    <w:rsid w:val="6A25497B"/>
    <w:rsid w:val="6A32602D"/>
    <w:rsid w:val="6A3749CE"/>
    <w:rsid w:val="6A383C84"/>
    <w:rsid w:val="6A42352E"/>
    <w:rsid w:val="6A461A84"/>
    <w:rsid w:val="6A473C87"/>
    <w:rsid w:val="6A485D70"/>
    <w:rsid w:val="6A4B39B9"/>
    <w:rsid w:val="6A4C4D63"/>
    <w:rsid w:val="6A51065F"/>
    <w:rsid w:val="6A514D87"/>
    <w:rsid w:val="6A5A565C"/>
    <w:rsid w:val="6A61403A"/>
    <w:rsid w:val="6A6629D9"/>
    <w:rsid w:val="6A67308E"/>
    <w:rsid w:val="6A7B657F"/>
    <w:rsid w:val="6A7F71F1"/>
    <w:rsid w:val="6A835E5D"/>
    <w:rsid w:val="6A8804CD"/>
    <w:rsid w:val="6A8D2F29"/>
    <w:rsid w:val="6A970EB5"/>
    <w:rsid w:val="6A9808F8"/>
    <w:rsid w:val="6A9B2928"/>
    <w:rsid w:val="6A9B3D11"/>
    <w:rsid w:val="6AA707F4"/>
    <w:rsid w:val="6AAA1F48"/>
    <w:rsid w:val="6AAE4C61"/>
    <w:rsid w:val="6AB91BFB"/>
    <w:rsid w:val="6ABB1B93"/>
    <w:rsid w:val="6AC5471F"/>
    <w:rsid w:val="6AC63828"/>
    <w:rsid w:val="6AC702BF"/>
    <w:rsid w:val="6ACD67F6"/>
    <w:rsid w:val="6AD1232D"/>
    <w:rsid w:val="6AEE4EB8"/>
    <w:rsid w:val="6AF22F6B"/>
    <w:rsid w:val="6AF249F9"/>
    <w:rsid w:val="6AF42589"/>
    <w:rsid w:val="6AF767D8"/>
    <w:rsid w:val="6B001250"/>
    <w:rsid w:val="6B033510"/>
    <w:rsid w:val="6B0A7E6A"/>
    <w:rsid w:val="6B0F56B0"/>
    <w:rsid w:val="6B1B7809"/>
    <w:rsid w:val="6B1D67D6"/>
    <w:rsid w:val="6B200140"/>
    <w:rsid w:val="6B2133F9"/>
    <w:rsid w:val="6B25125E"/>
    <w:rsid w:val="6B2C1DED"/>
    <w:rsid w:val="6B331E11"/>
    <w:rsid w:val="6B375916"/>
    <w:rsid w:val="6B3D1CCF"/>
    <w:rsid w:val="6B3D5DD5"/>
    <w:rsid w:val="6B41731D"/>
    <w:rsid w:val="6B4310F0"/>
    <w:rsid w:val="6B49737F"/>
    <w:rsid w:val="6B4A76AE"/>
    <w:rsid w:val="6B4B7395"/>
    <w:rsid w:val="6B6203C3"/>
    <w:rsid w:val="6B6337D3"/>
    <w:rsid w:val="6B646B63"/>
    <w:rsid w:val="6B682180"/>
    <w:rsid w:val="6B721E6A"/>
    <w:rsid w:val="6B794C02"/>
    <w:rsid w:val="6B7A43C2"/>
    <w:rsid w:val="6B8649A2"/>
    <w:rsid w:val="6B927D96"/>
    <w:rsid w:val="6B9C2392"/>
    <w:rsid w:val="6BA50567"/>
    <w:rsid w:val="6BAA674E"/>
    <w:rsid w:val="6BB7260B"/>
    <w:rsid w:val="6BBD09A3"/>
    <w:rsid w:val="6BC70AFF"/>
    <w:rsid w:val="6BC95FBE"/>
    <w:rsid w:val="6BD01051"/>
    <w:rsid w:val="6BD06D58"/>
    <w:rsid w:val="6BD324B4"/>
    <w:rsid w:val="6BD376C3"/>
    <w:rsid w:val="6BD44496"/>
    <w:rsid w:val="6BE06B4D"/>
    <w:rsid w:val="6BE37148"/>
    <w:rsid w:val="6BF60036"/>
    <w:rsid w:val="6BFA5D1C"/>
    <w:rsid w:val="6C055B3B"/>
    <w:rsid w:val="6C0D744E"/>
    <w:rsid w:val="6C0F351E"/>
    <w:rsid w:val="6C1B1C34"/>
    <w:rsid w:val="6C2129A8"/>
    <w:rsid w:val="6C233FFE"/>
    <w:rsid w:val="6C2473E2"/>
    <w:rsid w:val="6C2E3502"/>
    <w:rsid w:val="6C2E507B"/>
    <w:rsid w:val="6C36182B"/>
    <w:rsid w:val="6C3C5B76"/>
    <w:rsid w:val="6C3F585D"/>
    <w:rsid w:val="6C4E249B"/>
    <w:rsid w:val="6C5D70F0"/>
    <w:rsid w:val="6C5E361C"/>
    <w:rsid w:val="6C721F25"/>
    <w:rsid w:val="6C735C95"/>
    <w:rsid w:val="6C76204C"/>
    <w:rsid w:val="6C7C0099"/>
    <w:rsid w:val="6C7C0AA2"/>
    <w:rsid w:val="6C7C1A24"/>
    <w:rsid w:val="6C7E6A3E"/>
    <w:rsid w:val="6C806473"/>
    <w:rsid w:val="6C8704B9"/>
    <w:rsid w:val="6C877372"/>
    <w:rsid w:val="6C8D4FBC"/>
    <w:rsid w:val="6C9018AA"/>
    <w:rsid w:val="6C924CB9"/>
    <w:rsid w:val="6C9B395E"/>
    <w:rsid w:val="6C9D32F9"/>
    <w:rsid w:val="6CA31164"/>
    <w:rsid w:val="6CA56D32"/>
    <w:rsid w:val="6CA621E6"/>
    <w:rsid w:val="6CA82C6D"/>
    <w:rsid w:val="6CA8371F"/>
    <w:rsid w:val="6CAA286D"/>
    <w:rsid w:val="6CAB3402"/>
    <w:rsid w:val="6CB14960"/>
    <w:rsid w:val="6CB9586D"/>
    <w:rsid w:val="6CBF6EF4"/>
    <w:rsid w:val="6CC2216D"/>
    <w:rsid w:val="6CC2281D"/>
    <w:rsid w:val="6CC40A68"/>
    <w:rsid w:val="6CC63190"/>
    <w:rsid w:val="6CC74ADD"/>
    <w:rsid w:val="6CCE2502"/>
    <w:rsid w:val="6CD036FB"/>
    <w:rsid w:val="6CD07AE8"/>
    <w:rsid w:val="6CD1561B"/>
    <w:rsid w:val="6CD72FCB"/>
    <w:rsid w:val="6CD862C0"/>
    <w:rsid w:val="6CDB75EB"/>
    <w:rsid w:val="6CE14BC2"/>
    <w:rsid w:val="6CE57A0C"/>
    <w:rsid w:val="6CF44F96"/>
    <w:rsid w:val="6D054BDE"/>
    <w:rsid w:val="6D194492"/>
    <w:rsid w:val="6D2D3E5E"/>
    <w:rsid w:val="6D2F2A49"/>
    <w:rsid w:val="6D311556"/>
    <w:rsid w:val="6D380067"/>
    <w:rsid w:val="6D3949B0"/>
    <w:rsid w:val="6D3D3707"/>
    <w:rsid w:val="6D4139AB"/>
    <w:rsid w:val="6D4B7F3F"/>
    <w:rsid w:val="6D4D62AE"/>
    <w:rsid w:val="6D4E1A12"/>
    <w:rsid w:val="6D4E6203"/>
    <w:rsid w:val="6D564640"/>
    <w:rsid w:val="6D5C4743"/>
    <w:rsid w:val="6D6D2BE8"/>
    <w:rsid w:val="6D76316F"/>
    <w:rsid w:val="6D85239E"/>
    <w:rsid w:val="6D97577B"/>
    <w:rsid w:val="6D9F2342"/>
    <w:rsid w:val="6DA8371A"/>
    <w:rsid w:val="6DAF4438"/>
    <w:rsid w:val="6DB11460"/>
    <w:rsid w:val="6DB4632D"/>
    <w:rsid w:val="6DB7045E"/>
    <w:rsid w:val="6DB84FFE"/>
    <w:rsid w:val="6DB90313"/>
    <w:rsid w:val="6DBE6315"/>
    <w:rsid w:val="6DC1079E"/>
    <w:rsid w:val="6DC43B2F"/>
    <w:rsid w:val="6DC90B13"/>
    <w:rsid w:val="6DCC4190"/>
    <w:rsid w:val="6DD53D40"/>
    <w:rsid w:val="6DD95D94"/>
    <w:rsid w:val="6DDE15FC"/>
    <w:rsid w:val="6DDE6DF8"/>
    <w:rsid w:val="6DDF1469"/>
    <w:rsid w:val="6DE011C9"/>
    <w:rsid w:val="6DEA6CA1"/>
    <w:rsid w:val="6DF34FC7"/>
    <w:rsid w:val="6E093B5C"/>
    <w:rsid w:val="6E0E0133"/>
    <w:rsid w:val="6E10778A"/>
    <w:rsid w:val="6E2078ED"/>
    <w:rsid w:val="6E214123"/>
    <w:rsid w:val="6E240889"/>
    <w:rsid w:val="6E2B4F2C"/>
    <w:rsid w:val="6E367FAB"/>
    <w:rsid w:val="6E3E0EC5"/>
    <w:rsid w:val="6E44601A"/>
    <w:rsid w:val="6E490B0C"/>
    <w:rsid w:val="6E4A0A40"/>
    <w:rsid w:val="6E4E2964"/>
    <w:rsid w:val="6E5E2223"/>
    <w:rsid w:val="6E6222E0"/>
    <w:rsid w:val="6E64096A"/>
    <w:rsid w:val="6E6A60FE"/>
    <w:rsid w:val="6E6C1738"/>
    <w:rsid w:val="6E755FBA"/>
    <w:rsid w:val="6E762B49"/>
    <w:rsid w:val="6E77085E"/>
    <w:rsid w:val="6E890E16"/>
    <w:rsid w:val="6E8C2E06"/>
    <w:rsid w:val="6E9109F8"/>
    <w:rsid w:val="6E9C2C91"/>
    <w:rsid w:val="6EA357E4"/>
    <w:rsid w:val="6EA82980"/>
    <w:rsid w:val="6EAD16FA"/>
    <w:rsid w:val="6EB1286D"/>
    <w:rsid w:val="6EBF3966"/>
    <w:rsid w:val="6ECA5608"/>
    <w:rsid w:val="6ED021EF"/>
    <w:rsid w:val="6EE51C07"/>
    <w:rsid w:val="6EEA5523"/>
    <w:rsid w:val="6EF07839"/>
    <w:rsid w:val="6EF4643C"/>
    <w:rsid w:val="6F052E60"/>
    <w:rsid w:val="6F096908"/>
    <w:rsid w:val="6F0E1165"/>
    <w:rsid w:val="6F0E44E0"/>
    <w:rsid w:val="6F2179F2"/>
    <w:rsid w:val="6F221EA7"/>
    <w:rsid w:val="6F2572E9"/>
    <w:rsid w:val="6F2C4BE6"/>
    <w:rsid w:val="6F306A3D"/>
    <w:rsid w:val="6F325ABD"/>
    <w:rsid w:val="6F331EBE"/>
    <w:rsid w:val="6F337774"/>
    <w:rsid w:val="6F4161BC"/>
    <w:rsid w:val="6F442E4C"/>
    <w:rsid w:val="6F4516EF"/>
    <w:rsid w:val="6F480A49"/>
    <w:rsid w:val="6F4A6F49"/>
    <w:rsid w:val="6F4B4A6F"/>
    <w:rsid w:val="6F5926CE"/>
    <w:rsid w:val="6F5D0EF8"/>
    <w:rsid w:val="6F601593"/>
    <w:rsid w:val="6F603DF0"/>
    <w:rsid w:val="6F67449E"/>
    <w:rsid w:val="6F69268E"/>
    <w:rsid w:val="6F6969C4"/>
    <w:rsid w:val="6F6D6EFC"/>
    <w:rsid w:val="6F71476E"/>
    <w:rsid w:val="6F786EC0"/>
    <w:rsid w:val="6F7D095A"/>
    <w:rsid w:val="6F8132AB"/>
    <w:rsid w:val="6F927F20"/>
    <w:rsid w:val="6F98690F"/>
    <w:rsid w:val="6F9962A0"/>
    <w:rsid w:val="6F9B61FE"/>
    <w:rsid w:val="6FA814CE"/>
    <w:rsid w:val="6FC56DC0"/>
    <w:rsid w:val="6FCB207F"/>
    <w:rsid w:val="6FD1766A"/>
    <w:rsid w:val="6FD2684F"/>
    <w:rsid w:val="6FDA7297"/>
    <w:rsid w:val="6FDB2928"/>
    <w:rsid w:val="6FE503EB"/>
    <w:rsid w:val="6FE87674"/>
    <w:rsid w:val="6FE9394F"/>
    <w:rsid w:val="6FF02FF0"/>
    <w:rsid w:val="6FF27D90"/>
    <w:rsid w:val="6FF705A5"/>
    <w:rsid w:val="6FF80D6B"/>
    <w:rsid w:val="6FFA5A54"/>
    <w:rsid w:val="6FFC5B72"/>
    <w:rsid w:val="6FFD0B7C"/>
    <w:rsid w:val="6FFD10AE"/>
    <w:rsid w:val="6FFF3D84"/>
    <w:rsid w:val="6FFF7B62"/>
    <w:rsid w:val="7002345F"/>
    <w:rsid w:val="7006539C"/>
    <w:rsid w:val="70152F98"/>
    <w:rsid w:val="70166C61"/>
    <w:rsid w:val="701C1A25"/>
    <w:rsid w:val="701D7F1F"/>
    <w:rsid w:val="702754DC"/>
    <w:rsid w:val="703C2D95"/>
    <w:rsid w:val="704100AD"/>
    <w:rsid w:val="70456F45"/>
    <w:rsid w:val="704D054A"/>
    <w:rsid w:val="70502B8A"/>
    <w:rsid w:val="70512827"/>
    <w:rsid w:val="70532129"/>
    <w:rsid w:val="705D2CAC"/>
    <w:rsid w:val="706320EB"/>
    <w:rsid w:val="70796810"/>
    <w:rsid w:val="707C7493"/>
    <w:rsid w:val="70811470"/>
    <w:rsid w:val="70812315"/>
    <w:rsid w:val="708279E6"/>
    <w:rsid w:val="7084648B"/>
    <w:rsid w:val="70867C60"/>
    <w:rsid w:val="708734D7"/>
    <w:rsid w:val="708A0934"/>
    <w:rsid w:val="708D0303"/>
    <w:rsid w:val="70904E30"/>
    <w:rsid w:val="70907FD6"/>
    <w:rsid w:val="709C192B"/>
    <w:rsid w:val="70A01F58"/>
    <w:rsid w:val="70A02275"/>
    <w:rsid w:val="70B31492"/>
    <w:rsid w:val="70B4539A"/>
    <w:rsid w:val="70B953F5"/>
    <w:rsid w:val="70BD6007"/>
    <w:rsid w:val="70C0504A"/>
    <w:rsid w:val="70C05B2E"/>
    <w:rsid w:val="70CD2F51"/>
    <w:rsid w:val="70CD5A29"/>
    <w:rsid w:val="70D1512C"/>
    <w:rsid w:val="70D640B4"/>
    <w:rsid w:val="70DC1913"/>
    <w:rsid w:val="70E21A21"/>
    <w:rsid w:val="70E24BEF"/>
    <w:rsid w:val="70E76F7C"/>
    <w:rsid w:val="70EA0566"/>
    <w:rsid w:val="70EC5DDE"/>
    <w:rsid w:val="70F553FE"/>
    <w:rsid w:val="70FC3CB3"/>
    <w:rsid w:val="70FD3EC5"/>
    <w:rsid w:val="70FE7C5F"/>
    <w:rsid w:val="71010203"/>
    <w:rsid w:val="71085C15"/>
    <w:rsid w:val="710C6CB1"/>
    <w:rsid w:val="7112412F"/>
    <w:rsid w:val="7113565F"/>
    <w:rsid w:val="7114594E"/>
    <w:rsid w:val="71153587"/>
    <w:rsid w:val="71166BA7"/>
    <w:rsid w:val="711B729D"/>
    <w:rsid w:val="711E2C1A"/>
    <w:rsid w:val="711F2D68"/>
    <w:rsid w:val="711F5C1E"/>
    <w:rsid w:val="712830BA"/>
    <w:rsid w:val="712B6906"/>
    <w:rsid w:val="71306613"/>
    <w:rsid w:val="71391DF9"/>
    <w:rsid w:val="714F6A99"/>
    <w:rsid w:val="715E3AA4"/>
    <w:rsid w:val="71622982"/>
    <w:rsid w:val="71732E7D"/>
    <w:rsid w:val="71754116"/>
    <w:rsid w:val="717958C4"/>
    <w:rsid w:val="717E4D76"/>
    <w:rsid w:val="71830612"/>
    <w:rsid w:val="71870241"/>
    <w:rsid w:val="718D136F"/>
    <w:rsid w:val="719767C3"/>
    <w:rsid w:val="71995F66"/>
    <w:rsid w:val="71996DCA"/>
    <w:rsid w:val="719F4172"/>
    <w:rsid w:val="71A11C27"/>
    <w:rsid w:val="71A64FCD"/>
    <w:rsid w:val="71AE5BBE"/>
    <w:rsid w:val="71B267B2"/>
    <w:rsid w:val="71B91C6A"/>
    <w:rsid w:val="71BD2B1D"/>
    <w:rsid w:val="71C64881"/>
    <w:rsid w:val="71CD3E62"/>
    <w:rsid w:val="71D3720A"/>
    <w:rsid w:val="71D42DD7"/>
    <w:rsid w:val="71D905DE"/>
    <w:rsid w:val="71D972F0"/>
    <w:rsid w:val="71E10787"/>
    <w:rsid w:val="71E42E63"/>
    <w:rsid w:val="71E60B97"/>
    <w:rsid w:val="71E82A49"/>
    <w:rsid w:val="71E97AF7"/>
    <w:rsid w:val="71F15DA2"/>
    <w:rsid w:val="71F433D6"/>
    <w:rsid w:val="71F65122"/>
    <w:rsid w:val="71FC5842"/>
    <w:rsid w:val="720459D5"/>
    <w:rsid w:val="72066346"/>
    <w:rsid w:val="72114FBC"/>
    <w:rsid w:val="72135723"/>
    <w:rsid w:val="72177E58"/>
    <w:rsid w:val="72183F06"/>
    <w:rsid w:val="721C23F7"/>
    <w:rsid w:val="72234806"/>
    <w:rsid w:val="7223529A"/>
    <w:rsid w:val="7225028B"/>
    <w:rsid w:val="72281BBF"/>
    <w:rsid w:val="722B2FE5"/>
    <w:rsid w:val="72351B9B"/>
    <w:rsid w:val="724242FA"/>
    <w:rsid w:val="724A19B1"/>
    <w:rsid w:val="725067FE"/>
    <w:rsid w:val="725727D1"/>
    <w:rsid w:val="7258666F"/>
    <w:rsid w:val="7265409A"/>
    <w:rsid w:val="726544DB"/>
    <w:rsid w:val="72672147"/>
    <w:rsid w:val="726F3F24"/>
    <w:rsid w:val="727228E9"/>
    <w:rsid w:val="727B597C"/>
    <w:rsid w:val="727D2198"/>
    <w:rsid w:val="728210E7"/>
    <w:rsid w:val="72827E74"/>
    <w:rsid w:val="72835423"/>
    <w:rsid w:val="728D21D6"/>
    <w:rsid w:val="728D40C9"/>
    <w:rsid w:val="728F5B61"/>
    <w:rsid w:val="72943CCD"/>
    <w:rsid w:val="7296109C"/>
    <w:rsid w:val="729877BA"/>
    <w:rsid w:val="72A83CCB"/>
    <w:rsid w:val="72A929CE"/>
    <w:rsid w:val="72B648F6"/>
    <w:rsid w:val="72B76AB6"/>
    <w:rsid w:val="72B80F82"/>
    <w:rsid w:val="72C13B3C"/>
    <w:rsid w:val="72DA0439"/>
    <w:rsid w:val="72DB39D6"/>
    <w:rsid w:val="72E77940"/>
    <w:rsid w:val="72F3304D"/>
    <w:rsid w:val="72F378F8"/>
    <w:rsid w:val="72FD55E1"/>
    <w:rsid w:val="731318BA"/>
    <w:rsid w:val="731943A1"/>
    <w:rsid w:val="731F0D75"/>
    <w:rsid w:val="73217FC1"/>
    <w:rsid w:val="732478B7"/>
    <w:rsid w:val="73262EFD"/>
    <w:rsid w:val="732950C8"/>
    <w:rsid w:val="733075B8"/>
    <w:rsid w:val="7336007C"/>
    <w:rsid w:val="73367EE0"/>
    <w:rsid w:val="73384E5B"/>
    <w:rsid w:val="733946D7"/>
    <w:rsid w:val="733C6D88"/>
    <w:rsid w:val="7342275B"/>
    <w:rsid w:val="734455A9"/>
    <w:rsid w:val="734B2D21"/>
    <w:rsid w:val="73556D76"/>
    <w:rsid w:val="73560E2D"/>
    <w:rsid w:val="73564C7B"/>
    <w:rsid w:val="73683E42"/>
    <w:rsid w:val="73720088"/>
    <w:rsid w:val="73750462"/>
    <w:rsid w:val="73764EF3"/>
    <w:rsid w:val="73774510"/>
    <w:rsid w:val="73814F04"/>
    <w:rsid w:val="7386076C"/>
    <w:rsid w:val="73B95AAB"/>
    <w:rsid w:val="73BA2380"/>
    <w:rsid w:val="73BF6AB5"/>
    <w:rsid w:val="73C13FE4"/>
    <w:rsid w:val="73C8159D"/>
    <w:rsid w:val="73D31DB8"/>
    <w:rsid w:val="73D908E0"/>
    <w:rsid w:val="73DB0AB8"/>
    <w:rsid w:val="73E53C68"/>
    <w:rsid w:val="73E81F07"/>
    <w:rsid w:val="73EF4760"/>
    <w:rsid w:val="73F0400E"/>
    <w:rsid w:val="73F21A92"/>
    <w:rsid w:val="73F651BB"/>
    <w:rsid w:val="73FC458A"/>
    <w:rsid w:val="73FD1BCE"/>
    <w:rsid w:val="73FF1AF8"/>
    <w:rsid w:val="74045E81"/>
    <w:rsid w:val="74050ACC"/>
    <w:rsid w:val="740578E3"/>
    <w:rsid w:val="740A314B"/>
    <w:rsid w:val="740C48BD"/>
    <w:rsid w:val="7417005A"/>
    <w:rsid w:val="74195A40"/>
    <w:rsid w:val="741A3E73"/>
    <w:rsid w:val="741A4126"/>
    <w:rsid w:val="741D6F29"/>
    <w:rsid w:val="7420471D"/>
    <w:rsid w:val="7422055D"/>
    <w:rsid w:val="74241BC2"/>
    <w:rsid w:val="742A1968"/>
    <w:rsid w:val="74333431"/>
    <w:rsid w:val="74374032"/>
    <w:rsid w:val="744659AA"/>
    <w:rsid w:val="74551836"/>
    <w:rsid w:val="74580C3F"/>
    <w:rsid w:val="7460720F"/>
    <w:rsid w:val="74670DDC"/>
    <w:rsid w:val="74672E12"/>
    <w:rsid w:val="746A2805"/>
    <w:rsid w:val="746C4DC6"/>
    <w:rsid w:val="746E5488"/>
    <w:rsid w:val="746F33CF"/>
    <w:rsid w:val="7479332C"/>
    <w:rsid w:val="747957E7"/>
    <w:rsid w:val="74846456"/>
    <w:rsid w:val="7486644D"/>
    <w:rsid w:val="748A0E2F"/>
    <w:rsid w:val="748C5B37"/>
    <w:rsid w:val="749018A2"/>
    <w:rsid w:val="74921746"/>
    <w:rsid w:val="74933140"/>
    <w:rsid w:val="74977CD1"/>
    <w:rsid w:val="749B1623"/>
    <w:rsid w:val="74B233DA"/>
    <w:rsid w:val="74B3767B"/>
    <w:rsid w:val="74B47C1A"/>
    <w:rsid w:val="74BC563B"/>
    <w:rsid w:val="74BF136C"/>
    <w:rsid w:val="74C16C9E"/>
    <w:rsid w:val="74C200B7"/>
    <w:rsid w:val="74C47C0A"/>
    <w:rsid w:val="74CF0811"/>
    <w:rsid w:val="74D00851"/>
    <w:rsid w:val="74D24758"/>
    <w:rsid w:val="74D544AD"/>
    <w:rsid w:val="74D66DDE"/>
    <w:rsid w:val="74DA4E33"/>
    <w:rsid w:val="74DB1272"/>
    <w:rsid w:val="74E96DD5"/>
    <w:rsid w:val="74EE58CC"/>
    <w:rsid w:val="74F15FFD"/>
    <w:rsid w:val="74F4582D"/>
    <w:rsid w:val="74F66086"/>
    <w:rsid w:val="75070B12"/>
    <w:rsid w:val="75126C05"/>
    <w:rsid w:val="753052F5"/>
    <w:rsid w:val="75355643"/>
    <w:rsid w:val="75356A3E"/>
    <w:rsid w:val="75371EAC"/>
    <w:rsid w:val="753B3F97"/>
    <w:rsid w:val="753D44CF"/>
    <w:rsid w:val="753E7141"/>
    <w:rsid w:val="7546499C"/>
    <w:rsid w:val="754E0333"/>
    <w:rsid w:val="754E362A"/>
    <w:rsid w:val="75503B44"/>
    <w:rsid w:val="75516444"/>
    <w:rsid w:val="755724D2"/>
    <w:rsid w:val="755F3023"/>
    <w:rsid w:val="75610111"/>
    <w:rsid w:val="75611574"/>
    <w:rsid w:val="7564688B"/>
    <w:rsid w:val="75745001"/>
    <w:rsid w:val="757A7E5C"/>
    <w:rsid w:val="757C6529"/>
    <w:rsid w:val="757D0B89"/>
    <w:rsid w:val="757D6D40"/>
    <w:rsid w:val="75807799"/>
    <w:rsid w:val="75815503"/>
    <w:rsid w:val="7583321F"/>
    <w:rsid w:val="75847234"/>
    <w:rsid w:val="758652A7"/>
    <w:rsid w:val="75883D1B"/>
    <w:rsid w:val="758910EC"/>
    <w:rsid w:val="75AD3D8E"/>
    <w:rsid w:val="75AE7B06"/>
    <w:rsid w:val="75BD35EA"/>
    <w:rsid w:val="75BF248F"/>
    <w:rsid w:val="75C55E31"/>
    <w:rsid w:val="75CB690A"/>
    <w:rsid w:val="75CE1DA3"/>
    <w:rsid w:val="75D43B1A"/>
    <w:rsid w:val="75D4756D"/>
    <w:rsid w:val="75DE783B"/>
    <w:rsid w:val="75F1537D"/>
    <w:rsid w:val="75F9494F"/>
    <w:rsid w:val="75FA5C7B"/>
    <w:rsid w:val="76051E1C"/>
    <w:rsid w:val="76055621"/>
    <w:rsid w:val="760E38A2"/>
    <w:rsid w:val="760E71C5"/>
    <w:rsid w:val="76116A13"/>
    <w:rsid w:val="76154A4A"/>
    <w:rsid w:val="761553F4"/>
    <w:rsid w:val="761B3282"/>
    <w:rsid w:val="761E38A0"/>
    <w:rsid w:val="762741BB"/>
    <w:rsid w:val="762E06CB"/>
    <w:rsid w:val="762E6ADF"/>
    <w:rsid w:val="76310FAE"/>
    <w:rsid w:val="7631148F"/>
    <w:rsid w:val="763A05EC"/>
    <w:rsid w:val="7648697C"/>
    <w:rsid w:val="764F753B"/>
    <w:rsid w:val="765165A0"/>
    <w:rsid w:val="76563E2D"/>
    <w:rsid w:val="76571EDE"/>
    <w:rsid w:val="765C57B4"/>
    <w:rsid w:val="765C7F58"/>
    <w:rsid w:val="76616F56"/>
    <w:rsid w:val="76641664"/>
    <w:rsid w:val="766C79CA"/>
    <w:rsid w:val="7673381B"/>
    <w:rsid w:val="76782CEE"/>
    <w:rsid w:val="767926E5"/>
    <w:rsid w:val="767A147A"/>
    <w:rsid w:val="767C46D3"/>
    <w:rsid w:val="76821AD4"/>
    <w:rsid w:val="76830747"/>
    <w:rsid w:val="76832CC7"/>
    <w:rsid w:val="768A0E63"/>
    <w:rsid w:val="768D4D1F"/>
    <w:rsid w:val="768E5BD6"/>
    <w:rsid w:val="76925496"/>
    <w:rsid w:val="7693567A"/>
    <w:rsid w:val="7699708E"/>
    <w:rsid w:val="76A6424B"/>
    <w:rsid w:val="76A92EDB"/>
    <w:rsid w:val="76AB197B"/>
    <w:rsid w:val="76AE3493"/>
    <w:rsid w:val="76B95CB6"/>
    <w:rsid w:val="76C24C05"/>
    <w:rsid w:val="76CA64E6"/>
    <w:rsid w:val="76CD24DB"/>
    <w:rsid w:val="76D11CFE"/>
    <w:rsid w:val="76D70CCC"/>
    <w:rsid w:val="76D853AD"/>
    <w:rsid w:val="76E5543A"/>
    <w:rsid w:val="76EA563D"/>
    <w:rsid w:val="76F5018F"/>
    <w:rsid w:val="76FA305B"/>
    <w:rsid w:val="77050821"/>
    <w:rsid w:val="7705257C"/>
    <w:rsid w:val="770833E6"/>
    <w:rsid w:val="7715608F"/>
    <w:rsid w:val="77163BB5"/>
    <w:rsid w:val="771858D7"/>
    <w:rsid w:val="77242691"/>
    <w:rsid w:val="77245137"/>
    <w:rsid w:val="773003C7"/>
    <w:rsid w:val="7731796B"/>
    <w:rsid w:val="77325D05"/>
    <w:rsid w:val="77327299"/>
    <w:rsid w:val="77387FCF"/>
    <w:rsid w:val="77390C06"/>
    <w:rsid w:val="773A2764"/>
    <w:rsid w:val="773D2EB2"/>
    <w:rsid w:val="77425209"/>
    <w:rsid w:val="77454A08"/>
    <w:rsid w:val="77485900"/>
    <w:rsid w:val="77493565"/>
    <w:rsid w:val="774A69A6"/>
    <w:rsid w:val="774C0931"/>
    <w:rsid w:val="775362A8"/>
    <w:rsid w:val="775374BF"/>
    <w:rsid w:val="77572D18"/>
    <w:rsid w:val="775D533C"/>
    <w:rsid w:val="776A18E4"/>
    <w:rsid w:val="777D5582"/>
    <w:rsid w:val="77804564"/>
    <w:rsid w:val="77804B10"/>
    <w:rsid w:val="77815892"/>
    <w:rsid w:val="77884AB3"/>
    <w:rsid w:val="778E4CF4"/>
    <w:rsid w:val="77A613DD"/>
    <w:rsid w:val="77AD53BA"/>
    <w:rsid w:val="77C43611"/>
    <w:rsid w:val="77C576C5"/>
    <w:rsid w:val="77C713B8"/>
    <w:rsid w:val="77D2308F"/>
    <w:rsid w:val="77D87048"/>
    <w:rsid w:val="77D950FF"/>
    <w:rsid w:val="77DB6D31"/>
    <w:rsid w:val="77E003E9"/>
    <w:rsid w:val="77E9489D"/>
    <w:rsid w:val="77F008AA"/>
    <w:rsid w:val="77F75B81"/>
    <w:rsid w:val="78054A83"/>
    <w:rsid w:val="780B1A1C"/>
    <w:rsid w:val="780B272A"/>
    <w:rsid w:val="780F6A87"/>
    <w:rsid w:val="781623AD"/>
    <w:rsid w:val="781834EF"/>
    <w:rsid w:val="78197CD6"/>
    <w:rsid w:val="781A4B60"/>
    <w:rsid w:val="78214F90"/>
    <w:rsid w:val="782462DA"/>
    <w:rsid w:val="782505DB"/>
    <w:rsid w:val="782C44C6"/>
    <w:rsid w:val="782E7500"/>
    <w:rsid w:val="78465B78"/>
    <w:rsid w:val="78476152"/>
    <w:rsid w:val="784A2B59"/>
    <w:rsid w:val="78521F47"/>
    <w:rsid w:val="78526BD1"/>
    <w:rsid w:val="785350DC"/>
    <w:rsid w:val="78542D9B"/>
    <w:rsid w:val="78564BEF"/>
    <w:rsid w:val="78566E8E"/>
    <w:rsid w:val="785B2FB3"/>
    <w:rsid w:val="785F6803"/>
    <w:rsid w:val="786224E2"/>
    <w:rsid w:val="78686C9C"/>
    <w:rsid w:val="786B58A2"/>
    <w:rsid w:val="786F7A21"/>
    <w:rsid w:val="787E07EA"/>
    <w:rsid w:val="7880578A"/>
    <w:rsid w:val="78822047"/>
    <w:rsid w:val="78831E7F"/>
    <w:rsid w:val="788A3FC0"/>
    <w:rsid w:val="78946340"/>
    <w:rsid w:val="78B02139"/>
    <w:rsid w:val="78B14FE4"/>
    <w:rsid w:val="78BE5AE9"/>
    <w:rsid w:val="78C46E7A"/>
    <w:rsid w:val="78C93BCB"/>
    <w:rsid w:val="78C94685"/>
    <w:rsid w:val="78CE2726"/>
    <w:rsid w:val="78CE2999"/>
    <w:rsid w:val="78D1522B"/>
    <w:rsid w:val="78D27783"/>
    <w:rsid w:val="78D368B1"/>
    <w:rsid w:val="78DE2C21"/>
    <w:rsid w:val="78E4594A"/>
    <w:rsid w:val="78E77DE0"/>
    <w:rsid w:val="78E84CFE"/>
    <w:rsid w:val="78F33AD5"/>
    <w:rsid w:val="78FD0611"/>
    <w:rsid w:val="78FD72E3"/>
    <w:rsid w:val="79004A6A"/>
    <w:rsid w:val="790371CD"/>
    <w:rsid w:val="79052281"/>
    <w:rsid w:val="79064FD2"/>
    <w:rsid w:val="790C7233"/>
    <w:rsid w:val="791707F1"/>
    <w:rsid w:val="79223F27"/>
    <w:rsid w:val="79254A62"/>
    <w:rsid w:val="792F59B0"/>
    <w:rsid w:val="79301967"/>
    <w:rsid w:val="79347157"/>
    <w:rsid w:val="79400629"/>
    <w:rsid w:val="79412E2C"/>
    <w:rsid w:val="794B1A4D"/>
    <w:rsid w:val="794F1D9E"/>
    <w:rsid w:val="79507852"/>
    <w:rsid w:val="79524843"/>
    <w:rsid w:val="79573168"/>
    <w:rsid w:val="795F5188"/>
    <w:rsid w:val="796A1D88"/>
    <w:rsid w:val="796D3031"/>
    <w:rsid w:val="796E57F9"/>
    <w:rsid w:val="79757D28"/>
    <w:rsid w:val="797A2905"/>
    <w:rsid w:val="7987347F"/>
    <w:rsid w:val="798B066E"/>
    <w:rsid w:val="799027E7"/>
    <w:rsid w:val="799118B9"/>
    <w:rsid w:val="79995A8A"/>
    <w:rsid w:val="799B435A"/>
    <w:rsid w:val="799F16DB"/>
    <w:rsid w:val="799F43B3"/>
    <w:rsid w:val="79A01A7E"/>
    <w:rsid w:val="79AD24F9"/>
    <w:rsid w:val="79B7167F"/>
    <w:rsid w:val="79BB0D3E"/>
    <w:rsid w:val="79CA5D20"/>
    <w:rsid w:val="79D23D37"/>
    <w:rsid w:val="79D247C8"/>
    <w:rsid w:val="79D80DE1"/>
    <w:rsid w:val="79DB1359"/>
    <w:rsid w:val="79DF07CA"/>
    <w:rsid w:val="79E32D74"/>
    <w:rsid w:val="79F273C5"/>
    <w:rsid w:val="79FE3A64"/>
    <w:rsid w:val="7A050383"/>
    <w:rsid w:val="7A0B19CB"/>
    <w:rsid w:val="7A0D199C"/>
    <w:rsid w:val="7A0E5C26"/>
    <w:rsid w:val="7A101829"/>
    <w:rsid w:val="7A124B07"/>
    <w:rsid w:val="7A1268B5"/>
    <w:rsid w:val="7A13684A"/>
    <w:rsid w:val="7A3B1965"/>
    <w:rsid w:val="7A3B3E4D"/>
    <w:rsid w:val="7A402936"/>
    <w:rsid w:val="7A416871"/>
    <w:rsid w:val="7A4D710B"/>
    <w:rsid w:val="7A4E4578"/>
    <w:rsid w:val="7A4E498A"/>
    <w:rsid w:val="7A4F707A"/>
    <w:rsid w:val="7A523156"/>
    <w:rsid w:val="7A571170"/>
    <w:rsid w:val="7A5B64AE"/>
    <w:rsid w:val="7A5D724B"/>
    <w:rsid w:val="7A5D77B5"/>
    <w:rsid w:val="7A5D7C02"/>
    <w:rsid w:val="7A670835"/>
    <w:rsid w:val="7A676AD2"/>
    <w:rsid w:val="7A6E7286"/>
    <w:rsid w:val="7A6F2104"/>
    <w:rsid w:val="7A7606C9"/>
    <w:rsid w:val="7A7F5642"/>
    <w:rsid w:val="7A830788"/>
    <w:rsid w:val="7A850C66"/>
    <w:rsid w:val="7A8913FE"/>
    <w:rsid w:val="7A952E0C"/>
    <w:rsid w:val="7A9579C2"/>
    <w:rsid w:val="7A9B0737"/>
    <w:rsid w:val="7AA1532A"/>
    <w:rsid w:val="7AA15E8B"/>
    <w:rsid w:val="7AA53BCD"/>
    <w:rsid w:val="7AA95E50"/>
    <w:rsid w:val="7AAB23E4"/>
    <w:rsid w:val="7AAC738F"/>
    <w:rsid w:val="7AB15384"/>
    <w:rsid w:val="7AB60349"/>
    <w:rsid w:val="7ABB0AF3"/>
    <w:rsid w:val="7ABB4519"/>
    <w:rsid w:val="7AC2254E"/>
    <w:rsid w:val="7AC9085A"/>
    <w:rsid w:val="7AD10E26"/>
    <w:rsid w:val="7AD80103"/>
    <w:rsid w:val="7AD97CC6"/>
    <w:rsid w:val="7AE158DE"/>
    <w:rsid w:val="7AE2769C"/>
    <w:rsid w:val="7AE50B9C"/>
    <w:rsid w:val="7AE53FCA"/>
    <w:rsid w:val="7AEE5721"/>
    <w:rsid w:val="7AF20495"/>
    <w:rsid w:val="7AFE4A85"/>
    <w:rsid w:val="7AFF3122"/>
    <w:rsid w:val="7B000E04"/>
    <w:rsid w:val="7B005D53"/>
    <w:rsid w:val="7B015A09"/>
    <w:rsid w:val="7B035AEB"/>
    <w:rsid w:val="7B075010"/>
    <w:rsid w:val="7B0A3A31"/>
    <w:rsid w:val="7B1E40BD"/>
    <w:rsid w:val="7B284EE7"/>
    <w:rsid w:val="7B295FF2"/>
    <w:rsid w:val="7B2A7C2F"/>
    <w:rsid w:val="7B2B14F4"/>
    <w:rsid w:val="7B300F5E"/>
    <w:rsid w:val="7B381E17"/>
    <w:rsid w:val="7B405972"/>
    <w:rsid w:val="7B4259FA"/>
    <w:rsid w:val="7B433243"/>
    <w:rsid w:val="7B436CFB"/>
    <w:rsid w:val="7B456FD9"/>
    <w:rsid w:val="7B465BB9"/>
    <w:rsid w:val="7B477284"/>
    <w:rsid w:val="7B4772F4"/>
    <w:rsid w:val="7B5257A6"/>
    <w:rsid w:val="7B6205F8"/>
    <w:rsid w:val="7B642F35"/>
    <w:rsid w:val="7B69222A"/>
    <w:rsid w:val="7B6B54D2"/>
    <w:rsid w:val="7B6F7FCC"/>
    <w:rsid w:val="7B7C7733"/>
    <w:rsid w:val="7B8776F0"/>
    <w:rsid w:val="7B8C0FD9"/>
    <w:rsid w:val="7B8E3AE2"/>
    <w:rsid w:val="7B8E47B5"/>
    <w:rsid w:val="7B8F6F3F"/>
    <w:rsid w:val="7B925767"/>
    <w:rsid w:val="7B946B3A"/>
    <w:rsid w:val="7B9F13EB"/>
    <w:rsid w:val="7BA37CD7"/>
    <w:rsid w:val="7BA76564"/>
    <w:rsid w:val="7BA775E1"/>
    <w:rsid w:val="7BAE0860"/>
    <w:rsid w:val="7BB55F9A"/>
    <w:rsid w:val="7BBB53F1"/>
    <w:rsid w:val="7BC3103A"/>
    <w:rsid w:val="7BD115E9"/>
    <w:rsid w:val="7BDA3864"/>
    <w:rsid w:val="7BDC780C"/>
    <w:rsid w:val="7BF0370A"/>
    <w:rsid w:val="7BF41193"/>
    <w:rsid w:val="7BF44B00"/>
    <w:rsid w:val="7BF5549E"/>
    <w:rsid w:val="7BFF7665"/>
    <w:rsid w:val="7C03617D"/>
    <w:rsid w:val="7C0910C0"/>
    <w:rsid w:val="7C09379A"/>
    <w:rsid w:val="7C0E12FE"/>
    <w:rsid w:val="7C0E4DEA"/>
    <w:rsid w:val="7C1A7CA3"/>
    <w:rsid w:val="7C1C7EBF"/>
    <w:rsid w:val="7C271606"/>
    <w:rsid w:val="7C291ADF"/>
    <w:rsid w:val="7C2F67A8"/>
    <w:rsid w:val="7C3D2E9E"/>
    <w:rsid w:val="7C4B2553"/>
    <w:rsid w:val="7C4C06B1"/>
    <w:rsid w:val="7C56585B"/>
    <w:rsid w:val="7C5A1E80"/>
    <w:rsid w:val="7C5A2D6D"/>
    <w:rsid w:val="7C5B09E8"/>
    <w:rsid w:val="7C611D72"/>
    <w:rsid w:val="7C6244E9"/>
    <w:rsid w:val="7C6506DE"/>
    <w:rsid w:val="7C727ADF"/>
    <w:rsid w:val="7C767471"/>
    <w:rsid w:val="7C7B5BE6"/>
    <w:rsid w:val="7C7E21C7"/>
    <w:rsid w:val="7C8523E8"/>
    <w:rsid w:val="7C8F610B"/>
    <w:rsid w:val="7C917628"/>
    <w:rsid w:val="7C9D03E1"/>
    <w:rsid w:val="7CBC0D5A"/>
    <w:rsid w:val="7CBE4C6D"/>
    <w:rsid w:val="7CCB05A7"/>
    <w:rsid w:val="7CCB7501"/>
    <w:rsid w:val="7CCC47EE"/>
    <w:rsid w:val="7CD07A5D"/>
    <w:rsid w:val="7CD71E45"/>
    <w:rsid w:val="7CE07837"/>
    <w:rsid w:val="7CE32AF6"/>
    <w:rsid w:val="7CE32E74"/>
    <w:rsid w:val="7CE5729A"/>
    <w:rsid w:val="7CEA057A"/>
    <w:rsid w:val="7CF96085"/>
    <w:rsid w:val="7CFC55FB"/>
    <w:rsid w:val="7D0237C0"/>
    <w:rsid w:val="7D025F9F"/>
    <w:rsid w:val="7D05037D"/>
    <w:rsid w:val="7D073CC1"/>
    <w:rsid w:val="7D0A6252"/>
    <w:rsid w:val="7D0C7F34"/>
    <w:rsid w:val="7D104E4C"/>
    <w:rsid w:val="7D153343"/>
    <w:rsid w:val="7D174053"/>
    <w:rsid w:val="7D194830"/>
    <w:rsid w:val="7D1C1377"/>
    <w:rsid w:val="7D20075D"/>
    <w:rsid w:val="7D2E7EAA"/>
    <w:rsid w:val="7D3D1757"/>
    <w:rsid w:val="7D402886"/>
    <w:rsid w:val="7D423179"/>
    <w:rsid w:val="7D43607B"/>
    <w:rsid w:val="7D4732BC"/>
    <w:rsid w:val="7D4B7561"/>
    <w:rsid w:val="7D4C6E08"/>
    <w:rsid w:val="7D55776E"/>
    <w:rsid w:val="7D5C509C"/>
    <w:rsid w:val="7D601FE7"/>
    <w:rsid w:val="7D673A7E"/>
    <w:rsid w:val="7D6829F7"/>
    <w:rsid w:val="7D695EF3"/>
    <w:rsid w:val="7D6C2789"/>
    <w:rsid w:val="7D6E361E"/>
    <w:rsid w:val="7D6F6D88"/>
    <w:rsid w:val="7D706ACF"/>
    <w:rsid w:val="7D782E08"/>
    <w:rsid w:val="7D7C3083"/>
    <w:rsid w:val="7D890155"/>
    <w:rsid w:val="7D8A6AEF"/>
    <w:rsid w:val="7D8A6EE8"/>
    <w:rsid w:val="7D8C1D91"/>
    <w:rsid w:val="7D9130D3"/>
    <w:rsid w:val="7D937D0D"/>
    <w:rsid w:val="7D947E0D"/>
    <w:rsid w:val="7DA343D2"/>
    <w:rsid w:val="7DA62C15"/>
    <w:rsid w:val="7DAE22FB"/>
    <w:rsid w:val="7DAF6695"/>
    <w:rsid w:val="7DB104D7"/>
    <w:rsid w:val="7DB51DDB"/>
    <w:rsid w:val="7DC70315"/>
    <w:rsid w:val="7DC85B97"/>
    <w:rsid w:val="7DCD40C6"/>
    <w:rsid w:val="7DD7690A"/>
    <w:rsid w:val="7DE762AB"/>
    <w:rsid w:val="7DE828C7"/>
    <w:rsid w:val="7DEE72BB"/>
    <w:rsid w:val="7DF75802"/>
    <w:rsid w:val="7DFB3177"/>
    <w:rsid w:val="7E064437"/>
    <w:rsid w:val="7E1073FF"/>
    <w:rsid w:val="7E112F83"/>
    <w:rsid w:val="7E13238A"/>
    <w:rsid w:val="7E1C2ED5"/>
    <w:rsid w:val="7E1F7718"/>
    <w:rsid w:val="7E26003B"/>
    <w:rsid w:val="7E26239D"/>
    <w:rsid w:val="7E271586"/>
    <w:rsid w:val="7E275541"/>
    <w:rsid w:val="7E2E2947"/>
    <w:rsid w:val="7E370FE0"/>
    <w:rsid w:val="7E3D3DD8"/>
    <w:rsid w:val="7E4C03C0"/>
    <w:rsid w:val="7E4E6D88"/>
    <w:rsid w:val="7E4F2AA8"/>
    <w:rsid w:val="7E500514"/>
    <w:rsid w:val="7E5703C8"/>
    <w:rsid w:val="7E600690"/>
    <w:rsid w:val="7E6752B5"/>
    <w:rsid w:val="7E685AA3"/>
    <w:rsid w:val="7E6A3C0F"/>
    <w:rsid w:val="7E7038F5"/>
    <w:rsid w:val="7E802BC2"/>
    <w:rsid w:val="7E8F0E3F"/>
    <w:rsid w:val="7E975B86"/>
    <w:rsid w:val="7E995B6B"/>
    <w:rsid w:val="7E9B12ED"/>
    <w:rsid w:val="7E9F0934"/>
    <w:rsid w:val="7EA73F63"/>
    <w:rsid w:val="7EAB3264"/>
    <w:rsid w:val="7EB63698"/>
    <w:rsid w:val="7EB807AF"/>
    <w:rsid w:val="7EB875CC"/>
    <w:rsid w:val="7EB97C47"/>
    <w:rsid w:val="7EBE750B"/>
    <w:rsid w:val="7EC17154"/>
    <w:rsid w:val="7ECA59B1"/>
    <w:rsid w:val="7ECB2049"/>
    <w:rsid w:val="7ED06D3F"/>
    <w:rsid w:val="7ED20FC0"/>
    <w:rsid w:val="7ED81315"/>
    <w:rsid w:val="7EE049A9"/>
    <w:rsid w:val="7EE17FD8"/>
    <w:rsid w:val="7EE909BD"/>
    <w:rsid w:val="7EEB5927"/>
    <w:rsid w:val="7EEC5114"/>
    <w:rsid w:val="7EF40727"/>
    <w:rsid w:val="7EF424EA"/>
    <w:rsid w:val="7EFA1064"/>
    <w:rsid w:val="7F0F5B58"/>
    <w:rsid w:val="7F1654DD"/>
    <w:rsid w:val="7F177C8B"/>
    <w:rsid w:val="7F196066"/>
    <w:rsid w:val="7F1B44D1"/>
    <w:rsid w:val="7F1E7D25"/>
    <w:rsid w:val="7F207CC7"/>
    <w:rsid w:val="7F230B1F"/>
    <w:rsid w:val="7F315C4E"/>
    <w:rsid w:val="7F405831"/>
    <w:rsid w:val="7F406673"/>
    <w:rsid w:val="7F410824"/>
    <w:rsid w:val="7F41103C"/>
    <w:rsid w:val="7F461D53"/>
    <w:rsid w:val="7F5F14F8"/>
    <w:rsid w:val="7F69039C"/>
    <w:rsid w:val="7F71407E"/>
    <w:rsid w:val="7F7359FE"/>
    <w:rsid w:val="7F741AA4"/>
    <w:rsid w:val="7F756601"/>
    <w:rsid w:val="7F76502A"/>
    <w:rsid w:val="7F782A26"/>
    <w:rsid w:val="7F786E24"/>
    <w:rsid w:val="7F8D0FC0"/>
    <w:rsid w:val="7F980D98"/>
    <w:rsid w:val="7F986534"/>
    <w:rsid w:val="7FA07363"/>
    <w:rsid w:val="7FA6039E"/>
    <w:rsid w:val="7FA61E62"/>
    <w:rsid w:val="7FA72D71"/>
    <w:rsid w:val="7FAE42A8"/>
    <w:rsid w:val="7FB10704"/>
    <w:rsid w:val="7FB57B3D"/>
    <w:rsid w:val="7FB57BAF"/>
    <w:rsid w:val="7FBD5E46"/>
    <w:rsid w:val="7FC94EA5"/>
    <w:rsid w:val="7FCB5DAB"/>
    <w:rsid w:val="7FD37116"/>
    <w:rsid w:val="7FD57715"/>
    <w:rsid w:val="7FD57782"/>
    <w:rsid w:val="7FD8234F"/>
    <w:rsid w:val="7FD94F20"/>
    <w:rsid w:val="7FDE6C66"/>
    <w:rsid w:val="7FE034A8"/>
    <w:rsid w:val="7FE2648A"/>
    <w:rsid w:val="7FEB2190"/>
    <w:rsid w:val="7FEB64C4"/>
    <w:rsid w:val="7FEB6869"/>
    <w:rsid w:val="7FF73EC0"/>
    <w:rsid w:val="7FF82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仿宋" w:hAnsi="仿宋" w:eastAsia="仿宋" w:cs="仿宋"/>
      <w:kern w:val="2"/>
      <w:sz w:val="28"/>
      <w:szCs w:val="28"/>
      <w:lang w:val="en-US" w:eastAsia="zh-CN" w:bidi="ar-SA"/>
    </w:rPr>
  </w:style>
  <w:style w:type="paragraph" w:styleId="2">
    <w:name w:val="heading 1"/>
    <w:basedOn w:val="1"/>
    <w:next w:val="1"/>
    <w:link w:val="57"/>
    <w:qFormat/>
    <w:uiPriority w:val="0"/>
    <w:pPr>
      <w:keepNext/>
      <w:keepLines/>
      <w:spacing w:before="340" w:after="330" w:line="576" w:lineRule="auto"/>
      <w:outlineLvl w:val="0"/>
    </w:pPr>
    <w:rPr>
      <w:b/>
      <w:kern w:val="44"/>
      <w:sz w:val="44"/>
    </w:rPr>
  </w:style>
  <w:style w:type="paragraph" w:styleId="3">
    <w:name w:val="heading 2"/>
    <w:basedOn w:val="1"/>
    <w:next w:val="1"/>
    <w:link w:val="58"/>
    <w:qFormat/>
    <w:uiPriority w:val="0"/>
    <w:pPr>
      <w:keepNext/>
      <w:keepLines/>
      <w:spacing w:before="260" w:after="260" w:line="413" w:lineRule="auto"/>
      <w:outlineLvl w:val="1"/>
    </w:pPr>
    <w:rPr>
      <w:rFonts w:ascii="Arial" w:hAnsi="Arial" w:eastAsia="黑体"/>
      <w:b/>
      <w:sz w:val="32"/>
    </w:rPr>
  </w:style>
  <w:style w:type="paragraph" w:styleId="4">
    <w:name w:val="heading 6"/>
    <w:basedOn w:val="1"/>
    <w:next w:val="1"/>
    <w:qFormat/>
    <w:uiPriority w:val="0"/>
    <w:pPr>
      <w:keepNext/>
      <w:keepLines/>
      <w:tabs>
        <w:tab w:val="left" w:pos="1151"/>
      </w:tabs>
      <w:spacing w:line="320" w:lineRule="auto"/>
      <w:ind w:left="1151" w:hanging="1151"/>
      <w:outlineLvl w:val="5"/>
    </w:pPr>
    <w:rPr>
      <w:rFonts w:ascii="Cambria" w:hAnsi="Cambria"/>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4"/>
    <w:unhideWhenUsed/>
    <w:qFormat/>
    <w:uiPriority w:val="99"/>
    <w:rPr>
      <w:rFonts w:ascii="宋体"/>
      <w:sz w:val="18"/>
      <w:szCs w:val="18"/>
    </w:rPr>
  </w:style>
  <w:style w:type="paragraph" w:styleId="6">
    <w:name w:val="annotation text"/>
    <w:basedOn w:val="1"/>
    <w:link w:val="53"/>
    <w:unhideWhenUsed/>
    <w:qFormat/>
    <w:uiPriority w:val="0"/>
    <w:pPr>
      <w:jc w:val="left"/>
    </w:pPr>
  </w:style>
  <w:style w:type="paragraph" w:styleId="7">
    <w:name w:val="Body Text"/>
    <w:basedOn w:val="1"/>
    <w:next w:val="1"/>
    <w:link w:val="35"/>
    <w:qFormat/>
    <w:uiPriority w:val="0"/>
    <w:rPr>
      <w:rFonts w:ascii="仿宋_GB2312" w:eastAsia="仿宋_GB2312"/>
      <w:sz w:val="30"/>
    </w:rPr>
  </w:style>
  <w:style w:type="paragraph" w:styleId="8">
    <w:name w:val="toc 3"/>
    <w:basedOn w:val="1"/>
    <w:next w:val="1"/>
    <w:semiHidden/>
    <w:unhideWhenUsed/>
    <w:qFormat/>
    <w:uiPriority w:val="39"/>
    <w:pPr>
      <w:ind w:left="840" w:leftChars="400"/>
    </w:pPr>
  </w:style>
  <w:style w:type="paragraph" w:styleId="9">
    <w:name w:val="Date"/>
    <w:basedOn w:val="1"/>
    <w:next w:val="1"/>
    <w:link w:val="59"/>
    <w:qFormat/>
    <w:uiPriority w:val="0"/>
    <w:pPr>
      <w:ind w:left="100" w:leftChars="2500"/>
    </w:pPr>
  </w:style>
  <w:style w:type="paragraph" w:styleId="10">
    <w:name w:val="Balloon Text"/>
    <w:basedOn w:val="1"/>
    <w:link w:val="32"/>
    <w:unhideWhenUsed/>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sz w:val="18"/>
      <w:szCs w:val="18"/>
    </w:rPr>
  </w:style>
  <w:style w:type="paragraph" w:styleId="12">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99"/>
    <w:pPr>
      <w:spacing w:after="100" w:line="276" w:lineRule="auto"/>
      <w:jc w:val="left"/>
    </w:pPr>
    <w:rPr>
      <w:kern w:val="0"/>
      <w:sz w:val="22"/>
    </w:rPr>
  </w:style>
  <w:style w:type="paragraph" w:styleId="14">
    <w:name w:val="footnote text"/>
    <w:basedOn w:val="1"/>
    <w:semiHidden/>
    <w:unhideWhenUsed/>
    <w:qFormat/>
    <w:uiPriority w:val="99"/>
    <w:pPr>
      <w:snapToGrid w:val="0"/>
      <w:jc w:val="left"/>
    </w:pPr>
    <w:rPr>
      <w:sz w:val="18"/>
    </w:rPr>
  </w:style>
  <w:style w:type="paragraph" w:styleId="15">
    <w:name w:val="Body Text Indent 3"/>
    <w:basedOn w:val="1"/>
    <w:unhideWhenUsed/>
    <w:qFormat/>
    <w:uiPriority w:val="99"/>
    <w:pPr>
      <w:spacing w:after="120"/>
      <w:ind w:left="420" w:leftChars="200"/>
    </w:pPr>
    <w:rPr>
      <w:sz w:val="16"/>
    </w:rPr>
  </w:style>
  <w:style w:type="paragraph" w:styleId="16">
    <w:name w:val="toc 2"/>
    <w:basedOn w:val="1"/>
    <w:next w:val="1"/>
    <w:qFormat/>
    <w:uiPriority w:val="99"/>
    <w:pPr>
      <w:spacing w:after="100" w:line="276" w:lineRule="auto"/>
      <w:ind w:left="220"/>
      <w:jc w:val="left"/>
    </w:pPr>
    <w:rPr>
      <w:kern w:val="0"/>
      <w:sz w:val="22"/>
    </w:rPr>
  </w:style>
  <w:style w:type="paragraph" w:styleId="17">
    <w:name w:val="Normal (Web)"/>
    <w:basedOn w:val="1"/>
    <w:qFormat/>
    <w:uiPriority w:val="99"/>
    <w:pPr>
      <w:widowControl w:val="0"/>
    </w:pPr>
    <w:rPr>
      <w:rFonts w:ascii="Calibri" w:hAnsi="Calibri" w:eastAsia="宋体" w:cs="Times New Roman"/>
      <w:sz w:val="24"/>
      <w:szCs w:val="24"/>
    </w:rPr>
  </w:style>
  <w:style w:type="paragraph" w:styleId="18">
    <w:name w:val="annotation subject"/>
    <w:basedOn w:val="6"/>
    <w:next w:val="6"/>
    <w:link w:val="54"/>
    <w:semiHidden/>
    <w:unhideWhenUsed/>
    <w:qFormat/>
    <w:uiPriority w:val="99"/>
    <w:rPr>
      <w:b/>
      <w:bCs/>
    </w:rPr>
  </w:style>
  <w:style w:type="table" w:styleId="20">
    <w:name w:val="Table Grid"/>
    <w:basedOn w:val="19"/>
    <w:qFormat/>
    <w:uiPriority w:val="0"/>
    <w:rPr>
      <w:rFonts w:ascii="Calibri" w:hAnsi="Calibri"/>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page number"/>
    <w:basedOn w:val="21"/>
    <w:qFormat/>
    <w:uiPriority w:val="0"/>
  </w:style>
  <w:style w:type="character" w:styleId="23">
    <w:name w:val="Emphasis"/>
    <w:basedOn w:val="21"/>
    <w:qFormat/>
    <w:uiPriority w:val="20"/>
    <w:rPr>
      <w:rFonts w:ascii="微软雅黑" w:hAnsi="微软雅黑" w:eastAsia="微软雅黑" w:cs="微软雅黑"/>
      <w:sz w:val="24"/>
      <w:szCs w:val="24"/>
      <w:vertAlign w:val="baseline"/>
    </w:rPr>
  </w:style>
  <w:style w:type="character" w:styleId="24">
    <w:name w:val="Hyperlink"/>
    <w:basedOn w:val="21"/>
    <w:unhideWhenUsed/>
    <w:qFormat/>
    <w:uiPriority w:val="99"/>
    <w:rPr>
      <w:color w:val="000000"/>
      <w:u w:val="none"/>
    </w:rPr>
  </w:style>
  <w:style w:type="character" w:styleId="25">
    <w:name w:val="annotation reference"/>
    <w:basedOn w:val="21"/>
    <w:semiHidden/>
    <w:unhideWhenUsed/>
    <w:qFormat/>
    <w:uiPriority w:val="99"/>
    <w:rPr>
      <w:sz w:val="21"/>
      <w:szCs w:val="21"/>
    </w:rPr>
  </w:style>
  <w:style w:type="character" w:styleId="26">
    <w:name w:val="footnote reference"/>
    <w:basedOn w:val="21"/>
    <w:semiHidden/>
    <w:unhideWhenUsed/>
    <w:qFormat/>
    <w:uiPriority w:val="99"/>
    <w:rPr>
      <w:vertAlign w:val="superscript"/>
    </w:rPr>
  </w:style>
  <w:style w:type="paragraph" w:customStyle="1" w:styleId="27">
    <w:name w:val="Heading3"/>
    <w:basedOn w:val="1"/>
    <w:next w:val="1"/>
    <w:qFormat/>
    <w:uiPriority w:val="0"/>
    <w:pPr>
      <w:keepNext/>
      <w:keepLines/>
      <w:spacing w:before="260" w:after="260" w:line="416" w:lineRule="auto"/>
      <w:textAlignment w:val="baseline"/>
    </w:pPr>
    <w:rPr>
      <w:rFonts w:ascii="Calibri" w:hAnsi="Calibri"/>
      <w:b/>
      <w:bCs/>
      <w:sz w:val="32"/>
      <w:szCs w:val="32"/>
    </w:rPr>
  </w:style>
  <w:style w:type="paragraph" w:customStyle="1" w:styleId="28">
    <w:name w:val="正文首行缩进1"/>
    <w:basedOn w:val="1"/>
    <w:qFormat/>
    <w:uiPriority w:val="0"/>
    <w:pPr>
      <w:spacing w:after="120"/>
      <w:ind w:firstLine="100" w:firstLineChars="100"/>
    </w:pPr>
  </w:style>
  <w:style w:type="paragraph" w:customStyle="1" w:styleId="29">
    <w:name w:val="Char"/>
    <w:basedOn w:val="1"/>
    <w:qFormat/>
    <w:uiPriority w:val="0"/>
  </w:style>
  <w:style w:type="character" w:customStyle="1" w:styleId="30">
    <w:name w:val="页脚 字符"/>
    <w:basedOn w:val="21"/>
    <w:link w:val="11"/>
    <w:qFormat/>
    <w:uiPriority w:val="99"/>
    <w:rPr>
      <w:kern w:val="2"/>
      <w:sz w:val="18"/>
      <w:szCs w:val="18"/>
    </w:rPr>
  </w:style>
  <w:style w:type="paragraph" w:customStyle="1" w:styleId="31">
    <w:name w:val="列表段落1"/>
    <w:basedOn w:val="1"/>
    <w:qFormat/>
    <w:uiPriority w:val="34"/>
    <w:pPr>
      <w:ind w:firstLine="420" w:firstLineChars="200"/>
    </w:pPr>
  </w:style>
  <w:style w:type="character" w:customStyle="1" w:styleId="32">
    <w:name w:val="批注框文本 字符"/>
    <w:basedOn w:val="21"/>
    <w:link w:val="10"/>
    <w:qFormat/>
    <w:uiPriority w:val="99"/>
    <w:rPr>
      <w:kern w:val="2"/>
      <w:sz w:val="18"/>
      <w:szCs w:val="18"/>
    </w:rPr>
  </w:style>
  <w:style w:type="character" w:customStyle="1" w:styleId="33">
    <w:name w:val="占位符文本1"/>
    <w:basedOn w:val="21"/>
    <w:semiHidden/>
    <w:qFormat/>
    <w:uiPriority w:val="99"/>
    <w:rPr>
      <w:color w:val="808080"/>
    </w:rPr>
  </w:style>
  <w:style w:type="character" w:customStyle="1" w:styleId="34">
    <w:name w:val="文档结构图 字符"/>
    <w:basedOn w:val="21"/>
    <w:link w:val="5"/>
    <w:qFormat/>
    <w:uiPriority w:val="99"/>
    <w:rPr>
      <w:rFonts w:ascii="宋体"/>
      <w:kern w:val="2"/>
      <w:sz w:val="18"/>
      <w:szCs w:val="18"/>
    </w:rPr>
  </w:style>
  <w:style w:type="character" w:customStyle="1" w:styleId="35">
    <w:name w:val="正文文本 字符"/>
    <w:basedOn w:val="21"/>
    <w:link w:val="7"/>
    <w:qFormat/>
    <w:uiPriority w:val="0"/>
    <w:rPr>
      <w:rFonts w:ascii="仿宋_GB2312" w:eastAsia="仿宋_GB2312"/>
      <w:kern w:val="2"/>
      <w:sz w:val="30"/>
      <w:szCs w:val="24"/>
    </w:rPr>
  </w:style>
  <w:style w:type="character" w:customStyle="1" w:styleId="36">
    <w:name w:val="页眉 字符"/>
    <w:basedOn w:val="21"/>
    <w:link w:val="12"/>
    <w:qFormat/>
    <w:uiPriority w:val="0"/>
    <w:rPr>
      <w:kern w:val="2"/>
      <w:sz w:val="18"/>
      <w:szCs w:val="18"/>
    </w:rPr>
  </w:style>
  <w:style w:type="paragraph" w:customStyle="1" w:styleId="37">
    <w:name w:val="p0"/>
    <w:basedOn w:val="1"/>
    <w:qFormat/>
    <w:uiPriority w:val="0"/>
    <w:pPr>
      <w:snapToGrid w:val="0"/>
      <w:spacing w:before="120" w:line="360" w:lineRule="auto"/>
      <w:ind w:firstLine="425"/>
      <w:jc w:val="left"/>
    </w:pPr>
    <w:rPr>
      <w:rFonts w:ascii="宋体" w:hAnsi="宋体" w:cs="宋体"/>
      <w:kern w:val="0"/>
      <w:sz w:val="24"/>
    </w:rPr>
  </w:style>
  <w:style w:type="paragraph" w:customStyle="1" w:styleId="38">
    <w:name w:val="WPSOffice手动目录 1"/>
    <w:qFormat/>
    <w:uiPriority w:val="0"/>
    <w:pPr>
      <w:jc w:val="both"/>
    </w:pPr>
    <w:rPr>
      <w:rFonts w:ascii="Times New Roman" w:hAnsi="Times New Roman" w:eastAsia="宋体" w:cs="Times New Roman"/>
      <w:kern w:val="2"/>
      <w:lang w:val="en-US" w:eastAsia="zh-CN" w:bidi="ar-SA"/>
    </w:rPr>
  </w:style>
  <w:style w:type="paragraph" w:customStyle="1" w:styleId="39">
    <w:name w:val="WPSOffice手动目录 2"/>
    <w:qFormat/>
    <w:uiPriority w:val="0"/>
    <w:pPr>
      <w:ind w:left="200" w:leftChars="200"/>
      <w:jc w:val="both"/>
    </w:pPr>
    <w:rPr>
      <w:rFonts w:ascii="Times New Roman" w:hAnsi="Times New Roman" w:eastAsia="宋体" w:cs="Times New Roman"/>
      <w:kern w:val="2"/>
      <w:lang w:val="en-US" w:eastAsia="zh-CN" w:bidi="ar-SA"/>
    </w:rPr>
  </w:style>
  <w:style w:type="character" w:customStyle="1" w:styleId="40">
    <w:name w:val="font41"/>
    <w:basedOn w:val="21"/>
    <w:qFormat/>
    <w:uiPriority w:val="0"/>
    <w:rPr>
      <w:rFonts w:hint="eastAsia" w:ascii="仿宋" w:hAnsi="仿宋" w:eastAsia="仿宋" w:cs="仿宋"/>
      <w:color w:val="000000"/>
      <w:sz w:val="18"/>
      <w:szCs w:val="18"/>
      <w:u w:val="none"/>
    </w:rPr>
  </w:style>
  <w:style w:type="character" w:customStyle="1" w:styleId="41">
    <w:name w:val="font81"/>
    <w:basedOn w:val="21"/>
    <w:qFormat/>
    <w:uiPriority w:val="0"/>
    <w:rPr>
      <w:rFonts w:hint="eastAsia" w:ascii="仿宋" w:hAnsi="仿宋" w:eastAsia="仿宋" w:cs="仿宋"/>
      <w:color w:val="000000"/>
      <w:sz w:val="20"/>
      <w:szCs w:val="20"/>
      <w:u w:val="none"/>
    </w:rPr>
  </w:style>
  <w:style w:type="character" w:customStyle="1" w:styleId="42">
    <w:name w:val="font71"/>
    <w:basedOn w:val="21"/>
    <w:qFormat/>
    <w:uiPriority w:val="0"/>
    <w:rPr>
      <w:rFonts w:hint="eastAsia" w:ascii="仿宋" w:hAnsi="仿宋" w:eastAsia="仿宋" w:cs="仿宋"/>
      <w:color w:val="000000"/>
      <w:sz w:val="20"/>
      <w:szCs w:val="20"/>
      <w:u w:val="none"/>
    </w:rPr>
  </w:style>
  <w:style w:type="character" w:customStyle="1" w:styleId="43">
    <w:name w:val="font91"/>
    <w:basedOn w:val="21"/>
    <w:qFormat/>
    <w:uiPriority w:val="0"/>
    <w:rPr>
      <w:rFonts w:hint="eastAsia" w:ascii="仿宋" w:hAnsi="仿宋" w:eastAsia="仿宋" w:cs="仿宋"/>
      <w:color w:val="000000"/>
      <w:sz w:val="18"/>
      <w:szCs w:val="18"/>
      <w:u w:val="none"/>
    </w:rPr>
  </w:style>
  <w:style w:type="character" w:customStyle="1" w:styleId="44">
    <w:name w:val="font01"/>
    <w:basedOn w:val="21"/>
    <w:qFormat/>
    <w:uiPriority w:val="0"/>
    <w:rPr>
      <w:rFonts w:hint="eastAsia" w:ascii="仿宋" w:hAnsi="仿宋" w:eastAsia="仿宋" w:cs="仿宋"/>
      <w:color w:val="000000"/>
      <w:sz w:val="18"/>
      <w:szCs w:val="18"/>
      <w:u w:val="none"/>
    </w:rPr>
  </w:style>
  <w:style w:type="character" w:customStyle="1" w:styleId="45">
    <w:name w:val="font61"/>
    <w:basedOn w:val="21"/>
    <w:qFormat/>
    <w:uiPriority w:val="0"/>
    <w:rPr>
      <w:rFonts w:hint="eastAsia" w:ascii="仿宋" w:hAnsi="仿宋" w:eastAsia="仿宋" w:cs="仿宋"/>
      <w:color w:val="000000"/>
      <w:sz w:val="20"/>
      <w:szCs w:val="20"/>
      <w:u w:val="none"/>
    </w:rPr>
  </w:style>
  <w:style w:type="character" w:customStyle="1" w:styleId="46">
    <w:name w:val="font112"/>
    <w:basedOn w:val="21"/>
    <w:qFormat/>
    <w:uiPriority w:val="0"/>
    <w:rPr>
      <w:rFonts w:hint="eastAsia" w:ascii="仿宋" w:hAnsi="仿宋" w:eastAsia="仿宋" w:cs="仿宋"/>
      <w:color w:val="000000"/>
      <w:sz w:val="18"/>
      <w:szCs w:val="18"/>
      <w:u w:val="none"/>
    </w:rPr>
  </w:style>
  <w:style w:type="character" w:customStyle="1" w:styleId="47">
    <w:name w:val="font12"/>
    <w:basedOn w:val="21"/>
    <w:qFormat/>
    <w:uiPriority w:val="0"/>
    <w:rPr>
      <w:rFonts w:hint="eastAsia" w:ascii="仿宋" w:hAnsi="仿宋" w:eastAsia="仿宋" w:cs="仿宋"/>
      <w:color w:val="000000"/>
      <w:sz w:val="20"/>
      <w:szCs w:val="20"/>
      <w:u w:val="none"/>
    </w:rPr>
  </w:style>
  <w:style w:type="character" w:customStyle="1" w:styleId="48">
    <w:name w:val="font31"/>
    <w:basedOn w:val="21"/>
    <w:qFormat/>
    <w:uiPriority w:val="0"/>
    <w:rPr>
      <w:rFonts w:hint="eastAsia" w:ascii="仿宋" w:hAnsi="仿宋" w:eastAsia="仿宋" w:cs="仿宋"/>
      <w:color w:val="000000"/>
      <w:sz w:val="20"/>
      <w:szCs w:val="20"/>
      <w:u w:val="none"/>
    </w:rPr>
  </w:style>
  <w:style w:type="character" w:customStyle="1" w:styleId="49">
    <w:name w:val="font122"/>
    <w:basedOn w:val="21"/>
    <w:qFormat/>
    <w:uiPriority w:val="0"/>
    <w:rPr>
      <w:rFonts w:hint="eastAsia" w:ascii="仿宋" w:hAnsi="仿宋" w:eastAsia="仿宋" w:cs="仿宋"/>
      <w:color w:val="000000"/>
      <w:sz w:val="18"/>
      <w:szCs w:val="18"/>
      <w:u w:val="none"/>
    </w:rPr>
  </w:style>
  <w:style w:type="character" w:customStyle="1" w:styleId="50">
    <w:name w:val="font13"/>
    <w:basedOn w:val="21"/>
    <w:qFormat/>
    <w:uiPriority w:val="0"/>
    <w:rPr>
      <w:rFonts w:hint="eastAsia" w:ascii="仿宋" w:hAnsi="仿宋" w:eastAsia="仿宋" w:cs="仿宋"/>
      <w:color w:val="000000"/>
      <w:sz w:val="20"/>
      <w:szCs w:val="20"/>
      <w:u w:val="none"/>
    </w:rPr>
  </w:style>
  <w:style w:type="character" w:customStyle="1" w:styleId="51">
    <w:name w:val="font121"/>
    <w:basedOn w:val="21"/>
    <w:qFormat/>
    <w:uiPriority w:val="0"/>
    <w:rPr>
      <w:rFonts w:hint="eastAsia" w:ascii="仿宋" w:hAnsi="仿宋" w:eastAsia="仿宋" w:cs="仿宋"/>
      <w:color w:val="000000"/>
      <w:sz w:val="18"/>
      <w:szCs w:val="18"/>
      <w:u w:val="none"/>
    </w:rPr>
  </w:style>
  <w:style w:type="character" w:customStyle="1" w:styleId="52">
    <w:name w:val="font21"/>
    <w:basedOn w:val="21"/>
    <w:qFormat/>
    <w:uiPriority w:val="0"/>
    <w:rPr>
      <w:rFonts w:hint="eastAsia" w:ascii="仿宋" w:hAnsi="仿宋" w:eastAsia="仿宋" w:cs="仿宋"/>
      <w:color w:val="000000"/>
      <w:sz w:val="20"/>
      <w:szCs w:val="20"/>
      <w:u w:val="none"/>
    </w:rPr>
  </w:style>
  <w:style w:type="character" w:customStyle="1" w:styleId="53">
    <w:name w:val="批注文字 字符"/>
    <w:basedOn w:val="21"/>
    <w:link w:val="6"/>
    <w:qFormat/>
    <w:uiPriority w:val="0"/>
    <w:rPr>
      <w:rFonts w:ascii="Times New Roman" w:hAnsi="Times New Roman" w:eastAsia="宋体" w:cs="Times New Roman"/>
      <w:kern w:val="2"/>
      <w:sz w:val="21"/>
      <w:szCs w:val="24"/>
    </w:rPr>
  </w:style>
  <w:style w:type="character" w:customStyle="1" w:styleId="54">
    <w:name w:val="批注主题 字符"/>
    <w:basedOn w:val="53"/>
    <w:link w:val="18"/>
    <w:semiHidden/>
    <w:qFormat/>
    <w:uiPriority w:val="99"/>
    <w:rPr>
      <w:rFonts w:ascii="Times New Roman" w:hAnsi="Times New Roman" w:eastAsia="宋体" w:cs="Times New Roman"/>
      <w:b/>
      <w:bCs/>
      <w:kern w:val="2"/>
      <w:sz w:val="21"/>
      <w:szCs w:val="24"/>
    </w:rPr>
  </w:style>
  <w:style w:type="table" w:customStyle="1" w:styleId="55">
    <w:name w:val="网格型1"/>
    <w:basedOn w:val="19"/>
    <w:qFormat/>
    <w:uiPriority w:val="0"/>
    <w:rPr>
      <w:rFonts w:ascii="Calibri" w:hAnsi="Calibri"/>
      <w:bCs/>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6">
    <w:name w:val="WPSOffice手动目录 3"/>
    <w:qFormat/>
    <w:uiPriority w:val="0"/>
    <w:pPr>
      <w:ind w:left="400" w:leftChars="400"/>
    </w:pPr>
    <w:rPr>
      <w:rFonts w:ascii="仿宋" w:hAnsi="仿宋" w:eastAsia="仿宋" w:cs="仿宋"/>
      <w:lang w:val="en-US" w:eastAsia="zh-CN" w:bidi="ar-SA"/>
    </w:rPr>
  </w:style>
  <w:style w:type="character" w:customStyle="1" w:styleId="57">
    <w:name w:val="标题 1 字符"/>
    <w:basedOn w:val="21"/>
    <w:link w:val="2"/>
    <w:qFormat/>
    <w:uiPriority w:val="0"/>
    <w:rPr>
      <w:b/>
      <w:kern w:val="44"/>
      <w:sz w:val="44"/>
      <w:szCs w:val="28"/>
    </w:rPr>
  </w:style>
  <w:style w:type="character" w:customStyle="1" w:styleId="58">
    <w:name w:val="标题 2 字符"/>
    <w:basedOn w:val="21"/>
    <w:link w:val="3"/>
    <w:qFormat/>
    <w:uiPriority w:val="0"/>
    <w:rPr>
      <w:rFonts w:ascii="Arial" w:hAnsi="Arial" w:eastAsia="黑体"/>
      <w:b/>
      <w:kern w:val="2"/>
      <w:sz w:val="32"/>
      <w:szCs w:val="28"/>
    </w:rPr>
  </w:style>
  <w:style w:type="character" w:customStyle="1" w:styleId="59">
    <w:name w:val="日期 字符"/>
    <w:basedOn w:val="21"/>
    <w:link w:val="9"/>
    <w:qFormat/>
    <w:uiPriority w:val="0"/>
    <w:rPr>
      <w:kern w:val="2"/>
      <w:sz w:val="28"/>
      <w:szCs w:val="28"/>
    </w:rPr>
  </w:style>
  <w:style w:type="character" w:customStyle="1" w:styleId="60">
    <w:name w:val="批注主题 字符1"/>
    <w:basedOn w:val="53"/>
    <w:semiHidden/>
    <w:qFormat/>
    <w:uiPriority w:val="99"/>
    <w:rPr>
      <w:rFonts w:ascii="Times New Roman" w:hAnsi="Times New Roman" w:eastAsia="宋体" w:cs="Times New Roman"/>
      <w:b/>
      <w:kern w:val="2"/>
      <w:sz w:val="21"/>
      <w:szCs w:val="24"/>
    </w:rPr>
  </w:style>
  <w:style w:type="paragraph" w:customStyle="1" w:styleId="61">
    <w:name w:val="列出段落1"/>
    <w:basedOn w:val="1"/>
    <w:qFormat/>
    <w:uiPriority w:val="34"/>
    <w:pPr>
      <w:widowControl w:val="0"/>
      <w:ind w:firstLine="420" w:firstLineChars="200"/>
    </w:pPr>
    <w:rPr>
      <w:rFonts w:ascii="Times New Roman" w:hAnsi="Times New Roman" w:eastAsia="宋体" w:cs="Times New Roman"/>
      <w:sz w:val="21"/>
      <w:szCs w:val="24"/>
    </w:rPr>
  </w:style>
  <w:style w:type="character" w:customStyle="1" w:styleId="62">
    <w:name w:val="hover19"/>
    <w:basedOn w:val="21"/>
    <w:qFormat/>
    <w:uiPriority w:val="0"/>
    <w:rPr>
      <w:color w:val="FF6600"/>
    </w:rPr>
  </w:style>
  <w:style w:type="paragraph" w:customStyle="1" w:styleId="63">
    <w:name w:val="闻政-正文段落文字"/>
    <w:basedOn w:val="1"/>
    <w:qFormat/>
    <w:uiPriority w:val="0"/>
    <w:pPr>
      <w:widowControl w:val="0"/>
      <w:spacing w:line="500" w:lineRule="exact"/>
      <w:ind w:firstLine="200" w:firstLineChars="200"/>
    </w:pPr>
    <w:rPr>
      <w:rFonts w:ascii="Times New Roman" w:hAnsi="Times New Roman" w:eastAsia="仿宋_GB2312" w:cs="Times New Roman"/>
      <w:kern w:val="0"/>
    </w:rPr>
  </w:style>
  <w:style w:type="paragraph" w:customStyle="1" w:styleId="64">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 w:type="character" w:customStyle="1" w:styleId="65">
    <w:name w:val="未处理的提及1"/>
    <w:basedOn w:val="21"/>
    <w:semiHidden/>
    <w:unhideWhenUsed/>
    <w:qFormat/>
    <w:uiPriority w:val="99"/>
    <w:rPr>
      <w:color w:val="605E5C"/>
      <w:shd w:val="clear" w:color="auto" w:fill="E1DFDD"/>
    </w:rPr>
  </w:style>
  <w:style w:type="character" w:customStyle="1" w:styleId="66">
    <w:name w:val="未处理的提及2"/>
    <w:basedOn w:val="21"/>
    <w:semiHidden/>
    <w:unhideWhenUsed/>
    <w:qFormat/>
    <w:uiPriority w:val="99"/>
    <w:rPr>
      <w:color w:val="605E5C"/>
      <w:shd w:val="clear" w:color="auto" w:fill="E1DFDD"/>
    </w:rPr>
  </w:style>
  <w:style w:type="character" w:customStyle="1" w:styleId="67">
    <w:name w:val="未处理的提及3"/>
    <w:basedOn w:val="21"/>
    <w:semiHidden/>
    <w:unhideWhenUsed/>
    <w:qFormat/>
    <w:uiPriority w:val="99"/>
    <w:rPr>
      <w:color w:val="605E5C"/>
      <w:shd w:val="clear" w:color="auto" w:fill="E1DFDD"/>
    </w:rPr>
  </w:style>
  <w:style w:type="character" w:customStyle="1" w:styleId="68">
    <w:name w:val="font11"/>
    <w:basedOn w:val="21"/>
    <w:qFormat/>
    <w:uiPriority w:val="0"/>
    <w:rPr>
      <w:rFonts w:hint="eastAsia" w:ascii="仿宋" w:hAnsi="仿宋" w:eastAsia="仿宋"/>
      <w:b/>
      <w:bCs/>
      <w:color w:val="000000"/>
      <w:sz w:val="21"/>
      <w:szCs w:val="21"/>
      <w:u w:val="none"/>
    </w:rPr>
  </w:style>
  <w:style w:type="paragraph" w:customStyle="1" w:styleId="69">
    <w:name w:val="无间隔1"/>
    <w:qFormat/>
    <w:uiPriority w:val="1"/>
    <w:pPr>
      <w:widowControl w:val="0"/>
      <w:jc w:val="both"/>
    </w:pPr>
    <w:rPr>
      <w:rFonts w:ascii="Calibri" w:hAnsi="Calibri" w:eastAsia="宋体" w:cs="Times New Roman"/>
      <w:kern w:val="2"/>
      <w:sz w:val="21"/>
      <w:szCs w:val="22"/>
      <w:lang w:val="en-US" w:eastAsia="zh-CN" w:bidi="ar-SA"/>
    </w:rPr>
  </w:style>
  <w:style w:type="paragraph" w:styleId="70">
    <w:name w:val="List Paragraph"/>
    <w:basedOn w:val="1"/>
    <w:qFormat/>
    <w:uiPriority w:val="99"/>
    <w:pPr>
      <w:ind w:firstLine="420" w:firstLineChars="200"/>
    </w:pPr>
  </w:style>
  <w:style w:type="paragraph" w:customStyle="1" w:styleId="71">
    <w:name w:val="闻政标题5"/>
    <w:basedOn w:val="1"/>
    <w:qFormat/>
    <w:uiPriority w:val="0"/>
    <w:pPr>
      <w:spacing w:before="120" w:after="60" w:line="500" w:lineRule="exact"/>
      <w:ind w:firstLine="200" w:firstLineChars="200"/>
    </w:pPr>
    <w:rPr>
      <w:rFonts w:ascii="Times New Roman" w:hAnsi="Times New Roman" w:eastAsia="仿宋_GB2312"/>
      <w:b/>
      <w:kern w:val="0"/>
    </w:rPr>
  </w:style>
  <w:style w:type="paragraph" w:customStyle="1" w:styleId="72">
    <w:name w:val="闻政表"/>
    <w:basedOn w:val="1"/>
    <w:qFormat/>
    <w:uiPriority w:val="0"/>
    <w:pPr>
      <w:spacing w:before="60" w:after="60"/>
      <w:jc w:val="center"/>
    </w:pPr>
    <w:rPr>
      <w:rFonts w:ascii="Times New Roman" w:hAnsi="Times New Roman" w:eastAsia="仿宋_GB2312"/>
      <w:b/>
      <w:kern w:val="0"/>
      <w:sz w:val="24"/>
    </w:rPr>
  </w:style>
  <w:style w:type="paragraph" w:customStyle="1" w:styleId="73">
    <w:name w:val="附件 正文"/>
    <w:basedOn w:val="1"/>
    <w:qFormat/>
    <w:uiPriority w:val="0"/>
    <w:pPr>
      <w:adjustRightInd w:val="0"/>
      <w:snapToGrid w:val="0"/>
      <w:spacing w:afterLines="50" w:line="360" w:lineRule="auto"/>
      <w:ind w:firstLine="200" w:firstLineChars="200"/>
      <w:jc w:val="left"/>
    </w:pPr>
    <w:rPr>
      <w:rFonts w:ascii="Tahoma" w:hAnsi="Tahoma"/>
      <w:kern w:val="0"/>
      <w:sz w:val="32"/>
    </w:rPr>
  </w:style>
  <w:style w:type="character" w:customStyle="1" w:styleId="74">
    <w:name w:val="font51"/>
    <w:basedOn w:val="21"/>
    <w:qFormat/>
    <w:uiPriority w:val="0"/>
    <w:rPr>
      <w:rFonts w:hint="default" w:ascii="Arial Narrow" w:hAnsi="Arial Narrow" w:eastAsia="Arial Narrow" w:cs="Arial Narrow"/>
      <w:color w:val="000000"/>
      <w:sz w:val="20"/>
      <w:szCs w:val="20"/>
      <w:u w:val="none"/>
    </w:rPr>
  </w:style>
  <w:style w:type="paragraph" w:customStyle="1" w:styleId="75">
    <w:name w:val="正文文本首行缩进 21"/>
    <w:basedOn w:val="76"/>
    <w:qFormat/>
    <w:uiPriority w:val="0"/>
    <w:pPr>
      <w:spacing w:after="0"/>
      <w:ind w:firstLine="420" w:firstLineChars="200"/>
    </w:pPr>
    <w:rPr>
      <w:rFonts w:cs="宋体"/>
    </w:rPr>
  </w:style>
  <w:style w:type="paragraph" w:customStyle="1" w:styleId="76">
    <w:name w:val="正文文本缩进1"/>
    <w:basedOn w:val="1"/>
    <w:qFormat/>
    <w:uiPriority w:val="0"/>
    <w:pPr>
      <w:spacing w:after="120"/>
      <w:ind w:left="420" w:leftChars="200"/>
    </w:pPr>
  </w:style>
  <w:style w:type="paragraph" w:customStyle="1" w:styleId="77">
    <w:name w:val="列出段落3"/>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6.jpeg"/><Relationship Id="rId6" Type="http://schemas.openxmlformats.org/officeDocument/2006/relationships/footer" Target="footer3.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068D8D-021A-4E80-A53F-B11F7BF4D94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75</Pages>
  <Words>32195</Words>
  <Characters>36775</Characters>
  <Lines>290</Lines>
  <Paragraphs>81</Paragraphs>
  <TotalTime>2</TotalTime>
  <ScaleCrop>false</ScaleCrop>
  <LinksUpToDate>false</LinksUpToDate>
  <CharactersWithSpaces>37198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2014-11-24T00:28:00Z</dcterms:created>
  <dc:creator>xue</dc:creator>
  <cp:lastModifiedBy>蓉</cp:lastModifiedBy>
  <cp:lastPrinted>2022-11-17T00:09:00Z</cp:lastPrinted>
  <dcterms:modified xsi:type="dcterms:W3CDTF">2022-11-18T02:05:38Z</dcterms:modified>
  <dc:title>山西省2010-2012年电力需求侧管理项目</dc:title>
  <cp:revision>9161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19C1B533BEB94922AB77EAFC1C0A6F80</vt:lpwstr>
  </property>
</Properties>
</file>