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rPr>
          <w:rFonts w:ascii="仿宋" w:hAnsi="仿宋" w:eastAsia="仿宋" w:cs="仿宋"/>
          <w:bCs/>
          <w:sz w:val="30"/>
          <w:szCs w:val="30"/>
        </w:rPr>
      </w:pPr>
    </w:p>
    <w:p>
      <w:pPr>
        <w:pStyle w:val="2"/>
        <w:rPr>
          <w:rFonts w:eastAsia="仿宋"/>
        </w:rPr>
      </w:pPr>
    </w:p>
    <w:p>
      <w:pPr>
        <w:autoSpaceDE w:val="0"/>
        <w:autoSpaceDN w:val="0"/>
        <w:spacing w:line="360" w:lineRule="auto"/>
        <w:jc w:val="center"/>
        <w:rPr>
          <w:rFonts w:hint="eastAsia" w:ascii="黑体" w:hAnsi="黑体" w:eastAsia="黑体" w:cs="黑体"/>
          <w:b/>
          <w:sz w:val="32"/>
          <w:szCs w:val="32"/>
        </w:rPr>
      </w:pPr>
      <w:r>
        <w:rPr>
          <w:rFonts w:hint="eastAsia" w:ascii="黑体" w:hAnsi="黑体" w:eastAsia="黑体" w:cs="黑体"/>
          <w:b/>
          <w:sz w:val="32"/>
          <w:szCs w:val="32"/>
        </w:rPr>
        <w:t>2021年</w:t>
      </w:r>
      <w:r>
        <w:rPr>
          <w:rFonts w:hint="eastAsia" w:ascii="黑体" w:hAnsi="黑体" w:eastAsia="黑体" w:cs="黑体"/>
          <w:b/>
          <w:sz w:val="32"/>
          <w:szCs w:val="32"/>
          <w:lang w:val="en-US" w:eastAsia="zh-CN"/>
        </w:rPr>
        <w:t>市级</w:t>
      </w:r>
      <w:r>
        <w:rPr>
          <w:rFonts w:hint="eastAsia" w:ascii="黑体" w:hAnsi="黑体" w:eastAsia="黑体" w:cs="黑体"/>
          <w:b/>
          <w:sz w:val="32"/>
          <w:szCs w:val="32"/>
        </w:rPr>
        <w:t>粮油储备保管费、轮换费资金项目</w:t>
      </w:r>
    </w:p>
    <w:p>
      <w:pPr>
        <w:autoSpaceDE w:val="0"/>
        <w:autoSpaceDN w:val="0"/>
        <w:spacing w:line="360" w:lineRule="auto"/>
        <w:jc w:val="center"/>
        <w:rPr>
          <w:rFonts w:hint="eastAsia" w:ascii="黑体" w:hAnsi="黑体" w:eastAsia="黑体" w:cs="黑体"/>
          <w:b/>
          <w:sz w:val="32"/>
          <w:szCs w:val="32"/>
        </w:rPr>
      </w:pPr>
      <w:r>
        <w:rPr>
          <w:rFonts w:hint="eastAsia" w:ascii="黑体" w:hAnsi="黑体" w:eastAsia="黑体" w:cs="黑体"/>
          <w:b/>
          <w:sz w:val="32"/>
          <w:szCs w:val="32"/>
        </w:rPr>
        <w:t>绩效评价报告</w:t>
      </w:r>
    </w:p>
    <w:p>
      <w:pPr>
        <w:autoSpaceDE w:val="0"/>
        <w:autoSpaceDN w:val="0"/>
        <w:spacing w:line="360" w:lineRule="auto"/>
        <w:jc w:val="center"/>
        <w:rPr>
          <w:rFonts w:ascii="仿宋" w:hAnsi="仿宋" w:eastAsia="仿宋" w:cs="仿宋"/>
          <w:b/>
          <w:bCs/>
          <w:sz w:val="36"/>
          <w:szCs w:val="36"/>
        </w:rPr>
      </w:pPr>
    </w:p>
    <w:p>
      <w:pPr>
        <w:autoSpaceDE w:val="0"/>
        <w:autoSpaceDN w:val="0"/>
        <w:adjustRightInd w:val="0"/>
        <w:spacing w:after="312" w:afterLines="100" w:line="360" w:lineRule="auto"/>
        <w:jc w:val="center"/>
        <w:rPr>
          <w:rFonts w:hint="eastAsia"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运城今朝绩评[2022] 第0002号</w:t>
      </w:r>
    </w:p>
    <w:p>
      <w:pPr>
        <w:autoSpaceDE w:val="0"/>
        <w:autoSpaceDN w:val="0"/>
        <w:adjustRightInd w:val="0"/>
        <w:spacing w:line="360" w:lineRule="auto"/>
        <w:jc w:val="center"/>
        <w:rPr>
          <w:rFonts w:ascii="仿宋" w:hAnsi="仿宋" w:eastAsia="仿宋" w:cs="仿宋"/>
          <w:b/>
          <w:kern w:val="0"/>
          <w:sz w:val="30"/>
          <w:szCs w:val="30"/>
        </w:rPr>
      </w:pPr>
    </w:p>
    <w:p>
      <w:pPr>
        <w:autoSpaceDE w:val="0"/>
        <w:autoSpaceDN w:val="0"/>
        <w:adjustRightInd w:val="0"/>
        <w:spacing w:line="360" w:lineRule="auto"/>
        <w:jc w:val="center"/>
        <w:rPr>
          <w:rFonts w:ascii="仿宋" w:hAnsi="仿宋" w:eastAsia="仿宋" w:cs="仿宋"/>
          <w:b/>
          <w:kern w:val="0"/>
          <w:sz w:val="30"/>
          <w:szCs w:val="30"/>
        </w:rPr>
      </w:pPr>
    </w:p>
    <w:p>
      <w:pPr>
        <w:autoSpaceDE w:val="0"/>
        <w:autoSpaceDN w:val="0"/>
        <w:adjustRightInd w:val="0"/>
        <w:spacing w:line="360" w:lineRule="auto"/>
        <w:jc w:val="center"/>
        <w:rPr>
          <w:rFonts w:ascii="仿宋" w:hAnsi="仿宋" w:eastAsia="仿宋" w:cs="仿宋"/>
          <w:b/>
          <w:kern w:val="0"/>
          <w:sz w:val="30"/>
          <w:szCs w:val="30"/>
        </w:rPr>
      </w:pPr>
    </w:p>
    <w:p>
      <w:pPr>
        <w:autoSpaceDE w:val="0"/>
        <w:autoSpaceDN w:val="0"/>
        <w:adjustRightInd w:val="0"/>
        <w:spacing w:line="360" w:lineRule="auto"/>
        <w:jc w:val="center"/>
        <w:rPr>
          <w:rFonts w:ascii="仿宋" w:hAnsi="仿宋" w:eastAsia="仿宋" w:cs="仿宋"/>
          <w:b/>
          <w:kern w:val="0"/>
          <w:sz w:val="30"/>
          <w:szCs w:val="30"/>
        </w:rPr>
      </w:pPr>
    </w:p>
    <w:p>
      <w:pPr>
        <w:autoSpaceDE w:val="0"/>
        <w:autoSpaceDN w:val="0"/>
        <w:adjustRightInd w:val="0"/>
        <w:spacing w:line="360" w:lineRule="auto"/>
        <w:jc w:val="center"/>
        <w:rPr>
          <w:rFonts w:ascii="仿宋" w:hAnsi="仿宋" w:eastAsia="仿宋" w:cs="仿宋"/>
          <w:b/>
          <w:kern w:val="0"/>
          <w:sz w:val="30"/>
          <w:szCs w:val="30"/>
        </w:rPr>
      </w:pPr>
    </w:p>
    <w:p>
      <w:pPr>
        <w:autoSpaceDE w:val="0"/>
        <w:autoSpaceDN w:val="0"/>
        <w:adjustRightInd w:val="0"/>
        <w:spacing w:line="360" w:lineRule="auto"/>
        <w:ind w:firstLine="840" w:firstLineChars="300"/>
        <w:rPr>
          <w:rFonts w:hint="eastAsia" w:ascii="宋体" w:hAnsi="宋体" w:eastAsia="宋体" w:cs="宋体"/>
          <w:sz w:val="28"/>
          <w:szCs w:val="28"/>
        </w:rPr>
      </w:pPr>
    </w:p>
    <w:p>
      <w:pPr>
        <w:autoSpaceDE w:val="0"/>
        <w:autoSpaceDN w:val="0"/>
        <w:adjustRightInd w:val="0"/>
        <w:spacing w:line="360" w:lineRule="auto"/>
        <w:ind w:firstLine="840" w:firstLineChars="300"/>
        <w:rPr>
          <w:rFonts w:hint="eastAsia" w:ascii="宋体" w:hAnsi="宋体" w:eastAsia="宋体" w:cs="宋体"/>
          <w:sz w:val="28"/>
          <w:szCs w:val="28"/>
        </w:rPr>
      </w:pPr>
      <w:r>
        <w:rPr>
          <w:rFonts w:hint="eastAsia" w:ascii="宋体" w:hAnsi="宋体" w:eastAsia="宋体" w:cs="宋体"/>
          <w:sz w:val="28"/>
          <w:szCs w:val="28"/>
        </w:rPr>
        <w:t>项目名称：2021年</w:t>
      </w:r>
      <w:r>
        <w:rPr>
          <w:rFonts w:hint="eastAsia" w:ascii="宋体" w:hAnsi="宋体" w:eastAsia="宋体" w:cs="宋体"/>
          <w:sz w:val="28"/>
          <w:szCs w:val="28"/>
          <w:lang w:val="en-US" w:eastAsia="zh-CN"/>
        </w:rPr>
        <w:t>市级</w:t>
      </w:r>
      <w:r>
        <w:rPr>
          <w:rFonts w:hint="eastAsia" w:ascii="宋体" w:hAnsi="宋体" w:eastAsia="宋体" w:cs="宋体"/>
          <w:sz w:val="28"/>
          <w:szCs w:val="28"/>
        </w:rPr>
        <w:t>储备粮油保管费、轮换费</w:t>
      </w:r>
      <w:r>
        <w:rPr>
          <w:rFonts w:hint="eastAsia" w:ascii="宋体" w:hAnsi="宋体" w:eastAsia="宋体" w:cs="宋体"/>
          <w:sz w:val="28"/>
          <w:szCs w:val="28"/>
          <w:lang w:val="en-US" w:eastAsia="zh-CN"/>
        </w:rPr>
        <w:t>资金</w:t>
      </w:r>
      <w:r>
        <w:rPr>
          <w:rFonts w:hint="eastAsia" w:ascii="宋体" w:hAnsi="宋体" w:eastAsia="宋体" w:cs="宋体"/>
          <w:sz w:val="28"/>
          <w:szCs w:val="28"/>
        </w:rPr>
        <w:t>项目</w:t>
      </w:r>
    </w:p>
    <w:p>
      <w:pPr>
        <w:autoSpaceDE w:val="0"/>
        <w:autoSpaceDN w:val="0"/>
        <w:adjustRightInd w:val="0"/>
        <w:spacing w:line="360" w:lineRule="auto"/>
        <w:ind w:firstLine="840" w:firstLineChars="300"/>
        <w:rPr>
          <w:rFonts w:hint="eastAsia" w:ascii="宋体" w:hAnsi="宋体" w:eastAsia="宋体" w:cs="宋体"/>
          <w:sz w:val="28"/>
          <w:szCs w:val="28"/>
        </w:rPr>
      </w:pPr>
      <w:r>
        <w:rPr>
          <w:rFonts w:hint="eastAsia" w:ascii="宋体" w:hAnsi="宋体" w:eastAsia="宋体" w:cs="宋体"/>
          <w:sz w:val="28"/>
          <w:szCs w:val="28"/>
        </w:rPr>
        <w:t>主管部门：运城市发展和改革委员会</w:t>
      </w:r>
    </w:p>
    <w:p>
      <w:pPr>
        <w:autoSpaceDE w:val="0"/>
        <w:autoSpaceDN w:val="0"/>
        <w:adjustRightInd w:val="0"/>
        <w:spacing w:line="360" w:lineRule="auto"/>
        <w:ind w:firstLine="840" w:firstLineChars="300"/>
        <w:rPr>
          <w:rFonts w:hint="eastAsia" w:ascii="宋体" w:hAnsi="宋体" w:eastAsia="宋体" w:cs="宋体"/>
          <w:sz w:val="28"/>
          <w:szCs w:val="28"/>
        </w:rPr>
      </w:pPr>
      <w:r>
        <w:rPr>
          <w:rFonts w:hint="eastAsia" w:ascii="宋体" w:hAnsi="宋体" w:eastAsia="宋体" w:cs="宋体"/>
          <w:sz w:val="28"/>
          <w:szCs w:val="28"/>
        </w:rPr>
        <w:t>实施单位：运城市地方粮食战略储备库有限责任公司</w:t>
      </w:r>
    </w:p>
    <w:p>
      <w:pPr>
        <w:autoSpaceDE w:val="0"/>
        <w:autoSpaceDN w:val="0"/>
        <w:adjustRightInd w:val="0"/>
        <w:spacing w:line="360" w:lineRule="auto"/>
        <w:ind w:firstLine="840" w:firstLineChars="300"/>
        <w:rPr>
          <w:rFonts w:hint="eastAsia" w:ascii="宋体" w:hAnsi="宋体" w:eastAsia="宋体" w:cs="宋体"/>
          <w:sz w:val="28"/>
          <w:szCs w:val="28"/>
        </w:rPr>
      </w:pPr>
      <w:r>
        <w:rPr>
          <w:rFonts w:hint="eastAsia" w:ascii="宋体" w:hAnsi="宋体" w:eastAsia="宋体" w:cs="宋体"/>
          <w:sz w:val="28"/>
          <w:szCs w:val="28"/>
        </w:rPr>
        <w:t>委托单位：运城市财政局</w:t>
      </w:r>
    </w:p>
    <w:p>
      <w:pPr>
        <w:autoSpaceDE w:val="0"/>
        <w:autoSpaceDN w:val="0"/>
        <w:adjustRightInd w:val="0"/>
        <w:spacing w:line="360" w:lineRule="auto"/>
        <w:ind w:firstLine="840" w:firstLineChars="300"/>
        <w:rPr>
          <w:rFonts w:hint="eastAsia" w:ascii="宋体" w:hAnsi="宋体" w:eastAsia="宋体" w:cs="宋体"/>
          <w:sz w:val="28"/>
          <w:szCs w:val="28"/>
        </w:rPr>
      </w:pPr>
      <w:r>
        <w:rPr>
          <w:rFonts w:hint="eastAsia" w:ascii="宋体" w:hAnsi="宋体" w:eastAsia="宋体" w:cs="宋体"/>
          <w:sz w:val="28"/>
          <w:szCs w:val="28"/>
        </w:rPr>
        <w:t>评价机构：运城今朝会计师事务所有限公司</w:t>
      </w:r>
    </w:p>
    <w:p>
      <w:pPr>
        <w:tabs>
          <w:tab w:val="right" w:leader="dot" w:pos="8306"/>
        </w:tabs>
        <w:spacing w:line="360" w:lineRule="auto"/>
        <w:jc w:val="center"/>
        <w:rPr>
          <w:rFonts w:hint="eastAsia" w:ascii="宋体" w:hAnsi="宋体" w:eastAsia="宋体" w:cs="宋体"/>
          <w:sz w:val="28"/>
          <w:szCs w:val="28"/>
        </w:rPr>
      </w:pPr>
    </w:p>
    <w:p>
      <w:pPr>
        <w:pStyle w:val="2"/>
        <w:spacing w:after="0" w:line="360" w:lineRule="auto"/>
        <w:jc w:val="center"/>
      </w:pPr>
    </w:p>
    <w:p>
      <w:pPr>
        <w:tabs>
          <w:tab w:val="right" w:leader="dot" w:pos="8306"/>
        </w:tabs>
        <w:spacing w:line="360" w:lineRule="auto"/>
        <w:jc w:val="center"/>
        <w:rPr>
          <w:rFonts w:ascii="仿宋" w:hAnsi="仿宋" w:eastAsia="仿宋" w:cs="仿宋"/>
          <w:sz w:val="30"/>
          <w:szCs w:val="30"/>
        </w:rPr>
      </w:pPr>
    </w:p>
    <w:p>
      <w:pPr>
        <w:tabs>
          <w:tab w:val="right" w:leader="dot" w:pos="8306"/>
        </w:tabs>
        <w:spacing w:line="560" w:lineRule="exact"/>
        <w:jc w:val="center"/>
        <w:rPr>
          <w:rFonts w:hint="eastAsia" w:ascii="宋体" w:hAnsi="宋体" w:eastAsia="宋体" w:cs="宋体"/>
          <w:sz w:val="28"/>
          <w:szCs w:val="28"/>
          <w:lang w:eastAsia="zh-CN"/>
        </w:rPr>
      </w:pPr>
      <w:r>
        <w:rPr>
          <w:rFonts w:hint="eastAsia" w:ascii="宋体" w:hAnsi="宋体" w:eastAsia="宋体" w:cs="宋体"/>
          <w:sz w:val="28"/>
          <w:szCs w:val="28"/>
        </w:rPr>
        <w:t>二零二二年</w:t>
      </w:r>
      <w:r>
        <w:rPr>
          <w:rFonts w:hint="eastAsia" w:ascii="宋体" w:hAnsi="宋体" w:eastAsia="宋体" w:cs="宋体"/>
          <w:sz w:val="28"/>
          <w:szCs w:val="28"/>
          <w:lang w:eastAsia="zh-CN"/>
        </w:rPr>
        <w:t>九月</w:t>
      </w:r>
    </w:p>
    <w:p>
      <w:pPr>
        <w:pStyle w:val="2"/>
        <w:rPr>
          <w:rFonts w:hint="eastAsia"/>
        </w:rPr>
      </w:pPr>
    </w:p>
    <w:p>
      <w:pPr>
        <w:tabs>
          <w:tab w:val="right" w:leader="dot" w:pos="8306"/>
        </w:tabs>
        <w:spacing w:line="560" w:lineRule="exact"/>
        <w:jc w:val="center"/>
        <w:rPr>
          <w:rFonts w:hint="eastAsia" w:ascii="宋体" w:hAnsi="宋体" w:eastAsia="宋体" w:cs="宋体"/>
          <w:b/>
          <w:sz w:val="32"/>
          <w:szCs w:val="32"/>
        </w:rPr>
        <w:sectPr>
          <w:headerReference r:id="rId3" w:type="default"/>
          <w:footerReference r:id="rId4" w:type="default"/>
          <w:pgSz w:w="11850" w:h="16783"/>
          <w:pgMar w:top="1440" w:right="1797" w:bottom="1440" w:left="1797" w:header="851" w:footer="992" w:gutter="0"/>
          <w:pgNumType w:fmt="decimal" w:start="1"/>
          <w:cols w:space="720" w:num="1"/>
          <w:docGrid w:type="lines" w:linePitch="317" w:charSpace="0"/>
        </w:sectPr>
      </w:pPr>
      <w:bookmarkStart w:id="0" w:name="_Toc16105"/>
      <w:bookmarkStart w:id="1" w:name="_Toc18538"/>
    </w:p>
    <w:p>
      <w:pPr>
        <w:tabs>
          <w:tab w:val="right" w:leader="dot" w:pos="8306"/>
        </w:tabs>
        <w:spacing w:line="560" w:lineRule="exact"/>
        <w:jc w:val="center"/>
        <w:rPr>
          <w:rFonts w:hint="eastAsia" w:ascii="宋体" w:hAnsi="宋体" w:eastAsia="宋体" w:cs="宋体"/>
          <w:b/>
          <w:sz w:val="32"/>
          <w:szCs w:val="32"/>
        </w:rPr>
      </w:pPr>
      <w:r>
        <w:rPr>
          <w:rFonts w:hint="eastAsia" w:ascii="宋体" w:hAnsi="宋体" w:eastAsia="宋体" w:cs="宋体"/>
          <w:b/>
          <w:sz w:val="32"/>
          <w:szCs w:val="32"/>
        </w:rPr>
        <w:t>目  录</w:t>
      </w:r>
    </w:p>
    <w:p>
      <w:pPr>
        <w:pStyle w:val="9"/>
        <w:tabs>
          <w:tab w:val="right" w:leader="dot" w:pos="8256"/>
        </w:tabs>
        <w:spacing w:line="360" w:lineRule="auto"/>
        <w:rPr>
          <w:rFonts w:hint="eastAsia" w:ascii="宋体" w:hAnsi="宋体" w:eastAsia="宋体" w:cs="宋体"/>
          <w:sz w:val="28"/>
          <w:szCs w:val="28"/>
        </w:rPr>
      </w:pP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TOC \o "1-2" \h \u </w:instrText>
      </w:r>
      <w:r>
        <w:rPr>
          <w:rFonts w:hint="eastAsia" w:ascii="宋体" w:hAnsi="宋体" w:eastAsia="宋体" w:cs="宋体"/>
          <w:b/>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"_Toc12241" </w:instrText>
      </w:r>
      <w:r>
        <w:rPr>
          <w:rFonts w:hint="eastAsia" w:ascii="宋体" w:hAnsi="宋体" w:eastAsia="宋体" w:cs="宋体"/>
          <w:sz w:val="28"/>
          <w:szCs w:val="28"/>
        </w:rPr>
        <w:fldChar w:fldCharType="separate"/>
      </w:r>
      <w:r>
        <w:rPr>
          <w:rFonts w:hint="eastAsia" w:ascii="宋体" w:hAnsi="宋体" w:eastAsia="宋体" w:cs="宋体"/>
          <w:bCs/>
          <w:sz w:val="28"/>
          <w:szCs w:val="28"/>
        </w:rPr>
        <w:t>摘  要</w:t>
      </w:r>
      <w:r>
        <w:rPr>
          <w:rFonts w:hint="eastAsia" w:ascii="宋体" w:hAnsi="宋体" w:eastAsia="宋体" w:cs="宋体"/>
          <w:sz w:val="28"/>
          <w:szCs w:val="28"/>
        </w:rPr>
        <w:tab/>
      </w:r>
      <w:r>
        <w:rPr>
          <w:rFonts w:hint="eastAsia" w:ascii="宋体" w:hAnsi="宋体" w:eastAsia="宋体" w:cs="宋体"/>
          <w:sz w:val="28"/>
          <w:szCs w:val="28"/>
        </w:rPr>
        <w:t>1</w:t>
      </w:r>
      <w:r>
        <w:rPr>
          <w:rFonts w:hint="eastAsia" w:ascii="宋体" w:hAnsi="宋体" w:eastAsia="宋体" w:cs="宋体"/>
          <w:sz w:val="28"/>
          <w:szCs w:val="28"/>
        </w:rPr>
        <w:fldChar w:fldCharType="end"/>
      </w:r>
    </w:p>
    <w:p>
      <w:pPr>
        <w:pStyle w:val="9"/>
        <w:tabs>
          <w:tab w:val="right" w:leader="dot" w:pos="8256"/>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"_Toc8318"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cs="宋体"/>
          <w:sz w:val="28"/>
          <w:szCs w:val="28"/>
          <w:lang w:val="en-US" w:eastAsia="zh-CN"/>
        </w:rPr>
        <w:t>4</w:t>
      </w:r>
      <w:r>
        <w:rPr>
          <w:rFonts w:hint="eastAsia" w:ascii="宋体" w:hAnsi="宋体" w:eastAsia="宋体" w:cs="宋体"/>
          <w:sz w:val="28"/>
          <w:szCs w:val="28"/>
        </w:rPr>
        <w:fldChar w:fldCharType="end"/>
      </w: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"_Toc551" </w:instrText>
      </w:r>
      <w:r>
        <w:rPr>
          <w:rFonts w:hint="eastAsia" w:ascii="宋体" w:hAnsi="宋体" w:eastAsia="宋体" w:cs="宋体"/>
          <w:sz w:val="28"/>
          <w:szCs w:val="28"/>
        </w:rPr>
        <w:fldChar w:fldCharType="separate"/>
      </w:r>
      <w:r>
        <w:rPr>
          <w:rFonts w:hint="eastAsia" w:ascii="宋体" w:hAnsi="宋体" w:eastAsia="宋体" w:cs="宋体"/>
          <w:sz w:val="28"/>
          <w:szCs w:val="28"/>
        </w:rPr>
        <w:t>二、绩效评价实施情况</w:t>
      </w:r>
      <w:r>
        <w:rPr>
          <w:rFonts w:hint="eastAsia" w:ascii="宋体" w:hAnsi="宋体" w:eastAsia="宋体" w:cs="宋体"/>
          <w:sz w:val="28"/>
          <w:szCs w:val="28"/>
        </w:rPr>
        <w:tab/>
      </w:r>
      <w:r>
        <w:rPr>
          <w:rFonts w:hint="eastAsia" w:ascii="宋体" w:hAnsi="宋体" w:cs="宋体"/>
          <w:sz w:val="28"/>
          <w:szCs w:val="28"/>
          <w:lang w:val="en-US" w:eastAsia="zh-CN"/>
        </w:rPr>
        <w:t>1</w:t>
      </w:r>
      <w:r>
        <w:rPr>
          <w:rFonts w:hint="eastAsia" w:ascii="宋体" w:hAnsi="宋体" w:eastAsia="宋体" w:cs="宋体"/>
          <w:sz w:val="28"/>
          <w:szCs w:val="28"/>
        </w:rPr>
        <w:fldChar w:fldCharType="end"/>
      </w:r>
      <w:r>
        <w:rPr>
          <w:rFonts w:hint="eastAsia" w:ascii="宋体" w:hAnsi="宋体" w:cs="宋体"/>
          <w:sz w:val="28"/>
          <w:szCs w:val="28"/>
          <w:lang w:val="en-US" w:eastAsia="zh-CN"/>
        </w:rPr>
        <w:t>0</w:t>
      </w: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"_Toc10285" </w:instrText>
      </w:r>
      <w:r>
        <w:rPr>
          <w:rFonts w:hint="eastAsia" w:ascii="宋体" w:hAnsi="宋体" w:eastAsia="宋体" w:cs="宋体"/>
          <w:sz w:val="28"/>
          <w:szCs w:val="28"/>
        </w:rPr>
        <w:fldChar w:fldCharType="separate"/>
      </w:r>
      <w:r>
        <w:rPr>
          <w:rFonts w:hint="eastAsia" w:ascii="宋体" w:hAnsi="宋体" w:eastAsia="宋体" w:cs="宋体"/>
          <w:sz w:val="28"/>
          <w:szCs w:val="28"/>
        </w:rPr>
        <w:t>三、绩效评价指标分析情况</w:t>
      </w:r>
      <w:r>
        <w:rPr>
          <w:rFonts w:hint="eastAsia" w:ascii="宋体" w:hAnsi="宋体" w:eastAsia="宋体" w:cs="宋体"/>
          <w:sz w:val="28"/>
          <w:szCs w:val="28"/>
        </w:rPr>
        <w:tab/>
      </w:r>
      <w:r>
        <w:rPr>
          <w:rFonts w:hint="eastAsia" w:ascii="宋体" w:hAnsi="宋体" w:cs="宋体"/>
          <w:sz w:val="28"/>
          <w:szCs w:val="28"/>
          <w:lang w:val="en-US" w:eastAsia="zh-CN"/>
        </w:rPr>
        <w:t>1</w:t>
      </w:r>
      <w:r>
        <w:rPr>
          <w:rFonts w:hint="eastAsia" w:ascii="宋体" w:hAnsi="宋体" w:eastAsia="宋体" w:cs="宋体"/>
          <w:sz w:val="28"/>
          <w:szCs w:val="28"/>
        </w:rPr>
        <w:fldChar w:fldCharType="end"/>
      </w:r>
      <w:r>
        <w:rPr>
          <w:rFonts w:hint="eastAsia" w:ascii="宋体" w:hAnsi="宋体" w:cs="宋体"/>
          <w:sz w:val="28"/>
          <w:szCs w:val="28"/>
          <w:lang w:val="en-US" w:eastAsia="zh-CN"/>
        </w:rPr>
        <w:t>5</w:t>
      </w: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"_Toc6279" </w:instrText>
      </w:r>
      <w:r>
        <w:rPr>
          <w:rFonts w:hint="eastAsia" w:ascii="宋体" w:hAnsi="宋体" w:eastAsia="宋体" w:cs="宋体"/>
          <w:sz w:val="28"/>
          <w:szCs w:val="28"/>
        </w:rPr>
        <w:fldChar w:fldCharType="separate"/>
      </w:r>
      <w:r>
        <w:rPr>
          <w:rFonts w:hint="eastAsia" w:ascii="宋体" w:hAnsi="宋体" w:eastAsia="宋体" w:cs="宋体"/>
          <w:bCs/>
          <w:sz w:val="28"/>
          <w:szCs w:val="28"/>
        </w:rPr>
        <w:t>四、综合评价情况及评价结论</w:t>
      </w:r>
      <w:r>
        <w:rPr>
          <w:rFonts w:hint="eastAsia" w:ascii="宋体" w:hAnsi="宋体" w:eastAsia="宋体" w:cs="宋体"/>
          <w:sz w:val="28"/>
          <w:szCs w:val="28"/>
        </w:rPr>
        <w:tab/>
      </w:r>
      <w:r>
        <w:rPr>
          <w:rFonts w:hint="eastAsia" w:ascii="宋体" w:hAnsi="宋体" w:cs="宋体"/>
          <w:sz w:val="28"/>
          <w:szCs w:val="28"/>
          <w:lang w:val="en-US" w:eastAsia="zh-CN"/>
        </w:rPr>
        <w:t>2</w:t>
      </w:r>
      <w:r>
        <w:rPr>
          <w:rFonts w:hint="eastAsia" w:ascii="宋体" w:hAnsi="宋体" w:eastAsia="宋体" w:cs="宋体"/>
          <w:sz w:val="28"/>
          <w:szCs w:val="28"/>
        </w:rPr>
        <w:fldChar w:fldCharType="end"/>
      </w:r>
      <w:r>
        <w:rPr>
          <w:rFonts w:hint="eastAsia" w:ascii="宋体" w:hAnsi="宋体" w:cs="宋体"/>
          <w:sz w:val="28"/>
          <w:szCs w:val="28"/>
          <w:lang w:val="en-US" w:eastAsia="zh-CN"/>
        </w:rPr>
        <w:t>6</w:t>
      </w: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"_Toc13452" </w:instrText>
      </w:r>
      <w:r>
        <w:rPr>
          <w:rFonts w:hint="eastAsia" w:ascii="宋体" w:hAnsi="宋体" w:eastAsia="宋体" w:cs="宋体"/>
          <w:sz w:val="28"/>
          <w:szCs w:val="28"/>
        </w:rPr>
        <w:fldChar w:fldCharType="separate"/>
      </w:r>
      <w:r>
        <w:rPr>
          <w:rFonts w:hint="eastAsia" w:ascii="宋体" w:hAnsi="宋体" w:eastAsia="宋体" w:cs="宋体"/>
          <w:bCs/>
          <w:sz w:val="28"/>
          <w:szCs w:val="28"/>
        </w:rPr>
        <w:t>五、主要经验及做法</w:t>
      </w:r>
      <w:r>
        <w:rPr>
          <w:rFonts w:hint="eastAsia" w:ascii="宋体" w:hAnsi="宋体" w:eastAsia="宋体" w:cs="宋体"/>
          <w:sz w:val="28"/>
          <w:szCs w:val="28"/>
        </w:rPr>
        <w:tab/>
      </w:r>
      <w:r>
        <w:rPr>
          <w:rFonts w:hint="eastAsia" w:ascii="宋体" w:hAnsi="宋体" w:cs="宋体"/>
          <w:sz w:val="28"/>
          <w:szCs w:val="28"/>
          <w:lang w:val="en-US" w:eastAsia="zh-CN"/>
        </w:rPr>
        <w:t>2</w:t>
      </w:r>
      <w:r>
        <w:rPr>
          <w:rFonts w:hint="eastAsia" w:ascii="宋体" w:hAnsi="宋体" w:eastAsia="宋体" w:cs="宋体"/>
          <w:sz w:val="28"/>
          <w:szCs w:val="28"/>
        </w:rPr>
        <w:fldChar w:fldCharType="end"/>
      </w:r>
      <w:r>
        <w:rPr>
          <w:rFonts w:hint="eastAsia" w:ascii="宋体" w:hAnsi="宋体" w:cs="宋体"/>
          <w:sz w:val="28"/>
          <w:szCs w:val="28"/>
          <w:lang w:val="en-US" w:eastAsia="zh-CN"/>
        </w:rPr>
        <w:t>6</w:t>
      </w:r>
    </w:p>
    <w:p>
      <w:pPr>
        <w:pStyle w:val="9"/>
        <w:tabs>
          <w:tab w:val="right" w:leader="dot" w:pos="8256"/>
        </w:tabs>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"_Toc23790" </w:instrText>
      </w:r>
      <w:r>
        <w:rPr>
          <w:rFonts w:hint="eastAsia" w:ascii="宋体" w:hAnsi="宋体" w:eastAsia="宋体" w:cs="宋体"/>
          <w:sz w:val="28"/>
          <w:szCs w:val="28"/>
        </w:rPr>
        <w:fldChar w:fldCharType="separate"/>
      </w:r>
      <w:r>
        <w:rPr>
          <w:rFonts w:hint="eastAsia" w:ascii="宋体" w:hAnsi="宋体" w:eastAsia="宋体" w:cs="宋体"/>
          <w:bCs/>
          <w:sz w:val="28"/>
          <w:szCs w:val="28"/>
        </w:rPr>
        <w:t>六、存在问题</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27</w:t>
      </w:r>
    </w:p>
    <w:p>
      <w:pPr>
        <w:pStyle w:val="9"/>
        <w:tabs>
          <w:tab w:val="right" w:leader="dot" w:pos="8256"/>
        </w:tabs>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"_Toc16611" </w:instrText>
      </w:r>
      <w:r>
        <w:rPr>
          <w:rFonts w:hint="eastAsia" w:ascii="宋体" w:hAnsi="宋体" w:eastAsia="宋体" w:cs="宋体"/>
          <w:sz w:val="28"/>
          <w:szCs w:val="28"/>
        </w:rPr>
        <w:fldChar w:fldCharType="separate"/>
      </w:r>
      <w:r>
        <w:rPr>
          <w:rFonts w:hint="eastAsia" w:ascii="宋体" w:hAnsi="宋体" w:eastAsia="宋体" w:cs="宋体"/>
          <w:bCs/>
          <w:sz w:val="28"/>
          <w:szCs w:val="28"/>
        </w:rPr>
        <w:t>七、改进措施</w:t>
      </w:r>
      <w:r>
        <w:rPr>
          <w:rFonts w:hint="eastAsia" w:ascii="宋体" w:hAnsi="宋体" w:cs="宋体"/>
          <w:bCs/>
          <w:sz w:val="28"/>
          <w:szCs w:val="28"/>
          <w:lang w:val="en-US" w:eastAsia="zh-CN"/>
        </w:rPr>
        <w:t>及建议</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27</w:t>
      </w:r>
    </w:p>
    <w:p>
      <w:pPr>
        <w:pStyle w:val="9"/>
        <w:tabs>
          <w:tab w:val="right" w:leader="dot" w:pos="8256"/>
        </w:tabs>
        <w:spacing w:line="360" w:lineRule="auto"/>
        <w:rPr>
          <w:rFonts w:hint="default" w:ascii="宋体" w:hAnsi="宋体" w:eastAsia="宋体" w:cs="宋体"/>
          <w:sz w:val="28"/>
          <w:szCs w:val="28"/>
          <w:lang w:val="en-US" w:eastAsia="zh-CN"/>
        </w:rPr>
      </w:pPr>
    </w:p>
    <w:p>
      <w:pPr>
        <w:pStyle w:val="9"/>
        <w:tabs>
          <w:tab w:val="right" w:leader="dot" w:pos="8256"/>
        </w:tabs>
        <w:spacing w:line="360" w:lineRule="auto"/>
        <w:rPr>
          <w:rFonts w:hint="eastAsia" w:ascii="宋体" w:hAnsi="宋体" w:eastAsia="宋体" w:cs="宋体"/>
          <w:sz w:val="28"/>
          <w:szCs w:val="28"/>
        </w:rPr>
      </w:pPr>
    </w:p>
    <w:p>
      <w:pPr>
        <w:pStyle w:val="9"/>
        <w:tabs>
          <w:tab w:val="right" w:leader="dot" w:pos="8256"/>
        </w:tabs>
        <w:spacing w:line="360" w:lineRule="auto"/>
        <w:rPr>
          <w:rFonts w:hint="eastAsia" w:ascii="宋体" w:hAnsi="宋体" w:eastAsia="宋体" w:cs="宋体"/>
          <w:sz w:val="28"/>
          <w:szCs w:val="28"/>
        </w:rPr>
      </w:pPr>
    </w:p>
    <w:p>
      <w:pPr>
        <w:pStyle w:val="9"/>
        <w:tabs>
          <w:tab w:val="right" w:leader="dot" w:pos="8256"/>
        </w:tabs>
        <w:spacing w:line="360" w:lineRule="auto"/>
        <w:rPr>
          <w:rFonts w:hint="eastAsia" w:ascii="宋体" w:hAnsi="宋体" w:eastAsia="宋体" w:cs="宋体"/>
          <w:sz w:val="28"/>
          <w:szCs w:val="28"/>
        </w:rPr>
      </w:pPr>
    </w:p>
    <w:p>
      <w:pPr>
        <w:pStyle w:val="9"/>
        <w:tabs>
          <w:tab w:val="right" w:leader="dot" w:pos="8256"/>
        </w:tabs>
        <w:spacing w:line="360" w:lineRule="auto"/>
        <w:rPr>
          <w:rFonts w:hint="eastAsia" w:ascii="宋体" w:hAnsi="宋体" w:eastAsia="宋体" w:cs="宋体"/>
          <w:sz w:val="28"/>
          <w:szCs w:val="28"/>
        </w:rPr>
      </w:pPr>
    </w:p>
    <w:p>
      <w:pPr>
        <w:pStyle w:val="9"/>
        <w:tabs>
          <w:tab w:val="right" w:leader="dot" w:pos="8256"/>
        </w:tabs>
        <w:spacing w:line="360" w:lineRule="auto"/>
        <w:rPr>
          <w:rFonts w:hint="eastAsia" w:ascii="宋体" w:hAnsi="宋体" w:eastAsia="宋体" w:cs="宋体"/>
          <w:sz w:val="28"/>
          <w:szCs w:val="28"/>
        </w:rPr>
      </w:pPr>
    </w:p>
    <w:p>
      <w:pPr>
        <w:pStyle w:val="9"/>
        <w:tabs>
          <w:tab w:val="right" w:leader="dot" w:pos="8256"/>
        </w:tabs>
        <w:spacing w:line="360" w:lineRule="auto"/>
        <w:rPr>
          <w:rFonts w:hint="eastAsia" w:ascii="宋体" w:hAnsi="宋体" w:eastAsia="宋体" w:cs="宋体"/>
          <w:sz w:val="28"/>
          <w:szCs w:val="28"/>
        </w:rPr>
      </w:pPr>
    </w:p>
    <w:p>
      <w:pPr>
        <w:pStyle w:val="9"/>
        <w:tabs>
          <w:tab w:val="right" w:leader="dot" w:pos="8256"/>
        </w:tabs>
        <w:spacing w:line="360" w:lineRule="auto"/>
        <w:rPr>
          <w:rFonts w:hint="eastAsia" w:ascii="宋体" w:hAnsi="宋体" w:eastAsia="宋体" w:cs="宋体"/>
          <w:sz w:val="28"/>
          <w:szCs w:val="28"/>
        </w:rPr>
      </w:pPr>
    </w:p>
    <w:p>
      <w:pPr>
        <w:pStyle w:val="9"/>
        <w:tabs>
          <w:tab w:val="right" w:leader="dot" w:pos="8256"/>
        </w:tabs>
        <w:spacing w:line="360" w:lineRule="auto"/>
        <w:rPr>
          <w:rFonts w:hint="eastAsia" w:ascii="宋体" w:hAnsi="宋体" w:eastAsia="宋体" w:cs="宋体"/>
          <w:sz w:val="28"/>
          <w:szCs w:val="28"/>
        </w:rPr>
      </w:pPr>
    </w:p>
    <w:p>
      <w:pPr>
        <w:pStyle w:val="9"/>
        <w:tabs>
          <w:tab w:val="right" w:leader="dot" w:pos="8256"/>
        </w:tabs>
        <w:spacing w:line="360" w:lineRule="auto"/>
        <w:rPr>
          <w:rFonts w:hint="eastAsia" w:ascii="宋体" w:hAnsi="宋体" w:eastAsia="宋体" w:cs="宋体"/>
          <w:sz w:val="28"/>
          <w:szCs w:val="28"/>
        </w:rPr>
      </w:pPr>
    </w:p>
    <w:p>
      <w:pPr>
        <w:pStyle w:val="9"/>
        <w:tabs>
          <w:tab w:val="right" w:leader="dot" w:pos="8256"/>
        </w:tabs>
        <w:spacing w:line="360" w:lineRule="auto"/>
        <w:rPr>
          <w:rFonts w:hint="eastAsia" w:ascii="宋体" w:hAnsi="宋体" w:eastAsia="宋体" w:cs="宋体"/>
          <w:sz w:val="28"/>
          <w:szCs w:val="28"/>
        </w:rPr>
      </w:pPr>
    </w:p>
    <w:p>
      <w:pPr>
        <w:rPr>
          <w:rFonts w:hint="eastAsia" w:ascii="宋体" w:hAnsi="宋体" w:eastAsia="宋体" w:cs="宋体"/>
          <w:sz w:val="28"/>
          <w:szCs w:val="28"/>
        </w:rPr>
      </w:pPr>
    </w:p>
    <w:p>
      <w:pPr>
        <w:pStyle w:val="2"/>
        <w:rPr>
          <w:rFonts w:hint="eastAsia"/>
        </w:rPr>
      </w:pPr>
    </w:p>
    <w:p>
      <w:pPr>
        <w:pStyle w:val="9"/>
        <w:tabs>
          <w:tab w:val="right" w:leader="dot" w:pos="8256"/>
        </w:tabs>
        <w:spacing w:line="360" w:lineRule="auto"/>
        <w:rPr>
          <w:rFonts w:hint="eastAsia" w:ascii="宋体" w:hAnsi="宋体" w:eastAsia="宋体" w:cs="宋体"/>
          <w:sz w:val="28"/>
          <w:szCs w:val="28"/>
        </w:rPr>
        <w:sectPr>
          <w:footerReference r:id="rId5" w:type="default"/>
          <w:pgSz w:w="11850" w:h="16783"/>
          <w:pgMar w:top="1440" w:right="1797" w:bottom="1440" w:left="1797" w:header="851" w:footer="992" w:gutter="0"/>
          <w:pgNumType w:fmt="decimal" w:start="1"/>
          <w:cols w:space="720" w:num="1"/>
          <w:docGrid w:type="lines" w:linePitch="317" w:charSpace="0"/>
        </w:sectPr>
      </w:pP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"_Toc3533" </w:instrText>
      </w:r>
      <w:r>
        <w:rPr>
          <w:rFonts w:hint="eastAsia" w:ascii="宋体" w:hAnsi="宋体" w:eastAsia="宋体" w:cs="宋体"/>
          <w:sz w:val="28"/>
          <w:szCs w:val="28"/>
        </w:rPr>
        <w:fldChar w:fldCharType="separate"/>
      </w:r>
      <w:r>
        <w:rPr>
          <w:rFonts w:hint="eastAsia" w:ascii="宋体" w:hAnsi="宋体" w:eastAsia="宋体" w:cs="宋体"/>
          <w:sz w:val="28"/>
          <w:szCs w:val="28"/>
        </w:rPr>
        <w:t>附件1</w:t>
      </w:r>
      <w:r>
        <w:rPr>
          <w:rFonts w:hint="eastAsia" w:ascii="宋体" w:hAnsi="宋体" w:cs="宋体"/>
          <w:sz w:val="28"/>
          <w:szCs w:val="28"/>
          <w:lang w:eastAsia="zh-CN"/>
        </w:rPr>
        <w:t>：</w:t>
      </w:r>
      <w:r>
        <w:rPr>
          <w:rFonts w:hint="eastAsia" w:ascii="宋体" w:hAnsi="宋体" w:cs="宋体"/>
          <w:sz w:val="28"/>
          <w:szCs w:val="28"/>
          <w:lang w:val="en-US" w:eastAsia="zh-CN"/>
        </w:rPr>
        <w:t>财政支出绩效评价指标评分表</w:t>
      </w:r>
      <w:r>
        <w:rPr>
          <w:rFonts w:hint="eastAsia" w:ascii="宋体" w:hAnsi="宋体" w:eastAsia="宋体" w:cs="宋体"/>
          <w:sz w:val="28"/>
          <w:szCs w:val="28"/>
        </w:rPr>
        <w:tab/>
      </w:r>
      <w:r>
        <w:rPr>
          <w:rFonts w:hint="eastAsia" w:ascii="宋体" w:hAnsi="宋体" w:cs="宋体"/>
          <w:sz w:val="28"/>
          <w:szCs w:val="28"/>
          <w:lang w:val="en-US" w:eastAsia="zh-CN"/>
        </w:rPr>
        <w:t>2</w:t>
      </w:r>
      <w:r>
        <w:rPr>
          <w:rFonts w:hint="eastAsia" w:ascii="宋体" w:hAnsi="宋体" w:eastAsia="宋体" w:cs="宋体"/>
          <w:sz w:val="28"/>
          <w:szCs w:val="28"/>
        </w:rPr>
        <w:fldChar w:fldCharType="end"/>
      </w:r>
      <w:r>
        <w:rPr>
          <w:rFonts w:hint="eastAsia" w:ascii="宋体" w:hAnsi="宋体" w:cs="宋体"/>
          <w:sz w:val="28"/>
          <w:szCs w:val="28"/>
          <w:lang w:val="en-US" w:eastAsia="zh-CN"/>
        </w:rPr>
        <w:t>9</w:t>
      </w: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"_Toc18178" </w:instrText>
      </w:r>
      <w:r>
        <w:rPr>
          <w:rFonts w:hint="eastAsia" w:ascii="宋体" w:hAnsi="宋体" w:eastAsia="宋体" w:cs="宋体"/>
          <w:sz w:val="28"/>
          <w:szCs w:val="28"/>
        </w:rPr>
        <w:fldChar w:fldCharType="separate"/>
      </w:r>
      <w:r>
        <w:rPr>
          <w:rFonts w:hint="eastAsia" w:ascii="宋体" w:hAnsi="宋体" w:eastAsia="宋体" w:cs="宋体"/>
          <w:sz w:val="28"/>
          <w:szCs w:val="28"/>
        </w:rPr>
        <w:t>附件2</w:t>
      </w:r>
      <w:r>
        <w:rPr>
          <w:rFonts w:hint="eastAsia" w:ascii="宋体" w:hAnsi="宋体" w:cs="宋体"/>
          <w:sz w:val="28"/>
          <w:szCs w:val="28"/>
          <w:lang w:eastAsia="zh-CN"/>
        </w:rPr>
        <w:t>：</w:t>
      </w:r>
      <w:r>
        <w:rPr>
          <w:rFonts w:hint="eastAsia" w:ascii="宋体" w:hAnsi="宋体" w:cs="宋体"/>
          <w:sz w:val="28"/>
          <w:szCs w:val="28"/>
          <w:lang w:val="en-US" w:eastAsia="zh-CN"/>
        </w:rPr>
        <w:t>财政支出绩效评价指标体系</w:t>
      </w:r>
      <w:r>
        <w:rPr>
          <w:rFonts w:hint="eastAsia" w:ascii="宋体" w:hAnsi="宋体" w:eastAsia="宋体" w:cs="宋体"/>
          <w:sz w:val="28"/>
          <w:szCs w:val="28"/>
        </w:rPr>
        <w:tab/>
      </w:r>
      <w:r>
        <w:rPr>
          <w:rFonts w:hint="eastAsia" w:ascii="宋体" w:hAnsi="宋体" w:cs="宋体"/>
          <w:sz w:val="28"/>
          <w:szCs w:val="28"/>
          <w:lang w:val="en-US" w:eastAsia="zh-CN"/>
        </w:rPr>
        <w:t>3</w:t>
      </w:r>
      <w:r>
        <w:rPr>
          <w:rFonts w:hint="eastAsia" w:ascii="宋体" w:hAnsi="宋体" w:eastAsia="宋体" w:cs="宋体"/>
          <w:sz w:val="28"/>
          <w:szCs w:val="28"/>
        </w:rPr>
        <w:fldChar w:fldCharType="end"/>
      </w:r>
      <w:r>
        <w:rPr>
          <w:rFonts w:hint="eastAsia" w:ascii="宋体" w:hAnsi="宋体" w:cs="宋体"/>
          <w:sz w:val="28"/>
          <w:szCs w:val="28"/>
          <w:lang w:val="en-US" w:eastAsia="zh-CN"/>
        </w:rPr>
        <w:t>0</w:t>
      </w: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"_Toc24926" </w:instrText>
      </w:r>
      <w:r>
        <w:rPr>
          <w:rFonts w:hint="eastAsia" w:ascii="宋体" w:hAnsi="宋体" w:eastAsia="宋体" w:cs="宋体"/>
          <w:sz w:val="28"/>
          <w:szCs w:val="28"/>
        </w:rPr>
        <w:fldChar w:fldCharType="separate"/>
      </w:r>
      <w:r>
        <w:rPr>
          <w:rFonts w:hint="eastAsia" w:ascii="宋体" w:hAnsi="宋体" w:eastAsia="宋体" w:cs="宋体"/>
          <w:sz w:val="28"/>
          <w:szCs w:val="28"/>
        </w:rPr>
        <w:t>附件3</w:t>
      </w:r>
      <w:r>
        <w:rPr>
          <w:rFonts w:hint="eastAsia" w:ascii="宋体" w:hAnsi="宋体" w:cs="宋体"/>
          <w:sz w:val="28"/>
          <w:szCs w:val="28"/>
          <w:lang w:eastAsia="zh-CN"/>
        </w:rPr>
        <w:t>：</w:t>
      </w:r>
      <w:r>
        <w:rPr>
          <w:rFonts w:hint="eastAsia" w:ascii="宋体" w:hAnsi="宋体" w:cs="宋体"/>
          <w:sz w:val="28"/>
          <w:szCs w:val="28"/>
          <w:lang w:val="en-US" w:eastAsia="zh-CN"/>
        </w:rPr>
        <w:t>项目实施单位访谈</w:t>
      </w:r>
      <w:r>
        <w:rPr>
          <w:rFonts w:hint="eastAsia" w:ascii="宋体" w:hAnsi="宋体" w:eastAsia="宋体" w:cs="宋体"/>
          <w:sz w:val="28"/>
          <w:szCs w:val="28"/>
        </w:rPr>
        <w:tab/>
      </w:r>
      <w:r>
        <w:rPr>
          <w:rFonts w:hint="eastAsia" w:ascii="宋体" w:hAnsi="宋体" w:cs="宋体"/>
          <w:sz w:val="28"/>
          <w:szCs w:val="28"/>
          <w:lang w:val="en-US" w:eastAsia="zh-CN"/>
        </w:rPr>
        <w:t>3</w:t>
      </w:r>
      <w:r>
        <w:rPr>
          <w:rFonts w:hint="eastAsia" w:ascii="宋体" w:hAnsi="宋体" w:eastAsia="宋体" w:cs="宋体"/>
          <w:sz w:val="28"/>
          <w:szCs w:val="28"/>
        </w:rPr>
        <w:fldChar w:fldCharType="end"/>
      </w:r>
      <w:r>
        <w:rPr>
          <w:rFonts w:hint="eastAsia" w:ascii="宋体" w:hAnsi="宋体" w:cs="宋体"/>
          <w:sz w:val="28"/>
          <w:szCs w:val="28"/>
          <w:lang w:val="en-US" w:eastAsia="zh-CN"/>
        </w:rPr>
        <w:t>5</w:t>
      </w:r>
    </w:p>
    <w:p>
      <w:pPr>
        <w:pStyle w:val="9"/>
        <w:tabs>
          <w:tab w:val="right" w:leader="dot" w:pos="8256"/>
        </w:tabs>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"_Toc888" </w:instrText>
      </w:r>
      <w:r>
        <w:rPr>
          <w:rFonts w:hint="eastAsia" w:ascii="宋体" w:hAnsi="宋体" w:eastAsia="宋体" w:cs="宋体"/>
          <w:sz w:val="28"/>
          <w:szCs w:val="28"/>
        </w:rPr>
        <w:fldChar w:fldCharType="separate"/>
      </w:r>
      <w:r>
        <w:rPr>
          <w:rFonts w:hint="eastAsia" w:ascii="宋体" w:hAnsi="宋体" w:eastAsia="宋体" w:cs="宋体"/>
          <w:sz w:val="28"/>
          <w:szCs w:val="28"/>
        </w:rPr>
        <w:t>附件4</w:t>
      </w:r>
      <w:r>
        <w:rPr>
          <w:rFonts w:hint="eastAsia" w:ascii="宋体" w:hAnsi="宋体" w:cs="宋体"/>
          <w:sz w:val="28"/>
          <w:szCs w:val="28"/>
          <w:lang w:eastAsia="zh-CN"/>
        </w:rPr>
        <w:t>：</w:t>
      </w:r>
      <w:r>
        <w:rPr>
          <w:rFonts w:hint="eastAsia" w:ascii="宋体" w:hAnsi="宋体" w:cs="宋体"/>
          <w:sz w:val="28"/>
          <w:szCs w:val="28"/>
          <w:lang w:val="en-US" w:eastAsia="zh-CN"/>
        </w:rPr>
        <w:t>项目支出绩效评价合规性检查</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cs="宋体"/>
          <w:sz w:val="28"/>
          <w:szCs w:val="28"/>
          <w:lang w:val="en-US" w:eastAsia="zh-CN"/>
        </w:rPr>
        <w:t>38</w:t>
      </w: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"_Toc18647" </w:instrText>
      </w:r>
      <w:r>
        <w:rPr>
          <w:rFonts w:hint="eastAsia" w:ascii="宋体" w:hAnsi="宋体" w:eastAsia="宋体" w:cs="宋体"/>
          <w:sz w:val="28"/>
          <w:szCs w:val="28"/>
        </w:rPr>
        <w:fldChar w:fldCharType="separate"/>
      </w:r>
      <w:r>
        <w:rPr>
          <w:rFonts w:hint="eastAsia" w:ascii="宋体" w:hAnsi="宋体" w:eastAsia="宋体" w:cs="宋体"/>
          <w:bCs/>
          <w:sz w:val="28"/>
          <w:szCs w:val="28"/>
        </w:rPr>
        <w:t>附件5</w:t>
      </w:r>
      <w:r>
        <w:rPr>
          <w:rFonts w:hint="eastAsia" w:ascii="宋体" w:hAnsi="宋体" w:cs="宋体"/>
          <w:bCs/>
          <w:sz w:val="28"/>
          <w:szCs w:val="28"/>
          <w:lang w:eastAsia="zh-CN"/>
        </w:rPr>
        <w:t>：</w:t>
      </w:r>
      <w:r>
        <w:rPr>
          <w:rFonts w:hint="eastAsia" w:ascii="宋体" w:hAnsi="宋体" w:cs="宋体"/>
          <w:bCs/>
          <w:sz w:val="28"/>
          <w:szCs w:val="28"/>
          <w:lang w:val="en-US" w:eastAsia="zh-CN"/>
        </w:rPr>
        <w:t>2021年储备粮油管理费、轮换费项目主管部门满意度调查报告</w:t>
      </w:r>
      <w:r>
        <w:rPr>
          <w:rFonts w:hint="eastAsia" w:ascii="宋体" w:hAnsi="宋体" w:eastAsia="宋体" w:cs="宋体"/>
          <w:sz w:val="28"/>
          <w:szCs w:val="28"/>
        </w:rPr>
        <w:tab/>
      </w:r>
      <w:r>
        <w:rPr>
          <w:rFonts w:hint="eastAsia" w:ascii="宋体" w:hAnsi="宋体" w:cs="宋体"/>
          <w:sz w:val="28"/>
          <w:szCs w:val="28"/>
          <w:lang w:val="en-US" w:eastAsia="zh-CN"/>
        </w:rPr>
        <w:t>4</w:t>
      </w:r>
      <w:r>
        <w:rPr>
          <w:rFonts w:hint="eastAsia" w:ascii="宋体" w:hAnsi="宋体" w:eastAsia="宋体" w:cs="宋体"/>
          <w:sz w:val="28"/>
          <w:szCs w:val="28"/>
        </w:rPr>
        <w:fldChar w:fldCharType="end"/>
      </w:r>
      <w:r>
        <w:rPr>
          <w:rFonts w:hint="eastAsia" w:ascii="宋体" w:hAnsi="宋体" w:cs="宋体"/>
          <w:sz w:val="28"/>
          <w:szCs w:val="28"/>
          <w:lang w:val="en-US" w:eastAsia="zh-CN"/>
        </w:rPr>
        <w:t>0</w:t>
      </w:r>
    </w:p>
    <w:p>
      <w:pPr>
        <w:pStyle w:val="9"/>
        <w:tabs>
          <w:tab w:val="right" w:leader="dot" w:pos="8256"/>
        </w:tabs>
        <w:spacing w:line="24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"_Toc29731" </w:instrText>
      </w:r>
      <w:r>
        <w:rPr>
          <w:rFonts w:hint="eastAsia" w:ascii="宋体" w:hAnsi="宋体" w:eastAsia="宋体" w:cs="宋体"/>
          <w:sz w:val="28"/>
          <w:szCs w:val="28"/>
        </w:rPr>
        <w:fldChar w:fldCharType="separate"/>
      </w:r>
      <w:r>
        <w:rPr>
          <w:rFonts w:hint="eastAsia" w:ascii="宋体" w:hAnsi="宋体" w:eastAsia="宋体" w:cs="宋体"/>
          <w:bCs/>
          <w:sz w:val="28"/>
          <w:szCs w:val="28"/>
        </w:rPr>
        <w:t>附件6</w:t>
      </w:r>
      <w:r>
        <w:rPr>
          <w:rFonts w:hint="eastAsia" w:ascii="宋体" w:hAnsi="宋体" w:cs="宋体"/>
          <w:bCs/>
          <w:sz w:val="28"/>
          <w:szCs w:val="28"/>
          <w:lang w:eastAsia="zh-CN"/>
        </w:rPr>
        <w:t>：</w:t>
      </w:r>
      <w:r>
        <w:rPr>
          <w:rFonts w:hint="eastAsia" w:ascii="宋体" w:hAnsi="宋体" w:cs="宋体"/>
          <w:bCs/>
          <w:sz w:val="28"/>
          <w:szCs w:val="28"/>
          <w:lang w:val="en-US" w:eastAsia="zh-CN"/>
        </w:rPr>
        <w:t>2021年储备粮油保管费轮换费项目绩效评价工作满意度调查问卷</w:t>
      </w:r>
      <w:r>
        <w:rPr>
          <w:rFonts w:hint="eastAsia" w:ascii="宋体" w:hAnsi="宋体" w:eastAsia="宋体" w:cs="宋体"/>
          <w:sz w:val="28"/>
          <w:szCs w:val="28"/>
        </w:rPr>
        <w:tab/>
      </w:r>
      <w:r>
        <w:rPr>
          <w:rFonts w:hint="eastAsia" w:ascii="宋体" w:hAnsi="宋体" w:cs="宋体"/>
          <w:sz w:val="28"/>
          <w:szCs w:val="28"/>
          <w:lang w:val="en-US" w:eastAsia="zh-CN"/>
        </w:rPr>
        <w:t>4</w:t>
      </w:r>
      <w:r>
        <w:rPr>
          <w:rFonts w:hint="eastAsia" w:ascii="宋体" w:hAnsi="宋体" w:eastAsia="宋体" w:cs="宋体"/>
          <w:sz w:val="28"/>
          <w:szCs w:val="28"/>
        </w:rPr>
        <w:fldChar w:fldCharType="end"/>
      </w:r>
      <w:r>
        <w:rPr>
          <w:rFonts w:hint="eastAsia" w:ascii="宋体" w:hAnsi="宋体" w:cs="宋体"/>
          <w:sz w:val="28"/>
          <w:szCs w:val="28"/>
          <w:lang w:val="en-US" w:eastAsia="zh-CN"/>
        </w:rPr>
        <w:t>1</w:t>
      </w: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end"/>
      </w:r>
      <w:bookmarkStart w:id="2" w:name="_Toc12241"/>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"_Toc29731" </w:instrText>
      </w:r>
      <w:r>
        <w:rPr>
          <w:rFonts w:hint="eastAsia" w:ascii="宋体" w:hAnsi="宋体" w:eastAsia="宋体" w:cs="宋体"/>
          <w:sz w:val="28"/>
          <w:szCs w:val="28"/>
        </w:rPr>
        <w:fldChar w:fldCharType="separate"/>
      </w:r>
      <w:r>
        <w:rPr>
          <w:rFonts w:hint="eastAsia" w:ascii="宋体" w:hAnsi="宋体" w:eastAsia="宋体" w:cs="宋体"/>
          <w:bCs/>
          <w:sz w:val="28"/>
          <w:szCs w:val="28"/>
        </w:rPr>
        <w:t>附件</w:t>
      </w:r>
      <w:r>
        <w:rPr>
          <w:rFonts w:hint="eastAsia" w:ascii="宋体" w:hAnsi="宋体" w:cs="宋体"/>
          <w:bCs/>
          <w:sz w:val="28"/>
          <w:szCs w:val="28"/>
          <w:lang w:val="en-US" w:eastAsia="zh-CN"/>
        </w:rPr>
        <w:t>7：项目基础信息表</w:t>
      </w:r>
      <w:r>
        <w:rPr>
          <w:rFonts w:hint="eastAsia" w:ascii="宋体" w:hAnsi="宋体" w:eastAsia="宋体" w:cs="宋体"/>
          <w:sz w:val="28"/>
          <w:szCs w:val="28"/>
        </w:rPr>
        <w:tab/>
      </w:r>
      <w:r>
        <w:rPr>
          <w:rFonts w:hint="eastAsia" w:ascii="宋体" w:hAnsi="宋体" w:cs="宋体"/>
          <w:sz w:val="28"/>
          <w:szCs w:val="28"/>
          <w:lang w:val="en-US" w:eastAsia="zh-CN"/>
        </w:rPr>
        <w:t>4</w:t>
      </w:r>
      <w:r>
        <w:rPr>
          <w:rFonts w:hint="eastAsia" w:ascii="宋体" w:hAnsi="宋体" w:eastAsia="宋体" w:cs="宋体"/>
          <w:sz w:val="28"/>
          <w:szCs w:val="28"/>
        </w:rPr>
        <w:fldChar w:fldCharType="end"/>
      </w:r>
      <w:r>
        <w:rPr>
          <w:rFonts w:hint="eastAsia" w:ascii="宋体" w:hAnsi="宋体" w:cs="宋体"/>
          <w:sz w:val="28"/>
          <w:szCs w:val="28"/>
          <w:lang w:val="en-US" w:eastAsia="zh-CN"/>
        </w:rPr>
        <w:t>2</w:t>
      </w:r>
    </w:p>
    <w:p>
      <w:pPr>
        <w:pStyle w:val="9"/>
        <w:tabs>
          <w:tab w:val="right" w:leader="dot" w:pos="825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"_Toc29731" </w:instrText>
      </w:r>
      <w:r>
        <w:rPr>
          <w:rFonts w:hint="eastAsia" w:ascii="宋体" w:hAnsi="宋体" w:eastAsia="宋体" w:cs="宋体"/>
          <w:sz w:val="28"/>
          <w:szCs w:val="28"/>
        </w:rPr>
        <w:fldChar w:fldCharType="separate"/>
      </w:r>
      <w:r>
        <w:rPr>
          <w:rFonts w:hint="eastAsia" w:ascii="宋体" w:hAnsi="宋体" w:eastAsia="宋体" w:cs="宋体"/>
          <w:bCs/>
          <w:sz w:val="28"/>
          <w:szCs w:val="28"/>
        </w:rPr>
        <w:t>附件</w:t>
      </w:r>
      <w:r>
        <w:rPr>
          <w:rFonts w:hint="eastAsia" w:ascii="宋体" w:hAnsi="宋体" w:cs="宋体"/>
          <w:bCs/>
          <w:sz w:val="28"/>
          <w:szCs w:val="28"/>
          <w:lang w:val="en-US" w:eastAsia="zh-CN"/>
        </w:rPr>
        <w:t>8：项目照片</w:t>
      </w:r>
      <w:r>
        <w:rPr>
          <w:rFonts w:hint="eastAsia" w:ascii="宋体" w:hAnsi="宋体" w:eastAsia="宋体" w:cs="宋体"/>
          <w:sz w:val="28"/>
          <w:szCs w:val="28"/>
        </w:rPr>
        <w:tab/>
      </w:r>
      <w:r>
        <w:rPr>
          <w:rFonts w:hint="eastAsia" w:ascii="宋体" w:hAnsi="宋体" w:cs="宋体"/>
          <w:sz w:val="28"/>
          <w:szCs w:val="28"/>
          <w:lang w:val="en-US" w:eastAsia="zh-CN"/>
        </w:rPr>
        <w:t>4</w:t>
      </w:r>
      <w:r>
        <w:rPr>
          <w:rFonts w:hint="eastAsia" w:ascii="宋体" w:hAnsi="宋体" w:eastAsia="宋体" w:cs="宋体"/>
          <w:sz w:val="28"/>
          <w:szCs w:val="28"/>
        </w:rPr>
        <w:fldChar w:fldCharType="end"/>
      </w:r>
      <w:r>
        <w:rPr>
          <w:rFonts w:hint="eastAsia" w:ascii="宋体" w:hAnsi="宋体" w:cs="宋体"/>
          <w:sz w:val="28"/>
          <w:szCs w:val="28"/>
          <w:lang w:val="en-US" w:eastAsia="zh-CN"/>
        </w:rPr>
        <w:t>4</w:t>
      </w:r>
    </w:p>
    <w:p>
      <w:pPr>
        <w:spacing w:line="360" w:lineRule="auto"/>
        <w:jc w:val="center"/>
        <w:outlineLvl w:val="0"/>
        <w:rPr>
          <w:rFonts w:hint="eastAsia" w:ascii="宋体" w:hAnsi="宋体" w:eastAsia="宋体" w:cs="宋体"/>
          <w:sz w:val="28"/>
          <w:szCs w:val="28"/>
        </w:rPr>
      </w:pPr>
    </w:p>
    <w:p>
      <w:pPr>
        <w:spacing w:line="360" w:lineRule="auto"/>
        <w:jc w:val="center"/>
        <w:outlineLvl w:val="0"/>
        <w:rPr>
          <w:rFonts w:hint="eastAsia" w:ascii="宋体" w:hAnsi="宋体" w:eastAsia="宋体" w:cs="宋体"/>
          <w:sz w:val="28"/>
          <w:szCs w:val="28"/>
          <w:lang w:eastAsia="zh-CN"/>
        </w:rPr>
      </w:pPr>
    </w:p>
    <w:p>
      <w:pPr>
        <w:spacing w:line="360" w:lineRule="auto"/>
        <w:jc w:val="center"/>
        <w:outlineLvl w:val="0"/>
        <w:rPr>
          <w:rFonts w:hint="eastAsia" w:ascii="宋体" w:hAnsi="宋体" w:eastAsia="宋体" w:cs="宋体"/>
          <w:sz w:val="28"/>
          <w:szCs w:val="28"/>
        </w:rPr>
      </w:pPr>
      <w:bookmarkStart w:id="271" w:name="_GoBack"/>
      <w:bookmarkEnd w:id="271"/>
      <w:r>
        <w:rPr>
          <w:rFonts w:hint="eastAsia" w:ascii="宋体" w:hAnsi="宋体" w:eastAsia="宋体" w:cs="宋体"/>
          <w:sz w:val="28"/>
          <w:szCs w:val="28"/>
        </w:rPr>
        <w:tab/>
      </w:r>
    </w:p>
    <w:p>
      <w:pPr>
        <w:spacing w:line="360" w:lineRule="auto"/>
        <w:jc w:val="center"/>
        <w:outlineLvl w:val="0"/>
        <w:rPr>
          <w:rFonts w:hint="eastAsia" w:ascii="宋体" w:hAnsi="宋体" w:eastAsia="宋体" w:cs="宋体"/>
          <w:sz w:val="28"/>
          <w:szCs w:val="28"/>
        </w:rPr>
      </w:pPr>
    </w:p>
    <w:p>
      <w:pPr>
        <w:spacing w:line="360" w:lineRule="auto"/>
        <w:jc w:val="center"/>
        <w:outlineLvl w:val="0"/>
        <w:rPr>
          <w:rFonts w:hint="eastAsia" w:ascii="宋体" w:hAnsi="宋体" w:eastAsia="宋体" w:cs="宋体"/>
          <w:sz w:val="28"/>
          <w:szCs w:val="28"/>
        </w:rPr>
      </w:pPr>
    </w:p>
    <w:p>
      <w:pPr>
        <w:spacing w:line="360" w:lineRule="auto"/>
        <w:jc w:val="center"/>
        <w:outlineLvl w:val="0"/>
        <w:rPr>
          <w:rFonts w:hint="eastAsia" w:ascii="宋体" w:hAnsi="宋体" w:eastAsia="宋体" w:cs="宋体"/>
          <w:sz w:val="28"/>
          <w:szCs w:val="28"/>
        </w:rPr>
      </w:pPr>
    </w:p>
    <w:p>
      <w:pPr>
        <w:spacing w:line="360" w:lineRule="auto"/>
        <w:jc w:val="center"/>
        <w:outlineLvl w:val="0"/>
        <w:rPr>
          <w:rFonts w:hint="eastAsia" w:ascii="宋体" w:hAnsi="宋体" w:eastAsia="宋体" w:cs="宋体"/>
          <w:sz w:val="28"/>
          <w:szCs w:val="28"/>
        </w:rPr>
      </w:pPr>
    </w:p>
    <w:p>
      <w:pPr>
        <w:spacing w:line="360" w:lineRule="auto"/>
        <w:jc w:val="center"/>
        <w:outlineLvl w:val="0"/>
        <w:rPr>
          <w:rFonts w:hint="eastAsia" w:ascii="宋体" w:hAnsi="宋体" w:eastAsia="宋体" w:cs="宋体"/>
          <w:sz w:val="28"/>
          <w:szCs w:val="28"/>
        </w:rPr>
      </w:pPr>
    </w:p>
    <w:p>
      <w:pPr>
        <w:spacing w:line="360" w:lineRule="auto"/>
        <w:jc w:val="center"/>
        <w:outlineLvl w:val="0"/>
        <w:rPr>
          <w:rFonts w:hint="eastAsia" w:ascii="黑体" w:hAnsi="黑体" w:eastAsia="黑体" w:cs="黑体"/>
          <w:b/>
          <w:bCs/>
          <w:sz w:val="32"/>
          <w:szCs w:val="32"/>
        </w:rPr>
        <w:sectPr>
          <w:footerReference r:id="rId6" w:type="default"/>
          <w:pgSz w:w="11850" w:h="16783"/>
          <w:pgMar w:top="1440" w:right="1797" w:bottom="1440" w:left="1797" w:header="851" w:footer="992" w:gutter="0"/>
          <w:pgNumType w:fmt="decimal" w:start="1"/>
          <w:cols w:space="720" w:num="1"/>
          <w:docGrid w:type="lines" w:linePitch="317" w:charSpace="0"/>
        </w:sectPr>
      </w:pPr>
    </w:p>
    <w:p>
      <w:pPr>
        <w:spacing w:line="360" w:lineRule="auto"/>
        <w:jc w:val="center"/>
        <w:outlineLvl w:val="0"/>
        <w:rPr>
          <w:rFonts w:hint="eastAsia" w:ascii="黑体" w:hAnsi="黑体" w:eastAsia="黑体" w:cs="黑体"/>
          <w:b/>
          <w:bCs/>
          <w:sz w:val="32"/>
          <w:szCs w:val="32"/>
        </w:rPr>
      </w:pPr>
      <w:r>
        <w:rPr>
          <w:rFonts w:hint="eastAsia" w:ascii="黑体" w:hAnsi="黑体" w:eastAsia="黑体" w:cs="黑体"/>
          <w:b/>
          <w:bCs/>
          <w:sz w:val="32"/>
          <w:szCs w:val="32"/>
        </w:rPr>
        <w:t>摘  要</w:t>
      </w:r>
      <w:bookmarkEnd w:id="0"/>
      <w:bookmarkEnd w:id="1"/>
      <w:bookmarkEnd w:id="2"/>
    </w:p>
    <w:p>
      <w:pPr>
        <w:keepNext w:val="0"/>
        <w:keepLines w:val="0"/>
        <w:pageBreakBefore w:val="0"/>
        <w:widowControl/>
        <w:kinsoku/>
        <w:wordWrap/>
        <w:overflowPunct/>
        <w:topLinePunct w:val="0"/>
        <w:bidi w:val="0"/>
        <w:spacing w:line="600" w:lineRule="exact"/>
        <w:ind w:firstLine="562" w:firstLineChars="200"/>
        <w:textAlignment w:val="auto"/>
        <w:rPr>
          <w:rFonts w:hint="eastAsia" w:ascii="宋体" w:hAnsi="宋体" w:eastAsia="宋体" w:cs="宋体"/>
          <w:b/>
          <w:bCs w:val="0"/>
          <w:sz w:val="28"/>
          <w:szCs w:val="28"/>
        </w:rPr>
      </w:pPr>
      <w:bookmarkStart w:id="3" w:name="_Toc8235"/>
      <w:bookmarkStart w:id="4" w:name="_Toc31061"/>
      <w:r>
        <w:rPr>
          <w:rFonts w:hint="eastAsia" w:ascii="宋体" w:hAnsi="宋体" w:eastAsia="宋体" w:cs="宋体"/>
          <w:b/>
          <w:bCs w:val="0"/>
          <w:sz w:val="28"/>
          <w:szCs w:val="28"/>
        </w:rPr>
        <w:t>一、项目概况</w:t>
      </w:r>
      <w:bookmarkEnd w:id="3"/>
      <w:bookmarkEnd w:id="4"/>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b w:val="0"/>
          <w:bCs/>
          <w:sz w:val="28"/>
          <w:szCs w:val="28"/>
        </w:rPr>
      </w:pPr>
      <w:bookmarkStart w:id="5" w:name="_Toc1221"/>
      <w:r>
        <w:rPr>
          <w:rFonts w:hint="eastAsia" w:ascii="宋体" w:hAnsi="宋体" w:eastAsia="宋体" w:cs="宋体"/>
          <w:b w:val="0"/>
          <w:bCs/>
          <w:sz w:val="28"/>
          <w:szCs w:val="28"/>
        </w:rPr>
        <w:t>（一）项目背景</w:t>
      </w:r>
      <w:bookmarkEnd w:id="5"/>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bCs/>
          <w:color w:val="000000" w:themeColor="text1"/>
          <w:sz w:val="28"/>
          <w:szCs w:val="28"/>
          <w:lang w:bidi="ar"/>
          <w14:textFill>
            <w14:solidFill>
              <w14:schemeClr w14:val="tx1"/>
            </w14:solidFill>
          </w14:textFill>
        </w:rPr>
      </w:pPr>
      <w:r>
        <w:rPr>
          <w:rFonts w:hint="eastAsia" w:ascii="宋体" w:hAnsi="宋体" w:eastAsia="宋体" w:cs="宋体"/>
          <w:bCs/>
          <w:color w:val="000000" w:themeColor="text1"/>
          <w:sz w:val="28"/>
          <w:szCs w:val="28"/>
          <w:lang w:bidi="ar"/>
          <w14:textFill>
            <w14:solidFill>
              <w14:schemeClr w14:val="tx1"/>
            </w14:solidFill>
          </w14:textFill>
        </w:rPr>
        <w:t>我国是产粮大国、也是粮食消费大国。做好粮食储藏工作意义重大，关系军需民食，也关系国家安全、社会稳定。我国人口众多，是个农业大国。粮食问题历来是人民生活和国家经济工作的头等大事，是党和政府的工作重点，粮食状况的好坏直接影响整个经济和社会的发展和稳定。</w:t>
      </w:r>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bCs/>
          <w:color w:val="000000" w:themeColor="text1"/>
          <w:sz w:val="28"/>
          <w:szCs w:val="28"/>
          <w:lang w:bidi="ar"/>
          <w14:textFill>
            <w14:solidFill>
              <w14:schemeClr w14:val="tx1"/>
            </w14:solidFill>
          </w14:textFill>
        </w:rPr>
      </w:pPr>
      <w:r>
        <w:rPr>
          <w:rFonts w:hint="eastAsia" w:ascii="宋体" w:hAnsi="宋体" w:eastAsia="宋体" w:cs="宋体"/>
          <w:sz w:val="28"/>
          <w:szCs w:val="28"/>
          <w:lang w:bidi="ar"/>
        </w:rPr>
        <w:t>市级储备粮油是市人民政府调控全市粮油市场和实施社会粮食应急救济的重要战略物资。</w:t>
      </w:r>
      <w:r>
        <w:rPr>
          <w:rFonts w:hint="eastAsia" w:ascii="宋体" w:hAnsi="宋体" w:eastAsia="宋体" w:cs="宋体"/>
          <w:bCs/>
          <w:color w:val="000000" w:themeColor="text1"/>
          <w:sz w:val="28"/>
          <w:szCs w:val="28"/>
          <w:lang w:bidi="ar"/>
          <w14:textFill>
            <w14:solidFill>
              <w14:schemeClr w14:val="tx1"/>
            </w14:solidFill>
          </w14:textFill>
        </w:rPr>
        <w:t>为了完成省政府、省粮食局部署的市级储备粮油管理任务，2009年2月，市政府50次常务会议决定设立运城市地方粮食战略储备库，为公益类国有企业，承担市级储备粮油管理和储存任务，2020年11月，运城市地方粮食战略储备库更名为运城市地方粮食战略储备库有限责任公司。</w:t>
      </w:r>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bCs/>
          <w:color w:val="000000" w:themeColor="text1"/>
          <w:sz w:val="28"/>
          <w:szCs w:val="28"/>
          <w:lang w:bidi="ar"/>
          <w14:textFill>
            <w14:solidFill>
              <w14:schemeClr w14:val="tx1"/>
            </w14:solidFill>
          </w14:textFill>
        </w:rPr>
      </w:pPr>
      <w:r>
        <w:rPr>
          <w:rFonts w:hint="eastAsia" w:ascii="宋体" w:hAnsi="宋体" w:eastAsia="宋体" w:cs="宋体"/>
          <w:bCs/>
          <w:color w:val="000000" w:themeColor="text1"/>
          <w:sz w:val="28"/>
          <w:szCs w:val="28"/>
          <w:lang w:bidi="ar"/>
          <w14:textFill>
            <w14:solidFill>
              <w14:schemeClr w14:val="tx1"/>
            </w14:solidFill>
          </w14:textFill>
        </w:rPr>
        <w:t>一是承担市级储备粮管理和储存任务。承担市级储备粮任务2.15亿斤和省级储备粮3000万斤。二是承担市级储备油管理和储存任务。市级储备油300万斤，包括200万斤散装油及100万斤小包装食用油。三是承担市级应急粮油管理和储存任务，应急成品粮1550万斤和应急成品油160万斤。</w:t>
      </w:r>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b w:val="0"/>
          <w:bCs/>
          <w:color w:val="000000"/>
          <w:sz w:val="28"/>
          <w:szCs w:val="28"/>
        </w:rPr>
      </w:pPr>
      <w:bookmarkStart w:id="6" w:name="_Toc3274"/>
      <w:r>
        <w:rPr>
          <w:rFonts w:hint="eastAsia" w:ascii="宋体" w:hAnsi="宋体" w:eastAsia="宋体" w:cs="宋体"/>
          <w:b w:val="0"/>
          <w:bCs/>
          <w:sz w:val="28"/>
          <w:szCs w:val="28"/>
        </w:rPr>
        <w:t>（二）项目基本情况</w:t>
      </w:r>
      <w:bookmarkEnd w:id="6"/>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kern w:val="0"/>
          <w:sz w:val="28"/>
          <w:szCs w:val="28"/>
        </w:rPr>
      </w:pPr>
      <w:r>
        <w:rPr>
          <w:rFonts w:hint="eastAsia" w:ascii="宋体" w:hAnsi="宋体" w:eastAsia="宋体" w:cs="宋体"/>
          <w:color w:val="auto"/>
          <w:kern w:val="0"/>
          <w:sz w:val="28"/>
          <w:szCs w:val="28"/>
        </w:rPr>
        <w:t>运城市地方粮食战略储备库有限责任公司，共</w:t>
      </w:r>
      <w:r>
        <w:rPr>
          <w:rFonts w:hint="eastAsia" w:ascii="宋体" w:hAnsi="宋体" w:eastAsia="宋体" w:cs="宋体"/>
          <w:kern w:val="0"/>
          <w:sz w:val="28"/>
          <w:szCs w:val="28"/>
        </w:rPr>
        <w:t>有在册职工134人，根据工作需要设有仓储管理部、购销部、质检科、安保科等业务科室，以及一个下属经营性公司市粮丰物贸有限公司。储备库占地65亩，空港库区总仓容1.26亿斤。分库点上郭、栲栳、卿头、稷山、新绛、闻喜、礼元七个库区仓库。2021年承担省级储备粮3000万斤、市级储备小麦21500万斤、市级储备食用油200万斤、市级储备小包装油100万斤</w:t>
      </w:r>
      <w:r>
        <w:rPr>
          <w:rFonts w:hint="eastAsia" w:ascii="宋体" w:hAnsi="宋体" w:eastAsia="宋体" w:cs="宋体"/>
          <w:color w:val="auto"/>
          <w:kern w:val="0"/>
          <w:sz w:val="28"/>
          <w:szCs w:val="28"/>
        </w:rPr>
        <w:t>、</w:t>
      </w:r>
      <w:r>
        <w:rPr>
          <w:rFonts w:hint="eastAsia" w:ascii="宋体" w:hAnsi="宋体" w:eastAsia="宋体" w:cs="宋体"/>
          <w:bCs/>
          <w:color w:val="auto"/>
          <w:sz w:val="28"/>
          <w:szCs w:val="28"/>
          <w:lang w:bidi="ar"/>
        </w:rPr>
        <w:t>应急成品粮1550万斤和应急成品油160万斤</w:t>
      </w:r>
      <w:r>
        <w:rPr>
          <w:rFonts w:hint="eastAsia" w:ascii="宋体" w:hAnsi="宋体" w:eastAsia="宋体" w:cs="宋体"/>
          <w:color w:val="auto"/>
          <w:kern w:val="0"/>
          <w:sz w:val="28"/>
          <w:szCs w:val="28"/>
        </w:rPr>
        <w:t>及年</w:t>
      </w:r>
      <w:r>
        <w:rPr>
          <w:rFonts w:hint="eastAsia" w:ascii="宋体" w:hAnsi="宋体" w:eastAsia="宋体" w:cs="宋体"/>
          <w:kern w:val="0"/>
          <w:sz w:val="28"/>
          <w:szCs w:val="28"/>
        </w:rPr>
        <w:t>度轮换任务。</w:t>
      </w:r>
    </w:p>
    <w:p>
      <w:pPr>
        <w:keepNext w:val="0"/>
        <w:keepLines w:val="0"/>
        <w:pageBreakBefore w:val="0"/>
        <w:kinsoku/>
        <w:wordWrap/>
        <w:overflowPunct/>
        <w:topLinePunct w:val="0"/>
        <w:autoSpaceDE w:val="0"/>
        <w:autoSpaceDN w:val="0"/>
        <w:bidi w:val="0"/>
        <w:spacing w:line="600" w:lineRule="exact"/>
        <w:ind w:firstLine="560" w:firstLineChars="200"/>
        <w:textAlignment w:val="auto"/>
        <w:rPr>
          <w:rFonts w:hint="eastAsia" w:ascii="宋体" w:hAnsi="宋体" w:eastAsia="宋体" w:cs="宋体"/>
          <w:b w:val="0"/>
          <w:bCs/>
          <w:kern w:val="0"/>
          <w:sz w:val="28"/>
          <w:szCs w:val="28"/>
        </w:rPr>
      </w:pPr>
      <w:bookmarkStart w:id="7" w:name="_Toc9838"/>
      <w:r>
        <w:rPr>
          <w:rFonts w:hint="eastAsia" w:ascii="宋体" w:hAnsi="宋体" w:eastAsia="宋体" w:cs="宋体"/>
          <w:b w:val="0"/>
          <w:bCs/>
          <w:sz w:val="28"/>
          <w:szCs w:val="28"/>
        </w:rPr>
        <w:t>（三）</w:t>
      </w:r>
      <w:r>
        <w:rPr>
          <w:rFonts w:hint="eastAsia" w:ascii="宋体" w:hAnsi="宋体" w:eastAsia="宋体" w:cs="宋体"/>
          <w:b w:val="0"/>
          <w:bCs/>
          <w:color w:val="000000"/>
          <w:sz w:val="28"/>
          <w:szCs w:val="28"/>
        </w:rPr>
        <w:t>资金投入和使用情况</w:t>
      </w:r>
      <w:bookmarkEnd w:id="7"/>
    </w:p>
    <w:p>
      <w:pPr>
        <w:keepNext w:val="0"/>
        <w:keepLines w:val="0"/>
        <w:pageBreakBefore w:val="0"/>
        <w:kinsoku/>
        <w:wordWrap/>
        <w:overflowPunct/>
        <w:topLinePunct w:val="0"/>
        <w:autoSpaceDE w:val="0"/>
        <w:autoSpaceDN w:val="0"/>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bCs/>
          <w:kern w:val="0"/>
          <w:sz w:val="28"/>
          <w:szCs w:val="28"/>
        </w:rPr>
        <w:t>2021年度收到运城市财政局保管费用及轮换费用1,759.50万元，省级财政资金187.50万元，合计1,947.00万元</w:t>
      </w:r>
      <w:r>
        <w:rPr>
          <w:rFonts w:hint="eastAsia" w:ascii="宋体" w:hAnsi="宋体" w:eastAsia="宋体" w:cs="宋体"/>
          <w:bCs/>
          <w:kern w:val="0"/>
          <w:sz w:val="28"/>
          <w:szCs w:val="28"/>
          <w:lang w:eastAsia="zh-CN"/>
        </w:rPr>
        <w:t>，</w:t>
      </w:r>
      <w:r>
        <w:rPr>
          <w:rFonts w:hint="eastAsia" w:ascii="宋体" w:hAnsi="宋体" w:eastAsia="宋体" w:cs="宋体"/>
          <w:bCs/>
          <w:kern w:val="0"/>
          <w:sz w:val="28"/>
          <w:szCs w:val="28"/>
        </w:rPr>
        <w:t>支付项目资金1943.66万元</w:t>
      </w:r>
      <w:r>
        <w:rPr>
          <w:rFonts w:hint="eastAsia" w:ascii="宋体" w:hAnsi="宋体" w:eastAsia="宋体" w:cs="宋体"/>
          <w:bCs/>
          <w:kern w:val="0"/>
          <w:sz w:val="28"/>
          <w:szCs w:val="28"/>
          <w:lang w:eastAsia="zh-CN"/>
        </w:rPr>
        <w:t>，</w:t>
      </w:r>
      <w:r>
        <w:rPr>
          <w:rFonts w:hint="eastAsia" w:ascii="宋体" w:hAnsi="宋体" w:eastAsia="宋体" w:cs="宋体"/>
          <w:bCs/>
          <w:kern w:val="0"/>
          <w:sz w:val="28"/>
          <w:szCs w:val="28"/>
          <w:lang w:val="en-US" w:eastAsia="zh-CN"/>
        </w:rPr>
        <w:t>结余3.34万元。</w:t>
      </w:r>
    </w:p>
    <w:p>
      <w:pPr>
        <w:keepNext w:val="0"/>
        <w:keepLines w:val="0"/>
        <w:pageBreakBefore w:val="0"/>
        <w:kinsoku/>
        <w:wordWrap/>
        <w:overflowPunct/>
        <w:topLinePunct w:val="0"/>
        <w:bidi w:val="0"/>
        <w:spacing w:line="600" w:lineRule="exact"/>
        <w:ind w:firstLine="562" w:firstLineChars="200"/>
        <w:textAlignment w:val="auto"/>
        <w:rPr>
          <w:rFonts w:hint="eastAsia" w:ascii="宋体" w:hAnsi="宋体" w:eastAsia="宋体" w:cs="宋体"/>
          <w:b/>
          <w:bCs w:val="0"/>
          <w:sz w:val="28"/>
          <w:szCs w:val="28"/>
        </w:rPr>
      </w:pPr>
      <w:bookmarkStart w:id="8" w:name="_Toc15624"/>
      <w:bookmarkStart w:id="9" w:name="_Toc19445"/>
      <w:r>
        <w:rPr>
          <w:rFonts w:hint="eastAsia" w:ascii="宋体" w:hAnsi="宋体" w:eastAsia="宋体" w:cs="宋体"/>
          <w:b/>
          <w:bCs w:val="0"/>
          <w:sz w:val="28"/>
          <w:szCs w:val="28"/>
        </w:rPr>
        <w:t>二、评价结果和评价结论</w:t>
      </w:r>
      <w:bookmarkEnd w:id="8"/>
      <w:bookmarkEnd w:id="9"/>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sz w:val="28"/>
          <w:szCs w:val="28"/>
        </w:rPr>
      </w:pPr>
      <w:bookmarkStart w:id="10" w:name="_Toc24110"/>
      <w:r>
        <w:rPr>
          <w:rFonts w:hint="eastAsia" w:ascii="宋体" w:hAnsi="宋体" w:eastAsia="宋体" w:cs="宋体"/>
          <w:sz w:val="28"/>
          <w:szCs w:val="28"/>
        </w:rPr>
        <w:t>通过对2021储备粮油管理费、轮换费项目财政支出资金决策类、过程类、产出类、效益类四方面进行评价，根据各项指标得分情况，2021储备粮油管理费、轮换费项目财政支出绩效评价总体得分为</w:t>
      </w:r>
      <w:r>
        <w:rPr>
          <w:rFonts w:hint="eastAsia" w:ascii="宋体" w:hAnsi="宋体" w:eastAsia="宋体" w:cs="宋体"/>
          <w:sz w:val="28"/>
          <w:szCs w:val="28"/>
          <w:lang w:val="en-US" w:eastAsia="zh-CN"/>
        </w:rPr>
        <w:t>93</w:t>
      </w:r>
      <w:r>
        <w:rPr>
          <w:rFonts w:hint="eastAsia" w:ascii="宋体" w:hAnsi="宋体" w:eastAsia="宋体" w:cs="宋体"/>
          <w:sz w:val="28"/>
          <w:szCs w:val="28"/>
        </w:rPr>
        <w:t>分，综合绩效评价等级为“优”。具体情况如下表：</w:t>
      </w:r>
    </w:p>
    <w:p>
      <w:pPr>
        <w:keepNext w:val="0"/>
        <w:keepLines w:val="0"/>
        <w:pageBreakBefore w:val="0"/>
        <w:kinsoku/>
        <w:wordWrap/>
        <w:overflowPunct/>
        <w:topLinePunct w:val="0"/>
        <w:bidi w:val="0"/>
        <w:adjustRightInd w:val="0"/>
        <w:snapToGrid w:val="0"/>
        <w:spacing w:line="600" w:lineRule="exact"/>
        <w:jc w:val="center"/>
        <w:textAlignment w:val="auto"/>
        <w:rPr>
          <w:rFonts w:hint="eastAsia" w:ascii="宋体" w:hAnsi="宋体" w:eastAsia="宋体" w:cs="宋体"/>
          <w:b w:val="0"/>
          <w:bCs w:val="0"/>
          <w:sz w:val="28"/>
          <w:szCs w:val="28"/>
        </w:rPr>
      </w:pPr>
      <w:bookmarkStart w:id="11" w:name="_Toc19703"/>
      <w:r>
        <w:rPr>
          <w:rFonts w:hint="eastAsia" w:ascii="宋体" w:hAnsi="宋体" w:eastAsia="宋体" w:cs="宋体"/>
          <w:b w:val="0"/>
          <w:bCs w:val="0"/>
          <w:sz w:val="28"/>
          <w:szCs w:val="28"/>
        </w:rPr>
        <w:t>绩效评价一级指标得分情况</w:t>
      </w:r>
      <w:bookmarkEnd w:id="11"/>
    </w:p>
    <w:tbl>
      <w:tblPr>
        <w:tblStyle w:val="14"/>
        <w:tblW w:w="4998" w:type="pct"/>
        <w:jc w:val="center"/>
        <w:tblLayout w:type="autofit"/>
        <w:tblCellMar>
          <w:top w:w="0" w:type="dxa"/>
          <w:left w:w="108" w:type="dxa"/>
          <w:bottom w:w="0" w:type="dxa"/>
          <w:right w:w="108" w:type="dxa"/>
        </w:tblCellMar>
      </w:tblPr>
      <w:tblGrid>
        <w:gridCol w:w="1938"/>
        <w:gridCol w:w="1543"/>
        <w:gridCol w:w="1543"/>
        <w:gridCol w:w="1541"/>
        <w:gridCol w:w="1541"/>
        <w:gridCol w:w="1146"/>
      </w:tblGrid>
      <w:tr>
        <w:tblPrEx>
          <w:tblCellMar>
            <w:top w:w="0" w:type="dxa"/>
            <w:left w:w="108" w:type="dxa"/>
            <w:bottom w:w="0" w:type="dxa"/>
            <w:right w:w="108" w:type="dxa"/>
          </w:tblCellMar>
        </w:tblPrEx>
        <w:trPr>
          <w:trHeight w:val="397" w:hRule="atLeast"/>
          <w:jc w:val="center"/>
        </w:trPr>
        <w:tc>
          <w:tcPr>
            <w:tcW w:w="1047"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keepNext w:val="0"/>
              <w:keepLines w:val="0"/>
              <w:pageBreakBefore w:val="0"/>
              <w:kinsoku/>
              <w:wordWrap/>
              <w:overflowPunct/>
              <w:topLinePunct w:val="0"/>
              <w:bidi w:val="0"/>
              <w:adjustRightInd w:val="0"/>
              <w:spacing w:line="60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评级指标</w:t>
            </w:r>
          </w:p>
        </w:tc>
        <w:tc>
          <w:tcPr>
            <w:tcW w:w="833"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kinsoku/>
              <w:wordWrap/>
              <w:overflowPunct/>
              <w:topLinePunct w:val="0"/>
              <w:bidi w:val="0"/>
              <w:adjustRightInd w:val="0"/>
              <w:spacing w:line="60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决策类</w:t>
            </w:r>
          </w:p>
        </w:tc>
        <w:tc>
          <w:tcPr>
            <w:tcW w:w="833"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kinsoku/>
              <w:wordWrap/>
              <w:overflowPunct/>
              <w:topLinePunct w:val="0"/>
              <w:bidi w:val="0"/>
              <w:adjustRightInd w:val="0"/>
              <w:spacing w:line="60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过程类</w:t>
            </w:r>
          </w:p>
        </w:tc>
        <w:tc>
          <w:tcPr>
            <w:tcW w:w="832"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kinsoku/>
              <w:wordWrap/>
              <w:overflowPunct/>
              <w:topLinePunct w:val="0"/>
              <w:bidi w:val="0"/>
              <w:adjustRightInd w:val="0"/>
              <w:spacing w:line="60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产出类</w:t>
            </w:r>
          </w:p>
        </w:tc>
        <w:tc>
          <w:tcPr>
            <w:tcW w:w="832"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keepNext w:val="0"/>
              <w:keepLines w:val="0"/>
              <w:pageBreakBefore w:val="0"/>
              <w:kinsoku/>
              <w:wordWrap/>
              <w:overflowPunct/>
              <w:topLinePunct w:val="0"/>
              <w:bidi w:val="0"/>
              <w:adjustRightInd w:val="0"/>
              <w:spacing w:line="60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效益类</w:t>
            </w:r>
          </w:p>
        </w:tc>
        <w:tc>
          <w:tcPr>
            <w:tcW w:w="619"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keepNext w:val="0"/>
              <w:keepLines w:val="0"/>
              <w:pageBreakBefore w:val="0"/>
              <w:kinsoku/>
              <w:wordWrap/>
              <w:overflowPunct/>
              <w:topLinePunct w:val="0"/>
              <w:bidi w:val="0"/>
              <w:adjustRightInd w:val="0"/>
              <w:spacing w:line="60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总分</w:t>
            </w:r>
          </w:p>
        </w:tc>
      </w:tr>
      <w:tr>
        <w:tblPrEx>
          <w:tblCellMar>
            <w:top w:w="0" w:type="dxa"/>
            <w:left w:w="108" w:type="dxa"/>
            <w:bottom w:w="0" w:type="dxa"/>
            <w:right w:w="108" w:type="dxa"/>
          </w:tblCellMar>
        </w:tblPrEx>
        <w:trPr>
          <w:trHeight w:val="397" w:hRule="atLeast"/>
          <w:jc w:val="center"/>
        </w:trPr>
        <w:tc>
          <w:tcPr>
            <w:tcW w:w="1047" w:type="pct"/>
            <w:tcBorders>
              <w:top w:val="nil"/>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pacing w:line="600" w:lineRule="exact"/>
              <w:ind w:leftChars="-1" w:hanging="2" w:hangingChars="1"/>
              <w:jc w:val="center"/>
              <w:textAlignment w:val="auto"/>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评价得分</w:t>
            </w:r>
          </w:p>
        </w:tc>
        <w:tc>
          <w:tcPr>
            <w:tcW w:w="833"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pacing w:line="600" w:lineRule="exact"/>
              <w:ind w:left="0" w:leftChars="-1" w:hanging="2" w:hangingChars="1"/>
              <w:jc w:val="center"/>
              <w:textAlignment w:val="auto"/>
              <w:rPr>
                <w:rFonts w:hint="default"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rPr>
              <w:t>18</w:t>
            </w:r>
          </w:p>
        </w:tc>
        <w:tc>
          <w:tcPr>
            <w:tcW w:w="833"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pacing w:line="600" w:lineRule="exact"/>
              <w:ind w:left="0" w:leftChars="-1" w:hanging="2" w:hangingChars="1"/>
              <w:jc w:val="center"/>
              <w:textAlignment w:val="auto"/>
              <w:rPr>
                <w:rFonts w:hint="default"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rPr>
              <w:t>18</w:t>
            </w:r>
          </w:p>
        </w:tc>
        <w:tc>
          <w:tcPr>
            <w:tcW w:w="832"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pacing w:line="600" w:lineRule="exact"/>
              <w:ind w:left="0" w:leftChars="-1" w:hanging="2" w:hangingChars="1"/>
              <w:jc w:val="center"/>
              <w:textAlignment w:val="auto"/>
              <w:rPr>
                <w:rFonts w:hint="default"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rPr>
              <w:t>27</w:t>
            </w:r>
          </w:p>
        </w:tc>
        <w:tc>
          <w:tcPr>
            <w:tcW w:w="832" w:type="pct"/>
            <w:tcBorders>
              <w:top w:val="nil"/>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pacing w:line="600" w:lineRule="exact"/>
              <w:ind w:left="0" w:leftChars="-1" w:hanging="2" w:hangingChars="1"/>
              <w:jc w:val="center"/>
              <w:textAlignment w:val="auto"/>
              <w:rPr>
                <w:rFonts w:hint="default"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30</w:t>
            </w:r>
          </w:p>
        </w:tc>
        <w:tc>
          <w:tcPr>
            <w:tcW w:w="6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pacing w:line="600" w:lineRule="exact"/>
              <w:ind w:left="0" w:leftChars="-1" w:hanging="2" w:hangingChars="1"/>
              <w:jc w:val="center"/>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rPr>
              <w:t>9</w:t>
            </w:r>
            <w:r>
              <w:rPr>
                <w:rFonts w:hint="eastAsia" w:ascii="宋体" w:hAnsi="宋体" w:eastAsia="宋体" w:cs="宋体"/>
                <w:b w:val="0"/>
                <w:bCs w:val="0"/>
                <w:kern w:val="0"/>
                <w:sz w:val="24"/>
                <w:szCs w:val="24"/>
                <w:lang w:val="en-US" w:eastAsia="zh-CN"/>
              </w:rPr>
              <w:t>3</w:t>
            </w:r>
          </w:p>
        </w:tc>
      </w:tr>
    </w:tbl>
    <w:p>
      <w:pPr>
        <w:keepNext w:val="0"/>
        <w:keepLines w:val="0"/>
        <w:pageBreakBefore w:val="0"/>
        <w:kinsoku/>
        <w:wordWrap/>
        <w:overflowPunct/>
        <w:topLinePunct w:val="0"/>
        <w:bidi w:val="0"/>
        <w:spacing w:line="600" w:lineRule="exact"/>
        <w:ind w:firstLine="562" w:firstLineChars="200"/>
        <w:textAlignment w:val="auto"/>
        <w:rPr>
          <w:rFonts w:hint="eastAsia" w:ascii="宋体" w:hAnsi="宋体" w:eastAsia="宋体" w:cs="宋体"/>
          <w:b/>
          <w:bCs/>
          <w:sz w:val="28"/>
          <w:szCs w:val="28"/>
        </w:rPr>
      </w:pPr>
      <w:bookmarkStart w:id="12" w:name="_Toc7475"/>
      <w:r>
        <w:rPr>
          <w:rFonts w:hint="eastAsia" w:ascii="宋体" w:hAnsi="宋体" w:eastAsia="宋体" w:cs="宋体"/>
          <w:b/>
          <w:bCs/>
          <w:sz w:val="28"/>
          <w:szCs w:val="28"/>
        </w:rPr>
        <w:t>三、</w:t>
      </w:r>
      <w:bookmarkEnd w:id="10"/>
      <w:r>
        <w:rPr>
          <w:rFonts w:hint="eastAsia" w:ascii="宋体" w:hAnsi="宋体" w:eastAsia="宋体" w:cs="宋体"/>
          <w:b/>
          <w:bCs/>
          <w:sz w:val="28"/>
          <w:szCs w:val="28"/>
        </w:rPr>
        <w:t>主要经验及做法</w:t>
      </w:r>
      <w:bookmarkEnd w:id="12"/>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sz w:val="28"/>
          <w:szCs w:val="28"/>
        </w:rPr>
      </w:pPr>
      <w:bookmarkStart w:id="13" w:name="_Toc17812"/>
      <w:r>
        <w:rPr>
          <w:rFonts w:hint="eastAsia" w:ascii="宋体" w:hAnsi="宋体" w:eastAsia="宋体" w:cs="宋体"/>
          <w:sz w:val="28"/>
          <w:szCs w:val="28"/>
        </w:rPr>
        <w:t>对所有库区仓库划片分区，责任到人，从出库、入库、验收到日常管理，全面施行包仓管理，终身负责。截止目前，没有发生过一起粮食安全责任事故。“四无粮仓”达标率</w:t>
      </w:r>
      <w:bookmarkEnd w:id="13"/>
      <w:r>
        <w:rPr>
          <w:rFonts w:hint="eastAsia" w:ascii="宋体" w:hAnsi="宋体" w:eastAsia="宋体" w:cs="宋体"/>
          <w:sz w:val="28"/>
          <w:szCs w:val="28"/>
        </w:rPr>
        <w:t>100%。为提高市级储备库本库和分库点科学化管理水平，对标对表中央储备粮企业的仓储管理、目标考核、保管员责任制等先进办法，学习和总结兄弟粮库工作经验，寻找差距，补齐短板，探索出了一套适合市级储备库管理的新办法、新路径、新机制，做到软件与硬件一起提高、人员与制度一起配套、工作与薪酬一起挂钩。新的一套办法在仓储一线运行以来，仓储保管员积极性空前高涨，库区管理水平大幅提升，库容库貌焕发新颜。在全库形成了“比学赶超”的良好氛围。在此基础上，加强分库点管理，派出专人深入代储库点长期监管，推进分库点驻库管理及考核办法，进一步确保了市级储备粮的安全性。</w:t>
      </w:r>
    </w:p>
    <w:p>
      <w:pPr>
        <w:keepNext w:val="0"/>
        <w:keepLines w:val="0"/>
        <w:pageBreakBefore w:val="0"/>
        <w:kinsoku/>
        <w:wordWrap/>
        <w:overflowPunct/>
        <w:topLinePunct w:val="0"/>
        <w:bidi w:val="0"/>
        <w:spacing w:line="600" w:lineRule="exact"/>
        <w:ind w:firstLine="562" w:firstLineChars="200"/>
        <w:textAlignment w:val="auto"/>
        <w:rPr>
          <w:rFonts w:hint="eastAsia" w:ascii="宋体" w:hAnsi="宋体" w:eastAsia="宋体" w:cs="宋体"/>
          <w:b/>
          <w:bCs/>
          <w:sz w:val="28"/>
          <w:szCs w:val="28"/>
        </w:rPr>
      </w:pPr>
      <w:bookmarkStart w:id="14" w:name="_Toc20887"/>
      <w:r>
        <w:rPr>
          <w:rFonts w:hint="eastAsia" w:ascii="宋体" w:hAnsi="宋体" w:eastAsia="宋体" w:cs="宋体"/>
          <w:b/>
          <w:bCs/>
          <w:sz w:val="28"/>
          <w:szCs w:val="28"/>
        </w:rPr>
        <w:t>四、存在问题</w:t>
      </w:r>
      <w:bookmarkEnd w:id="14"/>
    </w:p>
    <w:p>
      <w:pPr>
        <w:pStyle w:val="2"/>
        <w:keepNext w:val="0"/>
        <w:keepLines w:val="0"/>
        <w:pageBreakBefore w:val="0"/>
        <w:kinsoku/>
        <w:wordWrap/>
        <w:overflowPunct/>
        <w:topLinePunct w:val="0"/>
        <w:bidi w:val="0"/>
        <w:spacing w:after="0"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.部分指标体系不够清晰、没有量化。</w:t>
      </w:r>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.未制定员工定期培训制度及年度培训计划。</w:t>
      </w:r>
    </w:p>
    <w:p>
      <w:pPr>
        <w:keepNext w:val="0"/>
        <w:keepLines w:val="0"/>
        <w:pageBreakBefore w:val="0"/>
        <w:kinsoku/>
        <w:wordWrap/>
        <w:overflowPunct/>
        <w:topLinePunct w:val="0"/>
        <w:bidi w:val="0"/>
        <w:spacing w:line="600" w:lineRule="exact"/>
        <w:ind w:firstLine="562" w:firstLineChars="200"/>
        <w:textAlignment w:val="auto"/>
        <w:rPr>
          <w:rFonts w:hint="eastAsia" w:ascii="宋体" w:hAnsi="宋体" w:eastAsia="宋体" w:cs="宋体"/>
          <w:b/>
          <w:bCs/>
          <w:sz w:val="28"/>
          <w:szCs w:val="28"/>
        </w:rPr>
      </w:pPr>
      <w:bookmarkStart w:id="15" w:name="_Toc5519"/>
      <w:r>
        <w:rPr>
          <w:rFonts w:hint="eastAsia" w:ascii="宋体" w:hAnsi="宋体" w:eastAsia="宋体" w:cs="宋体"/>
          <w:b/>
          <w:bCs/>
          <w:sz w:val="28"/>
          <w:szCs w:val="28"/>
        </w:rPr>
        <w:t>五、改进措施</w:t>
      </w:r>
      <w:bookmarkEnd w:id="15"/>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.绩效指标设计，指标要清晰、可量化。</w:t>
      </w:r>
    </w:p>
    <w:p>
      <w:pPr>
        <w:keepNext w:val="0"/>
        <w:keepLines w:val="0"/>
        <w:pageBreakBefore w:val="0"/>
        <w:kinsoku/>
        <w:wordWrap/>
        <w:overflowPunct/>
        <w:topLinePunct w:val="0"/>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.制定完成员工定期培训制度、依据培训制度，做好年度培训计划</w:t>
      </w:r>
      <w:r>
        <w:rPr>
          <w:rFonts w:hint="eastAsia" w:ascii="宋体" w:hAnsi="宋体" w:eastAsia="宋体" w:cs="宋体"/>
          <w:sz w:val="28"/>
          <w:szCs w:val="28"/>
          <w:lang w:val="en-US" w:eastAsia="zh-CN"/>
        </w:rPr>
        <w:t>并严格执行</w:t>
      </w:r>
      <w:r>
        <w:rPr>
          <w:rFonts w:hint="eastAsia" w:ascii="宋体" w:hAnsi="宋体" w:eastAsia="宋体" w:cs="宋体"/>
          <w:sz w:val="28"/>
          <w:szCs w:val="28"/>
        </w:rPr>
        <w:t>。</w:t>
      </w:r>
    </w:p>
    <w:p>
      <w:pPr>
        <w:pStyle w:val="2"/>
        <w:spacing w:after="0" w:line="360" w:lineRule="auto"/>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br w:type="page"/>
      </w:r>
    </w:p>
    <w:p>
      <w:pPr>
        <w:autoSpaceDE w:val="0"/>
        <w:autoSpaceDN w:val="0"/>
        <w:spacing w:line="360" w:lineRule="auto"/>
        <w:ind w:firstLine="1285" w:firstLineChars="400"/>
        <w:rPr>
          <w:rFonts w:hint="eastAsia" w:ascii="黑体" w:hAnsi="黑体" w:eastAsia="黑体" w:cs="黑体"/>
          <w:b/>
          <w:bCs/>
          <w:sz w:val="32"/>
          <w:szCs w:val="32"/>
        </w:rPr>
      </w:pPr>
      <w:r>
        <w:rPr>
          <w:rFonts w:hint="eastAsia" w:ascii="黑体" w:hAnsi="黑体" w:eastAsia="黑体" w:cs="黑体"/>
          <w:b/>
          <w:bCs/>
          <w:sz w:val="32"/>
          <w:szCs w:val="32"/>
        </w:rPr>
        <w:t>2021年储备粮油保管费、轮换费资金项目</w:t>
      </w:r>
    </w:p>
    <w:p>
      <w:pPr>
        <w:autoSpaceDE w:val="0"/>
        <w:autoSpaceDN w:val="0"/>
        <w:spacing w:line="360" w:lineRule="auto"/>
        <w:jc w:val="center"/>
        <w:rPr>
          <w:rFonts w:hint="eastAsia" w:ascii="黑体" w:hAnsi="黑体" w:eastAsia="黑体" w:cs="黑体"/>
          <w:b/>
          <w:bCs/>
          <w:sz w:val="32"/>
          <w:szCs w:val="32"/>
        </w:rPr>
      </w:pPr>
      <w:bookmarkStart w:id="16" w:name="_Toc10484"/>
      <w:r>
        <w:rPr>
          <w:rFonts w:hint="eastAsia" w:ascii="黑体" w:hAnsi="黑体" w:eastAsia="黑体" w:cs="黑体"/>
          <w:b/>
          <w:bCs/>
          <w:sz w:val="32"/>
          <w:szCs w:val="32"/>
        </w:rPr>
        <w:t>财政支出绩效评价报告</w:t>
      </w:r>
      <w:bookmarkEnd w:id="16"/>
    </w:p>
    <w:p>
      <w:pPr>
        <w:pStyle w:val="2"/>
        <w:rPr>
          <w:rFonts w:hint="eastAsia"/>
        </w:rPr>
      </w:pPr>
    </w:p>
    <w:p>
      <w:pPr>
        <w:pStyle w:val="12"/>
        <w:ind w:firstLine="640"/>
        <w:jc w:val="both"/>
        <w:outlineLvl w:val="9"/>
        <w:rPr>
          <w:rFonts w:hint="eastAsia" w:ascii="宋体" w:hAnsi="宋体" w:eastAsia="宋体" w:cs="宋体"/>
          <w:bCs w:val="0"/>
          <w:kern w:val="0"/>
          <w:sz w:val="28"/>
          <w:szCs w:val="28"/>
        </w:rPr>
      </w:pPr>
      <w:bookmarkStart w:id="17" w:name="_Toc23205"/>
      <w:bookmarkStart w:id="18" w:name="_Toc6546"/>
      <w:bookmarkStart w:id="19" w:name="_Toc31255"/>
      <w:bookmarkStart w:id="20" w:name="_Toc26755"/>
      <w:bookmarkStart w:id="21" w:name="_Toc26714"/>
      <w:r>
        <w:rPr>
          <w:rFonts w:hint="eastAsia" w:ascii="宋体" w:hAnsi="宋体" w:eastAsia="宋体" w:cs="宋体"/>
          <w:bCs w:val="0"/>
          <w:kern w:val="0"/>
          <w:sz w:val="28"/>
          <w:szCs w:val="28"/>
        </w:rPr>
        <w:t>为加强2021年储备粮油保管费、轮换费的监督和管理，健全预算绩效管理机制，强化支出责任和效率意识，切实提高财政资金使用效率，受运城市财政局委托，我所承担对2021年储备粮油保管费、轮换费项目的绩效评价工作。根据《运城市财政局关于印发&lt;运城市财政局2021年预算绩效评价实施方案&gt;的通知》（运财监[2022]6号）文件的有关规定于2022年7月至9月对2021年储备粮油管理费、轮换费资金项目财政支出进行了绩效评价。</w:t>
      </w:r>
      <w:bookmarkEnd w:id="17"/>
      <w:bookmarkEnd w:id="18"/>
    </w:p>
    <w:p>
      <w:pPr>
        <w:pStyle w:val="12"/>
        <w:ind w:firstLine="643"/>
        <w:jc w:val="both"/>
        <w:rPr>
          <w:rFonts w:hint="eastAsia" w:ascii="宋体" w:hAnsi="宋体" w:eastAsia="宋体" w:cs="宋体"/>
          <w:b w:val="0"/>
          <w:bCs w:val="0"/>
          <w:sz w:val="28"/>
          <w:szCs w:val="28"/>
        </w:rPr>
      </w:pPr>
      <w:bookmarkStart w:id="22" w:name="_Toc20401"/>
      <w:bookmarkStart w:id="23" w:name="_Toc8318"/>
      <w:r>
        <w:rPr>
          <w:rFonts w:hint="eastAsia" w:ascii="宋体" w:hAnsi="宋体" w:eastAsia="宋体" w:cs="宋体"/>
          <w:b/>
          <w:bCs/>
          <w:sz w:val="28"/>
          <w:szCs w:val="28"/>
        </w:rPr>
        <w:t>一、项目</w:t>
      </w:r>
      <w:bookmarkEnd w:id="19"/>
      <w:bookmarkEnd w:id="20"/>
      <w:bookmarkEnd w:id="21"/>
      <w:r>
        <w:rPr>
          <w:rFonts w:hint="eastAsia" w:ascii="宋体" w:hAnsi="宋体" w:eastAsia="宋体" w:cs="宋体"/>
          <w:b/>
          <w:bCs/>
          <w:sz w:val="28"/>
          <w:szCs w:val="28"/>
        </w:rPr>
        <w:t>概况</w:t>
      </w:r>
      <w:bookmarkEnd w:id="22"/>
      <w:bookmarkEnd w:id="23"/>
    </w:p>
    <w:p>
      <w:pPr>
        <w:spacing w:line="360" w:lineRule="auto"/>
        <w:ind w:firstLine="560" w:firstLineChars="200"/>
        <w:outlineLvl w:val="1"/>
        <w:rPr>
          <w:rFonts w:hint="eastAsia" w:ascii="宋体" w:hAnsi="宋体" w:eastAsia="宋体" w:cs="宋体"/>
          <w:b w:val="0"/>
          <w:bCs w:val="0"/>
          <w:color w:val="000000" w:themeColor="text1"/>
          <w:sz w:val="28"/>
          <w:szCs w:val="28"/>
          <w:lang w:bidi="ar"/>
          <w14:textFill>
            <w14:solidFill>
              <w14:schemeClr w14:val="tx1"/>
            </w14:solidFill>
          </w14:textFill>
        </w:rPr>
      </w:pPr>
      <w:bookmarkStart w:id="24" w:name="_Toc14309"/>
      <w:bookmarkStart w:id="25" w:name="_Toc1117"/>
      <w:bookmarkStart w:id="26" w:name="_Toc2994"/>
      <w:bookmarkStart w:id="27" w:name="_Toc11523"/>
      <w:bookmarkStart w:id="28" w:name="_Toc23495"/>
      <w:r>
        <w:rPr>
          <w:rFonts w:hint="eastAsia" w:ascii="宋体" w:hAnsi="宋体" w:eastAsia="宋体" w:cs="宋体"/>
          <w:b w:val="0"/>
          <w:bCs w:val="0"/>
          <w:color w:val="000000" w:themeColor="text1"/>
          <w:sz w:val="28"/>
          <w:szCs w:val="28"/>
          <w:lang w:bidi="ar"/>
          <w14:textFill>
            <w14:solidFill>
              <w14:schemeClr w14:val="tx1"/>
            </w14:solidFill>
          </w14:textFill>
        </w:rPr>
        <w:t>（一）项目背景</w:t>
      </w:r>
      <w:bookmarkEnd w:id="24"/>
      <w:bookmarkEnd w:id="25"/>
    </w:p>
    <w:p>
      <w:pPr>
        <w:spacing w:line="360" w:lineRule="auto"/>
        <w:ind w:firstLine="560" w:firstLineChars="200"/>
        <w:rPr>
          <w:rFonts w:hint="eastAsia" w:ascii="宋体" w:hAnsi="宋体" w:eastAsia="宋体" w:cs="宋体"/>
          <w:bCs/>
          <w:color w:val="000000" w:themeColor="text1"/>
          <w:sz w:val="28"/>
          <w:szCs w:val="28"/>
          <w:lang w:bidi="ar"/>
          <w14:textFill>
            <w14:solidFill>
              <w14:schemeClr w14:val="tx1"/>
            </w14:solidFill>
          </w14:textFill>
        </w:rPr>
      </w:pPr>
      <w:r>
        <w:rPr>
          <w:rFonts w:hint="eastAsia" w:ascii="宋体" w:hAnsi="宋体" w:eastAsia="宋体" w:cs="宋体"/>
          <w:b w:val="0"/>
          <w:bCs w:val="0"/>
          <w:color w:val="000000" w:themeColor="text1"/>
          <w:sz w:val="28"/>
          <w:szCs w:val="28"/>
          <w:lang w:bidi="ar"/>
          <w14:textFill>
            <w14:solidFill>
              <w14:schemeClr w14:val="tx1"/>
            </w14:solidFill>
          </w14:textFill>
        </w:rPr>
        <w:t>我国是产粮大国、也</w:t>
      </w:r>
      <w:r>
        <w:rPr>
          <w:rFonts w:hint="eastAsia" w:ascii="宋体" w:hAnsi="宋体" w:eastAsia="宋体" w:cs="宋体"/>
          <w:bCs/>
          <w:color w:val="000000" w:themeColor="text1"/>
          <w:sz w:val="28"/>
          <w:szCs w:val="28"/>
          <w:lang w:bidi="ar"/>
          <w14:textFill>
            <w14:solidFill>
              <w14:schemeClr w14:val="tx1"/>
            </w14:solidFill>
          </w14:textFill>
        </w:rPr>
        <w:t>是粮食消费大国。做好粮食储藏工作意义重大，关系军需民食，也关系国家安全、社会稳定。我国人口众多，是个农业大国。粮食问题历来是人民生活和国家经济工作的头等大事，是党和政府的工作重点，粮食状况的好坏直接影响整个经济和社会的发展和稳定。我国是发展中国家，尽管加入WTO后国际市场的粮食可以作为我们的补充，但从战略角度考虑，作为人口大国，粮食问题必须立足国内，自行解决。为确保国家粮食安全，增强对粮食的宏观调控能力，国家必须掌握一定数量的粮食。因此，建立适合我国国情的国家粮食仓储体系极为重要。</w:t>
      </w:r>
    </w:p>
    <w:p>
      <w:pPr>
        <w:spacing w:line="360" w:lineRule="auto"/>
        <w:ind w:firstLine="560" w:firstLineChars="200"/>
        <w:rPr>
          <w:rFonts w:hint="eastAsia" w:ascii="宋体" w:hAnsi="宋体" w:eastAsia="宋体" w:cs="宋体"/>
          <w:bCs/>
          <w:color w:val="000000" w:themeColor="text1"/>
          <w:sz w:val="28"/>
          <w:szCs w:val="28"/>
          <w:lang w:bidi="ar"/>
          <w14:textFill>
            <w14:solidFill>
              <w14:schemeClr w14:val="tx1"/>
            </w14:solidFill>
          </w14:textFill>
        </w:rPr>
      </w:pPr>
      <w:r>
        <w:rPr>
          <w:rFonts w:hint="eastAsia" w:ascii="宋体" w:hAnsi="宋体" w:eastAsia="宋体" w:cs="宋体"/>
          <w:sz w:val="28"/>
          <w:szCs w:val="28"/>
          <w:lang w:bidi="ar"/>
        </w:rPr>
        <w:t>市级储备粮油是市人民政府调控全市粮油市场和实施社会粮食应急救济的重要战略物资。</w:t>
      </w:r>
    </w:p>
    <w:p>
      <w:pPr>
        <w:snapToGrid w:val="0"/>
        <w:spacing w:line="360" w:lineRule="auto"/>
        <w:ind w:firstLine="560" w:firstLineChars="200"/>
        <w:jc w:val="left"/>
        <w:rPr>
          <w:rFonts w:hint="eastAsia" w:ascii="宋体" w:hAnsi="宋体" w:eastAsia="宋体" w:cs="宋体"/>
          <w:bCs/>
          <w:color w:val="000000" w:themeColor="text1"/>
          <w:sz w:val="28"/>
          <w:szCs w:val="28"/>
          <w:lang w:bidi="ar"/>
          <w14:textFill>
            <w14:solidFill>
              <w14:schemeClr w14:val="tx1"/>
            </w14:solidFill>
          </w14:textFill>
        </w:rPr>
      </w:pPr>
      <w:r>
        <w:rPr>
          <w:rFonts w:hint="eastAsia" w:ascii="宋体" w:hAnsi="宋体" w:eastAsia="宋体" w:cs="宋体"/>
          <w:bCs/>
          <w:color w:val="000000" w:themeColor="text1"/>
          <w:sz w:val="28"/>
          <w:szCs w:val="28"/>
          <w:lang w:bidi="ar"/>
          <w14:textFill>
            <w14:solidFill>
              <w14:schemeClr w14:val="tx1"/>
            </w14:solidFill>
          </w14:textFill>
        </w:rPr>
        <w:t>为了完成省政府、省粮食局部署的市级储备粮油管理任务，2009年2月，市政府50次常务会议决定设立运城市地方粮食战略储备库，为公益类国有企业，承担市级储备粮油管理和储存任务。2017年1月，经市编办批准，运城市军粮供应中心和运城市地方粮食战略储备库整合，成立运城市地方粮食战略储备库，主要职责是承担市级储备粮油管理和储存任务及全市军粮供应的管理工作。2020年11月，运城市地方粮食战略储备库更名为运城市地方粮食战略储备库有</w:t>
      </w:r>
    </w:p>
    <w:p>
      <w:pPr>
        <w:snapToGrid w:val="0"/>
        <w:spacing w:line="360" w:lineRule="auto"/>
        <w:jc w:val="left"/>
        <w:rPr>
          <w:rFonts w:hint="eastAsia" w:ascii="宋体" w:hAnsi="宋体" w:eastAsia="宋体" w:cs="宋体"/>
          <w:bCs/>
          <w:color w:val="000000" w:themeColor="text1"/>
          <w:sz w:val="28"/>
          <w:szCs w:val="28"/>
          <w:lang w:bidi="ar"/>
          <w14:textFill>
            <w14:solidFill>
              <w14:schemeClr w14:val="tx1"/>
            </w14:solidFill>
          </w14:textFill>
        </w:rPr>
      </w:pPr>
      <w:r>
        <w:rPr>
          <w:rFonts w:hint="eastAsia" w:ascii="宋体" w:hAnsi="宋体" w:eastAsia="宋体" w:cs="宋体"/>
          <w:bCs/>
          <w:color w:val="000000" w:themeColor="text1"/>
          <w:sz w:val="28"/>
          <w:szCs w:val="28"/>
          <w:lang w:bidi="ar"/>
          <w14:textFill>
            <w14:solidFill>
              <w14:schemeClr w14:val="tx1"/>
            </w14:solidFill>
          </w14:textFill>
        </w:rPr>
        <w:t>限责任公司。</w:t>
      </w:r>
    </w:p>
    <w:p>
      <w:pPr>
        <w:spacing w:line="360" w:lineRule="auto"/>
        <w:ind w:firstLine="560" w:firstLineChars="200"/>
        <w:rPr>
          <w:rFonts w:hint="eastAsia" w:ascii="宋体" w:hAnsi="宋体" w:eastAsia="宋体" w:cs="宋体"/>
          <w:bCs/>
          <w:color w:val="000000" w:themeColor="text1"/>
          <w:sz w:val="28"/>
          <w:szCs w:val="28"/>
          <w:lang w:bidi="ar"/>
          <w14:textFill>
            <w14:solidFill>
              <w14:schemeClr w14:val="tx1"/>
            </w14:solidFill>
          </w14:textFill>
        </w:rPr>
      </w:pPr>
      <w:r>
        <w:rPr>
          <w:rFonts w:hint="eastAsia" w:ascii="宋体" w:hAnsi="宋体" w:eastAsia="宋体" w:cs="宋体"/>
          <w:bCs/>
          <w:color w:val="000000" w:themeColor="text1"/>
          <w:sz w:val="28"/>
          <w:szCs w:val="28"/>
          <w:lang w:bidi="ar"/>
          <w14:textFill>
            <w14:solidFill>
              <w14:schemeClr w14:val="tx1"/>
            </w14:solidFill>
          </w14:textFill>
        </w:rPr>
        <w:t>一是承担市级储备粮管理和储存任务。承担市级储备粮任务2.15亿斤和省级储备粮3000万斤。二是承担市级储备油管理和储存任务。市级储备油300万斤，包括200万斤散装油及100万斤小包装食用油。三是承担市级应急粮油管理和储存任务，应急成品粮1550万斤和应急成品油160万斤。</w:t>
      </w:r>
    </w:p>
    <w:p>
      <w:pPr>
        <w:pStyle w:val="3"/>
        <w:ind w:firstLine="643"/>
        <w:jc w:val="both"/>
        <w:rPr>
          <w:rFonts w:hint="eastAsia" w:ascii="宋体" w:hAnsi="宋体" w:eastAsia="宋体" w:cs="宋体"/>
          <w:b w:val="0"/>
          <w:bCs/>
          <w:sz w:val="28"/>
          <w:szCs w:val="28"/>
        </w:rPr>
      </w:pPr>
      <w:bookmarkStart w:id="29" w:name="_Toc14387"/>
      <w:bookmarkStart w:id="30" w:name="_Toc24397"/>
      <w:r>
        <w:rPr>
          <w:rFonts w:hint="eastAsia" w:ascii="宋体" w:hAnsi="宋体" w:eastAsia="宋体" w:cs="宋体"/>
          <w:b w:val="0"/>
          <w:bCs/>
          <w:sz w:val="28"/>
          <w:szCs w:val="28"/>
        </w:rPr>
        <w:t>（二）项目立项依据</w:t>
      </w:r>
      <w:bookmarkEnd w:id="26"/>
      <w:bookmarkEnd w:id="27"/>
      <w:bookmarkEnd w:id="28"/>
      <w:bookmarkEnd w:id="29"/>
      <w:bookmarkEnd w:id="30"/>
    </w:p>
    <w:p>
      <w:pPr>
        <w:pStyle w:val="2"/>
        <w:spacing w:after="0" w:line="360" w:lineRule="auto"/>
        <w:ind w:firstLine="560" w:firstLineChars="200"/>
        <w:rPr>
          <w:rFonts w:hint="eastAsia" w:ascii="宋体" w:hAnsi="宋体" w:eastAsia="宋体" w:cs="宋体"/>
          <w:kern w:val="0"/>
          <w:sz w:val="28"/>
          <w:szCs w:val="28"/>
        </w:rPr>
      </w:pPr>
      <w:bookmarkStart w:id="31" w:name="_Toc8119"/>
      <w:bookmarkStart w:id="32" w:name="_Toc27622"/>
      <w:r>
        <w:rPr>
          <w:rFonts w:hint="eastAsia" w:ascii="宋体" w:hAnsi="宋体" w:eastAsia="宋体" w:cs="宋体"/>
          <w:kern w:val="0"/>
          <w:sz w:val="28"/>
          <w:szCs w:val="28"/>
        </w:rPr>
        <w:t>（1）《粮食流通管理条例》；</w:t>
      </w:r>
      <w:bookmarkEnd w:id="31"/>
    </w:p>
    <w:p>
      <w:pPr>
        <w:pStyle w:val="2"/>
        <w:spacing w:after="0" w:line="360" w:lineRule="auto"/>
        <w:ind w:firstLine="560" w:firstLineChars="200"/>
        <w:rPr>
          <w:rFonts w:hint="eastAsia" w:ascii="宋体" w:hAnsi="宋体" w:eastAsia="宋体" w:cs="宋体"/>
          <w:kern w:val="0"/>
          <w:sz w:val="28"/>
          <w:szCs w:val="28"/>
        </w:rPr>
      </w:pPr>
      <w:bookmarkStart w:id="33" w:name="_Toc13902"/>
      <w:r>
        <w:rPr>
          <w:rFonts w:hint="eastAsia" w:ascii="宋体" w:hAnsi="宋体" w:eastAsia="宋体" w:cs="宋体"/>
          <w:kern w:val="0"/>
          <w:sz w:val="28"/>
          <w:szCs w:val="28"/>
        </w:rPr>
        <w:t>（2）《中央储备粮管理条例》；</w:t>
      </w:r>
      <w:bookmarkEnd w:id="33"/>
    </w:p>
    <w:p>
      <w:pPr>
        <w:pStyle w:val="2"/>
        <w:spacing w:after="0" w:line="360" w:lineRule="auto"/>
        <w:ind w:firstLine="560" w:firstLineChars="200"/>
        <w:rPr>
          <w:rFonts w:hint="eastAsia" w:ascii="宋体" w:hAnsi="宋体" w:eastAsia="宋体" w:cs="宋体"/>
          <w:kern w:val="0"/>
          <w:sz w:val="28"/>
          <w:szCs w:val="28"/>
        </w:rPr>
      </w:pPr>
      <w:bookmarkStart w:id="34" w:name="_Toc14288"/>
      <w:r>
        <w:rPr>
          <w:rFonts w:hint="eastAsia" w:ascii="宋体" w:hAnsi="宋体" w:eastAsia="宋体" w:cs="宋体"/>
          <w:kern w:val="0"/>
          <w:sz w:val="28"/>
          <w:szCs w:val="28"/>
        </w:rPr>
        <w:t>（3）《山西省储备粮管理暂行规定》；</w:t>
      </w:r>
      <w:bookmarkEnd w:id="34"/>
    </w:p>
    <w:p>
      <w:pPr>
        <w:pStyle w:val="2"/>
        <w:spacing w:after="0" w:line="360" w:lineRule="auto"/>
        <w:ind w:firstLine="560" w:firstLineChars="200"/>
        <w:rPr>
          <w:rFonts w:hint="eastAsia" w:ascii="宋体" w:hAnsi="宋体" w:eastAsia="宋体" w:cs="宋体"/>
          <w:kern w:val="0"/>
          <w:sz w:val="28"/>
          <w:szCs w:val="28"/>
        </w:rPr>
      </w:pPr>
      <w:bookmarkStart w:id="35" w:name="_Toc7530"/>
      <w:r>
        <w:rPr>
          <w:rFonts w:hint="eastAsia" w:ascii="宋体" w:hAnsi="宋体" w:eastAsia="宋体" w:cs="宋体"/>
          <w:kern w:val="0"/>
          <w:sz w:val="28"/>
          <w:szCs w:val="28"/>
        </w:rPr>
        <w:t>（4）《关于调整省储备粮油费用补贴标准的通知》（晋财建二[2011]252号）；</w:t>
      </w:r>
      <w:bookmarkEnd w:id="35"/>
    </w:p>
    <w:p>
      <w:pPr>
        <w:pStyle w:val="2"/>
        <w:spacing w:after="0" w:line="360" w:lineRule="auto"/>
        <w:ind w:firstLine="560" w:firstLineChars="200"/>
        <w:rPr>
          <w:rFonts w:hint="eastAsia" w:ascii="宋体" w:hAnsi="宋体" w:eastAsia="宋体" w:cs="宋体"/>
          <w:kern w:val="0"/>
          <w:sz w:val="28"/>
          <w:szCs w:val="28"/>
        </w:rPr>
      </w:pPr>
      <w:bookmarkStart w:id="36" w:name="_Toc16495"/>
      <w:r>
        <w:rPr>
          <w:rFonts w:hint="eastAsia" w:ascii="宋体" w:hAnsi="宋体" w:eastAsia="宋体" w:cs="宋体"/>
          <w:kern w:val="0"/>
          <w:sz w:val="28"/>
          <w:szCs w:val="28"/>
        </w:rPr>
        <w:t>（5）《山西省财政厅关于调整省级储备粮油轮换补贴拨付办法的通知》（晋财建二[2015]74号）；</w:t>
      </w:r>
      <w:bookmarkEnd w:id="36"/>
    </w:p>
    <w:p>
      <w:pPr>
        <w:pStyle w:val="2"/>
        <w:spacing w:after="0" w:line="360" w:lineRule="auto"/>
        <w:ind w:firstLine="560" w:firstLineChars="200"/>
        <w:rPr>
          <w:rFonts w:hint="eastAsia" w:ascii="宋体" w:hAnsi="宋体" w:eastAsia="宋体" w:cs="宋体"/>
          <w:kern w:val="0"/>
          <w:sz w:val="28"/>
          <w:szCs w:val="28"/>
        </w:rPr>
      </w:pPr>
      <w:bookmarkStart w:id="37" w:name="_Toc25942"/>
      <w:r>
        <w:rPr>
          <w:rFonts w:hint="eastAsia" w:ascii="宋体" w:hAnsi="宋体" w:eastAsia="宋体" w:cs="宋体"/>
          <w:kern w:val="0"/>
          <w:sz w:val="28"/>
          <w:szCs w:val="28"/>
        </w:rPr>
        <w:t>（6）《运城市市级储备粮油管理实施办法》（修订）（运市发改[2021]19号）；</w:t>
      </w:r>
      <w:bookmarkEnd w:id="37"/>
    </w:p>
    <w:p>
      <w:pPr>
        <w:pStyle w:val="2"/>
        <w:spacing w:after="0" w:line="360" w:lineRule="auto"/>
        <w:ind w:firstLine="560" w:firstLineChars="200"/>
        <w:rPr>
          <w:rFonts w:hint="eastAsia" w:ascii="宋体" w:hAnsi="宋体" w:eastAsia="宋体" w:cs="宋体"/>
          <w:kern w:val="0"/>
          <w:sz w:val="28"/>
          <w:szCs w:val="28"/>
        </w:rPr>
      </w:pPr>
      <w:bookmarkStart w:id="38" w:name="_Toc28785"/>
      <w:r>
        <w:rPr>
          <w:rFonts w:hint="eastAsia" w:ascii="宋体" w:hAnsi="宋体" w:eastAsia="宋体" w:cs="宋体"/>
          <w:kern w:val="0"/>
          <w:sz w:val="28"/>
          <w:szCs w:val="28"/>
        </w:rPr>
        <w:t>（7）其他有关的法律、法规规章、政策文件。</w:t>
      </w:r>
      <w:bookmarkEnd w:id="38"/>
    </w:p>
    <w:p>
      <w:pPr>
        <w:pStyle w:val="2"/>
        <w:spacing w:after="0" w:line="360" w:lineRule="auto"/>
        <w:ind w:firstLine="560" w:firstLineChars="200"/>
        <w:outlineLvl w:val="1"/>
        <w:rPr>
          <w:rFonts w:hint="eastAsia" w:ascii="宋体" w:hAnsi="宋体" w:eastAsia="宋体" w:cs="宋体"/>
          <w:b w:val="0"/>
          <w:bCs/>
          <w:kern w:val="0"/>
          <w:sz w:val="28"/>
          <w:szCs w:val="28"/>
        </w:rPr>
      </w:pPr>
      <w:bookmarkStart w:id="39" w:name="_Toc13980"/>
      <w:bookmarkStart w:id="40" w:name="_Toc10632"/>
      <w:r>
        <w:rPr>
          <w:rFonts w:hint="eastAsia" w:ascii="宋体" w:hAnsi="宋体" w:eastAsia="宋体" w:cs="宋体"/>
          <w:b w:val="0"/>
          <w:bCs/>
          <w:kern w:val="0"/>
          <w:sz w:val="28"/>
          <w:szCs w:val="28"/>
        </w:rPr>
        <w:t>（三）项目基本情况</w:t>
      </w:r>
      <w:bookmarkEnd w:id="39"/>
      <w:bookmarkEnd w:id="40"/>
    </w:p>
    <w:p>
      <w:pPr>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运城市地方粮食战略储备库，共有在册职工134人，根据工作需要设有仓储管理部、购销部、质检科、安保科等业务科室，以及一个下属经营性公司市粮丰物贸有限公司。储备库占地65亩，空港库区总仓容1.26亿斤。分库点上郭、栲栳、卿头、稷山、新绛、闻喜、礼元七个库区仓库。</w:t>
      </w:r>
    </w:p>
    <w:p>
      <w:pPr>
        <w:pStyle w:val="13"/>
        <w:spacing w:before="475" w:beforeLines="150" w:after="30" w:line="600" w:lineRule="exact"/>
        <w:ind w:firstLine="420" w:firstLineChars="150"/>
        <w:rPr>
          <w:rFonts w:hint="eastAsia" w:ascii="宋体" w:hAnsi="宋体" w:eastAsia="宋体" w:cs="宋体"/>
          <w:sz w:val="28"/>
          <w:szCs w:val="28"/>
        </w:rPr>
      </w:pPr>
      <w:r>
        <w:rPr>
          <w:rFonts w:hint="eastAsia" w:ascii="宋体" w:hAnsi="宋体" w:eastAsia="宋体" w:cs="宋体"/>
          <w:sz w:val="28"/>
          <w:szCs w:val="28"/>
        </w:rPr>
        <w:t>运城市财政局补贴储备粮油保管费和轮换费标准如下：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2020"/>
        <w:gridCol w:w="2170"/>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tblHeader/>
        </w:trPr>
        <w:tc>
          <w:tcPr>
            <w:tcW w:w="2616"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补贴项目</w:t>
            </w:r>
          </w:p>
        </w:tc>
        <w:tc>
          <w:tcPr>
            <w:tcW w:w="2020"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保管费（元/斤）</w:t>
            </w:r>
          </w:p>
        </w:tc>
        <w:tc>
          <w:tcPr>
            <w:tcW w:w="2170"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轮换费（元/斤）</w:t>
            </w:r>
          </w:p>
        </w:tc>
        <w:tc>
          <w:tcPr>
            <w:tcW w:w="1716"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blHeader/>
        </w:trPr>
        <w:tc>
          <w:tcPr>
            <w:tcW w:w="2616" w:type="dxa"/>
            <w:vAlign w:val="center"/>
          </w:tcPr>
          <w:p>
            <w:pPr>
              <w:pStyle w:val="13"/>
              <w:spacing w:after="30" w:line="600" w:lineRule="exact"/>
              <w:ind w:firstLine="0" w:firstLineChars="0"/>
              <w:rPr>
                <w:rFonts w:hint="eastAsia" w:ascii="宋体" w:hAnsi="宋体" w:eastAsia="宋体" w:cs="宋体"/>
                <w:sz w:val="24"/>
                <w:szCs w:val="24"/>
              </w:rPr>
            </w:pPr>
            <w:r>
              <w:rPr>
                <w:rFonts w:hint="eastAsia" w:ascii="宋体" w:hAnsi="宋体" w:eastAsia="宋体" w:cs="宋体"/>
                <w:sz w:val="24"/>
                <w:szCs w:val="24"/>
              </w:rPr>
              <w:t>市级储备小麦</w:t>
            </w:r>
          </w:p>
        </w:tc>
        <w:tc>
          <w:tcPr>
            <w:tcW w:w="2020" w:type="dxa"/>
            <w:vAlign w:val="center"/>
          </w:tcPr>
          <w:p>
            <w:pPr>
              <w:widowControl/>
              <w:spacing w:line="6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0.05</w:t>
            </w:r>
          </w:p>
        </w:tc>
        <w:tc>
          <w:tcPr>
            <w:tcW w:w="2170" w:type="dxa"/>
            <w:vAlign w:val="center"/>
          </w:tcPr>
          <w:p>
            <w:pPr>
              <w:widowControl/>
              <w:spacing w:line="60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0.0125</w:t>
            </w:r>
          </w:p>
        </w:tc>
        <w:tc>
          <w:tcPr>
            <w:tcW w:w="1716"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年度每斤费用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tblHeader/>
        </w:trPr>
        <w:tc>
          <w:tcPr>
            <w:tcW w:w="2616" w:type="dxa"/>
            <w:vAlign w:val="center"/>
          </w:tcPr>
          <w:p>
            <w:pPr>
              <w:pStyle w:val="13"/>
              <w:spacing w:after="30" w:line="600" w:lineRule="exact"/>
              <w:ind w:firstLine="0" w:firstLineChars="0"/>
              <w:rPr>
                <w:rFonts w:hint="eastAsia" w:ascii="宋体" w:hAnsi="宋体" w:eastAsia="宋体" w:cs="宋体"/>
                <w:sz w:val="24"/>
                <w:szCs w:val="24"/>
              </w:rPr>
            </w:pPr>
            <w:r>
              <w:rPr>
                <w:rFonts w:hint="eastAsia" w:ascii="宋体" w:hAnsi="宋体" w:eastAsia="宋体" w:cs="宋体"/>
                <w:sz w:val="24"/>
                <w:szCs w:val="24"/>
              </w:rPr>
              <w:t>市级储食用油</w:t>
            </w:r>
          </w:p>
        </w:tc>
        <w:tc>
          <w:tcPr>
            <w:tcW w:w="2020" w:type="dxa"/>
            <w:vAlign w:val="center"/>
          </w:tcPr>
          <w:p>
            <w:pPr>
              <w:widowControl/>
              <w:spacing w:line="6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0.15</w:t>
            </w:r>
          </w:p>
        </w:tc>
        <w:tc>
          <w:tcPr>
            <w:tcW w:w="2170" w:type="dxa"/>
            <w:vAlign w:val="center"/>
          </w:tcPr>
          <w:p>
            <w:pPr>
              <w:widowControl/>
              <w:spacing w:line="60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0.05</w:t>
            </w:r>
          </w:p>
        </w:tc>
        <w:tc>
          <w:tcPr>
            <w:tcW w:w="1716"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年度每斤费用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exact"/>
          <w:tblHeader/>
        </w:trPr>
        <w:tc>
          <w:tcPr>
            <w:tcW w:w="2616" w:type="dxa"/>
            <w:vAlign w:val="center"/>
          </w:tcPr>
          <w:p>
            <w:pPr>
              <w:pStyle w:val="13"/>
              <w:spacing w:after="30" w:line="600" w:lineRule="exact"/>
              <w:ind w:firstLine="0" w:firstLineChars="0"/>
              <w:rPr>
                <w:rFonts w:hint="eastAsia" w:ascii="宋体" w:hAnsi="宋体" w:eastAsia="宋体" w:cs="宋体"/>
                <w:sz w:val="24"/>
                <w:szCs w:val="24"/>
              </w:rPr>
            </w:pPr>
            <w:r>
              <w:rPr>
                <w:rFonts w:hint="eastAsia" w:ascii="宋体" w:hAnsi="宋体" w:eastAsia="宋体" w:cs="宋体"/>
                <w:sz w:val="24"/>
                <w:szCs w:val="24"/>
              </w:rPr>
              <w:t>市级储备小包装油</w:t>
            </w:r>
          </w:p>
        </w:tc>
        <w:tc>
          <w:tcPr>
            <w:tcW w:w="2020" w:type="dxa"/>
            <w:vAlign w:val="center"/>
          </w:tcPr>
          <w:p>
            <w:pPr>
              <w:widowControl/>
              <w:spacing w:line="6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0.15</w:t>
            </w:r>
          </w:p>
        </w:tc>
        <w:tc>
          <w:tcPr>
            <w:tcW w:w="2170" w:type="dxa"/>
            <w:vAlign w:val="center"/>
          </w:tcPr>
          <w:p>
            <w:pPr>
              <w:widowControl/>
              <w:spacing w:line="600" w:lineRule="exact"/>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0.10</w:t>
            </w:r>
          </w:p>
        </w:tc>
        <w:tc>
          <w:tcPr>
            <w:tcW w:w="1716"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年度每斤费用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exact"/>
          <w:tblHeader/>
        </w:trPr>
        <w:tc>
          <w:tcPr>
            <w:tcW w:w="2616" w:type="dxa"/>
            <w:vAlign w:val="center"/>
          </w:tcPr>
          <w:p>
            <w:pPr>
              <w:pStyle w:val="13"/>
              <w:spacing w:after="30" w:line="600" w:lineRule="exact"/>
              <w:ind w:firstLine="0" w:firstLineChars="0"/>
              <w:rPr>
                <w:rFonts w:hint="eastAsia" w:ascii="宋体" w:hAnsi="宋体" w:eastAsia="宋体" w:cs="宋体"/>
                <w:sz w:val="24"/>
                <w:szCs w:val="24"/>
              </w:rPr>
            </w:pPr>
            <w:r>
              <w:rPr>
                <w:rFonts w:hint="eastAsia" w:ascii="宋体" w:hAnsi="宋体" w:eastAsia="宋体" w:cs="宋体"/>
                <w:sz w:val="24"/>
                <w:szCs w:val="24"/>
              </w:rPr>
              <w:t>市级储备应急成品粮</w:t>
            </w:r>
          </w:p>
        </w:tc>
        <w:tc>
          <w:tcPr>
            <w:tcW w:w="2020"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0.05</w:t>
            </w:r>
          </w:p>
        </w:tc>
        <w:tc>
          <w:tcPr>
            <w:tcW w:w="2170" w:type="dxa"/>
            <w:vAlign w:val="center"/>
          </w:tcPr>
          <w:p>
            <w:pPr>
              <w:pStyle w:val="13"/>
              <w:spacing w:after="30" w:line="600" w:lineRule="exact"/>
              <w:ind w:firstLine="0" w:firstLineChars="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0.15</w:t>
            </w:r>
          </w:p>
        </w:tc>
        <w:tc>
          <w:tcPr>
            <w:tcW w:w="1716"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年度每斤费用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tblHeader/>
        </w:trPr>
        <w:tc>
          <w:tcPr>
            <w:tcW w:w="2616" w:type="dxa"/>
            <w:vAlign w:val="center"/>
          </w:tcPr>
          <w:p>
            <w:pPr>
              <w:pStyle w:val="13"/>
              <w:spacing w:after="30" w:line="600" w:lineRule="exact"/>
              <w:ind w:firstLine="0" w:firstLineChars="0"/>
              <w:rPr>
                <w:rFonts w:hint="eastAsia" w:ascii="宋体" w:hAnsi="宋体" w:eastAsia="宋体" w:cs="宋体"/>
                <w:sz w:val="24"/>
                <w:szCs w:val="24"/>
              </w:rPr>
            </w:pPr>
            <w:r>
              <w:rPr>
                <w:rFonts w:hint="eastAsia" w:ascii="宋体" w:hAnsi="宋体" w:eastAsia="宋体" w:cs="宋体"/>
                <w:sz w:val="24"/>
                <w:szCs w:val="24"/>
              </w:rPr>
              <w:t>市级储备应急成品油</w:t>
            </w:r>
          </w:p>
        </w:tc>
        <w:tc>
          <w:tcPr>
            <w:tcW w:w="2020"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0.15</w:t>
            </w:r>
          </w:p>
        </w:tc>
        <w:tc>
          <w:tcPr>
            <w:tcW w:w="2170" w:type="dxa"/>
            <w:vAlign w:val="center"/>
          </w:tcPr>
          <w:p>
            <w:pPr>
              <w:pStyle w:val="13"/>
              <w:spacing w:after="30" w:line="600" w:lineRule="exact"/>
              <w:ind w:firstLine="0" w:firstLineChars="0"/>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0.10</w:t>
            </w:r>
          </w:p>
        </w:tc>
        <w:tc>
          <w:tcPr>
            <w:tcW w:w="1716" w:type="dxa"/>
            <w:vAlign w:val="center"/>
          </w:tcPr>
          <w:p>
            <w:pPr>
              <w:pStyle w:val="13"/>
              <w:spacing w:after="30" w:line="6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年度每斤费用</w:t>
            </w:r>
          </w:p>
        </w:tc>
      </w:tr>
    </w:tbl>
    <w:p>
      <w:pPr>
        <w:spacing w:line="360" w:lineRule="auto"/>
        <w:ind w:firstLine="560" w:firstLineChars="200"/>
        <w:outlineLvl w:val="1"/>
        <w:rPr>
          <w:rFonts w:hint="eastAsia" w:ascii="宋体" w:hAnsi="宋体" w:eastAsia="宋体" w:cs="宋体"/>
          <w:b w:val="0"/>
          <w:bCs/>
          <w:kern w:val="0"/>
          <w:sz w:val="28"/>
          <w:szCs w:val="28"/>
        </w:rPr>
      </w:pPr>
      <w:bookmarkStart w:id="41" w:name="_Toc11683"/>
      <w:bookmarkStart w:id="42" w:name="_Toc28368"/>
      <w:r>
        <w:rPr>
          <w:rFonts w:hint="eastAsia" w:ascii="宋体" w:hAnsi="宋体" w:eastAsia="宋体" w:cs="宋体"/>
          <w:b w:val="0"/>
          <w:bCs/>
          <w:kern w:val="0"/>
          <w:sz w:val="28"/>
          <w:szCs w:val="28"/>
        </w:rPr>
        <w:t>（四）项目的执行情况</w:t>
      </w:r>
      <w:bookmarkEnd w:id="41"/>
      <w:bookmarkEnd w:id="42"/>
    </w:p>
    <w:p>
      <w:pPr>
        <w:spacing w:line="600" w:lineRule="exact"/>
        <w:ind w:firstLine="840" w:firstLineChars="300"/>
        <w:rPr>
          <w:rFonts w:hint="eastAsia" w:ascii="宋体" w:hAnsi="宋体" w:eastAsia="宋体" w:cs="宋体"/>
          <w:sz w:val="28"/>
          <w:szCs w:val="28"/>
        </w:rPr>
      </w:pPr>
      <w:bookmarkStart w:id="43" w:name="_Toc8841"/>
      <w:bookmarkStart w:id="44" w:name="_Toc23840"/>
      <w:r>
        <w:rPr>
          <w:rFonts w:hint="eastAsia" w:ascii="宋体" w:hAnsi="宋体" w:eastAsia="宋体" w:cs="宋体"/>
          <w:sz w:val="28"/>
          <w:szCs w:val="28"/>
        </w:rPr>
        <w:t>（1）储备粮油情况</w:t>
      </w:r>
    </w:p>
    <w:p>
      <w:pPr>
        <w:spacing w:line="600" w:lineRule="exact"/>
        <w:ind w:firstLine="840" w:firstLineChars="300"/>
        <w:rPr>
          <w:rFonts w:hint="eastAsia" w:ascii="宋体" w:hAnsi="宋体" w:eastAsia="宋体" w:cs="宋体"/>
          <w:sz w:val="28"/>
          <w:szCs w:val="28"/>
        </w:rPr>
      </w:pPr>
      <w:r>
        <w:rPr>
          <w:rFonts w:hint="eastAsia" w:ascii="宋体" w:hAnsi="宋体" w:eastAsia="宋体" w:cs="宋体"/>
          <w:sz w:val="28"/>
          <w:szCs w:val="28"/>
        </w:rPr>
        <w:t>2021年度完成市级储备小麦21,500.00万斤、省级储备小麦3</w:t>
      </w:r>
      <w:r>
        <w:rPr>
          <w:rFonts w:hint="eastAsia" w:ascii="宋体" w:hAnsi="宋体" w:eastAsia="宋体" w:cs="宋体"/>
          <w:sz w:val="28"/>
          <w:szCs w:val="28"/>
          <w:lang w:val="en-US" w:eastAsia="zh-CN"/>
        </w:rPr>
        <w:t>,</w:t>
      </w:r>
      <w:r>
        <w:rPr>
          <w:rFonts w:hint="eastAsia" w:ascii="宋体" w:hAnsi="宋体" w:eastAsia="宋体" w:cs="宋体"/>
          <w:sz w:val="28"/>
          <w:szCs w:val="28"/>
        </w:rPr>
        <w:t>000</w:t>
      </w:r>
      <w:r>
        <w:rPr>
          <w:rFonts w:hint="eastAsia" w:ascii="宋体" w:hAnsi="宋体" w:eastAsia="宋体" w:cs="宋体"/>
          <w:sz w:val="28"/>
          <w:szCs w:val="28"/>
          <w:lang w:val="en-US" w:eastAsia="zh-CN"/>
        </w:rPr>
        <w:t>.00</w:t>
      </w:r>
      <w:r>
        <w:rPr>
          <w:rFonts w:hint="eastAsia" w:ascii="宋体" w:hAnsi="宋体" w:eastAsia="宋体" w:cs="宋体"/>
          <w:sz w:val="28"/>
          <w:szCs w:val="28"/>
        </w:rPr>
        <w:t>万斤、市级储备食用油200.00 万斤、市级储备小包装油100.00 万斤、市级应急成品粮1,260.00万斤面粉，290.00万斤大米，应急成品油160.00万斤（储备库只负责监管存放于各个储备点的市级应急储备粮油）。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（2）储备粮油轮换情况</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2021年度轮换市级储备小麦6,587.89万斤、市级储备小包装油100.00 万斤、省级储备小麦1</w:t>
      </w:r>
      <w:r>
        <w:rPr>
          <w:rFonts w:hint="eastAsia" w:ascii="宋体" w:hAnsi="宋体" w:eastAsia="宋体" w:cs="宋体"/>
          <w:sz w:val="28"/>
          <w:szCs w:val="28"/>
          <w:lang w:val="en-US" w:eastAsia="zh-CN"/>
        </w:rPr>
        <w:t>,</w:t>
      </w:r>
      <w:r>
        <w:rPr>
          <w:rFonts w:hint="eastAsia" w:ascii="宋体" w:hAnsi="宋体" w:eastAsia="宋体" w:cs="宋体"/>
          <w:sz w:val="28"/>
          <w:szCs w:val="28"/>
        </w:rPr>
        <w:t>000</w:t>
      </w:r>
      <w:r>
        <w:rPr>
          <w:rFonts w:hint="eastAsia" w:ascii="宋体" w:hAnsi="宋体" w:eastAsia="宋体" w:cs="宋体"/>
          <w:sz w:val="28"/>
          <w:szCs w:val="28"/>
          <w:lang w:val="en-US" w:eastAsia="zh-CN"/>
        </w:rPr>
        <w:t>.00</w:t>
      </w:r>
      <w:r>
        <w:rPr>
          <w:rFonts w:hint="eastAsia" w:ascii="宋体" w:hAnsi="宋体" w:eastAsia="宋体" w:cs="宋体"/>
          <w:sz w:val="28"/>
          <w:szCs w:val="28"/>
        </w:rPr>
        <w:t>万斤。</w:t>
      </w:r>
    </w:p>
    <w:p>
      <w:pPr>
        <w:pStyle w:val="2"/>
        <w:spacing w:after="0" w:line="360" w:lineRule="auto"/>
        <w:ind w:firstLine="560" w:firstLineChars="200"/>
        <w:outlineLvl w:val="1"/>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（五）资金</w:t>
      </w:r>
      <w:bookmarkEnd w:id="32"/>
      <w:r>
        <w:rPr>
          <w:rFonts w:hint="eastAsia" w:ascii="宋体" w:hAnsi="宋体" w:eastAsia="宋体" w:cs="宋体"/>
          <w:b w:val="0"/>
          <w:bCs/>
          <w:kern w:val="0"/>
          <w:sz w:val="28"/>
          <w:szCs w:val="28"/>
        </w:rPr>
        <w:t>投入和使用情况</w:t>
      </w:r>
      <w:bookmarkEnd w:id="43"/>
      <w:bookmarkEnd w:id="44"/>
    </w:p>
    <w:p>
      <w:pPr>
        <w:autoSpaceDE w:val="0"/>
        <w:autoSpaceDN w:val="0"/>
        <w:spacing w:line="360" w:lineRule="auto"/>
        <w:ind w:firstLine="560" w:firstLineChars="200"/>
        <w:rPr>
          <w:rFonts w:hint="eastAsia" w:ascii="宋体" w:hAnsi="宋体" w:eastAsia="宋体" w:cs="宋体"/>
          <w:b w:val="0"/>
          <w:bCs/>
          <w:kern w:val="0"/>
          <w:sz w:val="28"/>
          <w:szCs w:val="28"/>
        </w:rPr>
      </w:pPr>
      <w:bookmarkStart w:id="45" w:name="_Toc30620_WPSOffice_Level2"/>
      <w:bookmarkStart w:id="46" w:name="_Toc10636_WPSOffice_Level2"/>
      <w:bookmarkStart w:id="47" w:name="_Toc28558"/>
      <w:bookmarkStart w:id="48" w:name="_Toc8123"/>
      <w:bookmarkStart w:id="49" w:name="_Toc25338_WPSOffice_Level2"/>
      <w:bookmarkStart w:id="50" w:name="_Toc11386_WPSOffice_Level2"/>
      <w:bookmarkStart w:id="51" w:name="_Toc22428_WPSOffice_Level2"/>
      <w:bookmarkStart w:id="52" w:name="_Toc3095_WPSOffice_Level2"/>
      <w:bookmarkStart w:id="53" w:name="_Toc2186_WPSOffice_Level2"/>
      <w:bookmarkStart w:id="54" w:name="_Toc15637"/>
      <w:bookmarkStart w:id="55" w:name="_Toc11950"/>
      <w:bookmarkStart w:id="56" w:name="_Toc22102_WPSOffice_Level1"/>
      <w:bookmarkStart w:id="57" w:name="_Toc10808_WPSOffice_Level1"/>
      <w:bookmarkStart w:id="58" w:name="_Toc17275_WPSOffice_Level1"/>
      <w:r>
        <w:rPr>
          <w:rFonts w:hint="eastAsia" w:ascii="宋体" w:hAnsi="宋体" w:eastAsia="宋体" w:cs="宋体"/>
          <w:b w:val="0"/>
          <w:bCs/>
          <w:kern w:val="0"/>
          <w:sz w:val="28"/>
          <w:szCs w:val="28"/>
        </w:rPr>
        <w:t>1.资金到位情况</w:t>
      </w:r>
    </w:p>
    <w:p>
      <w:pPr>
        <w:autoSpaceDE w:val="0"/>
        <w:autoSpaceDN w:val="0"/>
        <w:spacing w:line="360" w:lineRule="auto"/>
        <w:ind w:firstLine="560" w:firstLineChars="200"/>
        <w:rPr>
          <w:rFonts w:hint="eastAsia" w:ascii="宋体" w:hAnsi="宋体" w:eastAsia="宋体" w:cs="宋体"/>
          <w:bCs/>
          <w:sz w:val="28"/>
          <w:szCs w:val="28"/>
        </w:rPr>
      </w:pPr>
      <w:r>
        <w:rPr>
          <w:rFonts w:hint="eastAsia" w:ascii="宋体" w:hAnsi="宋体" w:eastAsia="宋体" w:cs="宋体"/>
          <w:bCs/>
          <w:kern w:val="0"/>
          <w:sz w:val="28"/>
          <w:szCs w:val="28"/>
        </w:rPr>
        <w:t>2021年度收到运城市财政局保管费用及轮换费用1,759.50万元，省级财政资金187.50万元，合计1,947.00万元。明细如下：</w:t>
      </w:r>
    </w:p>
    <w:p>
      <w:pPr>
        <w:autoSpaceDE w:val="0"/>
        <w:autoSpaceDN w:val="0"/>
        <w:spacing w:line="360" w:lineRule="auto"/>
        <w:jc w:val="center"/>
        <w:rPr>
          <w:rFonts w:hint="eastAsia" w:ascii="宋体" w:hAnsi="宋体" w:eastAsia="宋体" w:cs="宋体"/>
          <w:b w:val="0"/>
          <w:bCs/>
          <w:sz w:val="28"/>
          <w:szCs w:val="28"/>
          <w:lang w:bidi="ar"/>
        </w:rPr>
      </w:pPr>
      <w:r>
        <w:rPr>
          <w:rFonts w:hint="eastAsia" w:ascii="宋体" w:hAnsi="宋体" w:eastAsia="宋体" w:cs="宋体"/>
          <w:b w:val="0"/>
          <w:bCs/>
          <w:sz w:val="28"/>
          <w:szCs w:val="28"/>
          <w:lang w:bidi="ar"/>
        </w:rPr>
        <w:t>资金到位情况明细表</w:t>
      </w:r>
    </w:p>
    <w:p>
      <w:pPr>
        <w:pStyle w:val="4"/>
        <w:spacing w:before="0" w:beforeAutospacing="0" w:line="360" w:lineRule="auto"/>
        <w:ind w:left="0" w:leftChars="0" w:right="0" w:rightChars="0"/>
        <w:jc w:val="right"/>
        <w:rPr>
          <w:rFonts w:hint="eastAsia" w:ascii="宋体" w:hAnsi="宋体" w:eastAsia="宋体" w:cs="宋体"/>
          <w:b w:val="0"/>
          <w:bCs/>
          <w:sz w:val="28"/>
          <w:szCs w:val="28"/>
          <w:lang w:bidi="ar"/>
        </w:rPr>
      </w:pPr>
      <w:r>
        <w:rPr>
          <w:rFonts w:hint="eastAsia" w:ascii="宋体" w:hAnsi="宋体" w:eastAsia="宋体" w:cs="宋体"/>
          <w:b w:val="0"/>
          <w:bCs/>
          <w:sz w:val="28"/>
          <w:szCs w:val="28"/>
          <w:lang w:bidi="ar"/>
        </w:rPr>
        <w:t>单位：万元</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2617"/>
        <w:gridCol w:w="1114"/>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BEBEBE" w:themeFill="background1" w:themeFillShade="BF"/>
            <w:vAlign w:val="center"/>
          </w:tcPr>
          <w:p>
            <w:pPr>
              <w:widowControl/>
              <w:spacing w:line="360" w:lineRule="auto"/>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资金属性名称</w:t>
            </w:r>
          </w:p>
        </w:tc>
        <w:tc>
          <w:tcPr>
            <w:tcW w:w="1414" w:type="pct"/>
            <w:tcBorders>
              <w:tl2br w:val="nil"/>
              <w:tr2bl w:val="nil"/>
            </w:tcBorders>
            <w:shd w:val="clear" w:color="auto" w:fill="BEBEBE" w:themeFill="background1" w:themeFillShade="BF"/>
            <w:vAlign w:val="center"/>
          </w:tcPr>
          <w:p>
            <w:pPr>
              <w:widowControl/>
              <w:spacing w:line="360" w:lineRule="auto"/>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拨款文件</w:t>
            </w:r>
          </w:p>
        </w:tc>
        <w:tc>
          <w:tcPr>
            <w:tcW w:w="602" w:type="pct"/>
            <w:tcBorders>
              <w:tl2br w:val="nil"/>
              <w:tr2bl w:val="nil"/>
            </w:tcBorders>
            <w:shd w:val="clear" w:color="auto" w:fill="BEBEBE" w:themeFill="background1" w:themeFillShade="BF"/>
            <w:vAlign w:val="center"/>
          </w:tcPr>
          <w:p>
            <w:pPr>
              <w:widowControl/>
              <w:spacing w:line="360" w:lineRule="auto"/>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金额</w:t>
            </w:r>
          </w:p>
        </w:tc>
        <w:tc>
          <w:tcPr>
            <w:tcW w:w="680" w:type="pct"/>
            <w:tcBorders>
              <w:tl2br w:val="nil"/>
              <w:tr2bl w:val="nil"/>
            </w:tcBorders>
            <w:shd w:val="clear" w:color="auto" w:fill="BEBEBE" w:themeFill="background1" w:themeFillShade="BF"/>
            <w:vAlign w:val="center"/>
          </w:tcPr>
          <w:p>
            <w:pPr>
              <w:widowControl/>
              <w:spacing w:line="360" w:lineRule="auto"/>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省上半年保管费和年度轮换费</w:t>
            </w:r>
          </w:p>
        </w:tc>
        <w:tc>
          <w:tcPr>
            <w:tcW w:w="1414" w:type="pct"/>
            <w:tcBorders>
              <w:tl2br w:val="nil"/>
              <w:tr2bl w:val="nil"/>
            </w:tcBorders>
            <w:shd w:val="clear" w:color="auto" w:fill="auto"/>
            <w:vAlign w:val="center"/>
          </w:tcPr>
          <w:p>
            <w:pPr>
              <w:widowControl/>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运财建(2021)30号</w:t>
            </w:r>
          </w:p>
        </w:tc>
        <w:tc>
          <w:tcPr>
            <w:tcW w:w="602" w:type="pct"/>
            <w:tcBorders>
              <w:tl2br w:val="nil"/>
              <w:tr2bl w:val="nil"/>
            </w:tcBorders>
            <w:shd w:val="clear" w:color="auto" w:fill="auto"/>
            <w:vAlign w:val="center"/>
          </w:tcPr>
          <w:p>
            <w:pPr>
              <w:widowControl/>
              <w:jc w:val="righ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112.50</w:t>
            </w:r>
          </w:p>
        </w:tc>
        <w:tc>
          <w:tcPr>
            <w:tcW w:w="680" w:type="pct"/>
            <w:vMerge w:val="restart"/>
            <w:tcBorders>
              <w:tl2br w:val="nil"/>
              <w:tr2bl w:val="nil"/>
            </w:tcBorders>
            <w:shd w:val="clear" w:color="auto" w:fill="auto"/>
            <w:vAlign w:val="center"/>
          </w:tcPr>
          <w:p>
            <w:pPr>
              <w:widowControl/>
              <w:jc w:val="righ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jc w:val="lef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省下半年保管费</w:t>
            </w:r>
          </w:p>
        </w:tc>
        <w:tc>
          <w:tcPr>
            <w:tcW w:w="1414" w:type="pct"/>
            <w:tcBorders>
              <w:tl2br w:val="nil"/>
              <w:tr2bl w:val="nil"/>
            </w:tcBorders>
            <w:shd w:val="clear" w:color="auto" w:fill="auto"/>
            <w:vAlign w:val="center"/>
          </w:tcPr>
          <w:p>
            <w:pPr>
              <w:widowControl/>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运财建(2021)79号</w:t>
            </w:r>
          </w:p>
        </w:tc>
        <w:tc>
          <w:tcPr>
            <w:tcW w:w="602" w:type="pct"/>
            <w:tcBorders>
              <w:tl2br w:val="nil"/>
              <w:tr2bl w:val="nil"/>
            </w:tcBorders>
            <w:shd w:val="clear" w:color="auto" w:fill="auto"/>
            <w:vAlign w:val="center"/>
          </w:tcPr>
          <w:p>
            <w:pPr>
              <w:widowControl/>
              <w:jc w:val="right"/>
              <w:rPr>
                <w:rFonts w:hint="eastAsia" w:ascii="宋体" w:hAnsi="宋体" w:eastAsia="宋体" w:cs="宋体"/>
                <w:b w:val="0"/>
                <w:bCs/>
                <w:kern w:val="0"/>
                <w:sz w:val="24"/>
                <w:szCs w:val="24"/>
              </w:rPr>
            </w:pPr>
            <w:r>
              <w:rPr>
                <w:rFonts w:hint="eastAsia" w:ascii="宋体" w:hAnsi="宋体" w:eastAsia="宋体" w:cs="宋体"/>
                <w:b w:val="0"/>
                <w:bCs/>
                <w:kern w:val="0"/>
                <w:sz w:val="24"/>
                <w:szCs w:val="24"/>
              </w:rPr>
              <w:t>75.00</w:t>
            </w:r>
          </w:p>
        </w:tc>
        <w:tc>
          <w:tcPr>
            <w:tcW w:w="680" w:type="pct"/>
            <w:vMerge w:val="continue"/>
            <w:tcBorders>
              <w:tl2br w:val="nil"/>
              <w:tr2bl w:val="nil"/>
            </w:tcBorders>
            <w:vAlign w:val="center"/>
          </w:tcPr>
          <w:p>
            <w:pPr>
              <w:widowControl/>
              <w:jc w:val="right"/>
              <w:rPr>
                <w:rFonts w:hint="eastAsia" w:ascii="宋体" w:hAnsi="宋体" w:eastAsia="宋体" w:cs="宋体"/>
                <w:b w:val="0"/>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jc w:val="lef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2021年上半年保管费和年度轮换费</w:t>
            </w:r>
          </w:p>
        </w:tc>
        <w:tc>
          <w:tcPr>
            <w:tcW w:w="1414" w:type="pct"/>
            <w:tcBorders>
              <w:tl2br w:val="nil"/>
              <w:tr2bl w:val="nil"/>
            </w:tcBorders>
            <w:shd w:val="clear" w:color="auto" w:fill="auto"/>
            <w:vAlign w:val="center"/>
          </w:tcPr>
          <w:p>
            <w:pPr>
              <w:widowControl/>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运财建（2021）13号</w:t>
            </w:r>
          </w:p>
        </w:tc>
        <w:tc>
          <w:tcPr>
            <w:tcW w:w="602" w:type="pct"/>
            <w:tcBorders>
              <w:tl2br w:val="nil"/>
              <w:tr2bl w:val="nil"/>
            </w:tcBorders>
            <w:shd w:val="clear" w:color="auto" w:fill="auto"/>
            <w:vAlign w:val="center"/>
          </w:tcPr>
          <w:p>
            <w:pPr>
              <w:widowControl/>
              <w:jc w:val="righ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 xml:space="preserve">849.00 </w:t>
            </w:r>
          </w:p>
        </w:tc>
        <w:tc>
          <w:tcPr>
            <w:tcW w:w="680" w:type="pct"/>
            <w:tcBorders>
              <w:tl2br w:val="nil"/>
              <w:tr2bl w:val="nil"/>
            </w:tcBorders>
            <w:shd w:val="clear" w:color="auto" w:fill="auto"/>
            <w:vAlign w:val="center"/>
          </w:tcPr>
          <w:p>
            <w:pPr>
              <w:widowControl/>
              <w:jc w:val="righ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 xml:space="preserve">849.00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03" w:type="pct"/>
            <w:tcBorders>
              <w:tl2br w:val="nil"/>
              <w:tr2bl w:val="nil"/>
            </w:tcBorders>
            <w:shd w:val="clear" w:color="auto" w:fill="auto"/>
            <w:vAlign w:val="center"/>
          </w:tcPr>
          <w:p>
            <w:pPr>
              <w:widowControl/>
              <w:jc w:val="lef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2021年下半年保管费</w:t>
            </w:r>
          </w:p>
        </w:tc>
        <w:tc>
          <w:tcPr>
            <w:tcW w:w="1414" w:type="pct"/>
            <w:tcBorders>
              <w:tl2br w:val="nil"/>
              <w:tr2bl w:val="nil"/>
            </w:tcBorders>
            <w:shd w:val="clear" w:color="auto" w:fill="auto"/>
            <w:vAlign w:val="center"/>
          </w:tcPr>
          <w:p>
            <w:pPr>
              <w:widowControl/>
              <w:jc w:val="lef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运财建（2021）77号</w:t>
            </w:r>
          </w:p>
        </w:tc>
        <w:tc>
          <w:tcPr>
            <w:tcW w:w="602" w:type="pct"/>
            <w:tcBorders>
              <w:tl2br w:val="nil"/>
              <w:tr2bl w:val="nil"/>
            </w:tcBorders>
            <w:shd w:val="clear" w:color="auto" w:fill="auto"/>
            <w:vAlign w:val="center"/>
          </w:tcPr>
          <w:p>
            <w:pPr>
              <w:widowControl/>
              <w:jc w:val="righ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 xml:space="preserve">560.00 </w:t>
            </w:r>
          </w:p>
        </w:tc>
        <w:tc>
          <w:tcPr>
            <w:tcW w:w="680" w:type="pct"/>
            <w:tcBorders>
              <w:tl2br w:val="nil"/>
              <w:tr2bl w:val="nil"/>
            </w:tcBorders>
            <w:vAlign w:val="center"/>
          </w:tcPr>
          <w:p>
            <w:pPr>
              <w:widowControl/>
              <w:jc w:val="righ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 xml:space="preserve">560.00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2021年上半年应急粮保管费和年度轮换费</w:t>
            </w:r>
          </w:p>
        </w:tc>
        <w:tc>
          <w:tcPr>
            <w:tcW w:w="1414" w:type="pct"/>
            <w:tcBorders>
              <w:tl2br w:val="nil"/>
              <w:tr2bl w:val="nil"/>
            </w:tcBorders>
            <w:shd w:val="clear" w:color="auto" w:fill="auto"/>
            <w:vAlign w:val="center"/>
          </w:tcPr>
          <w:p>
            <w:pPr>
              <w:widowControl/>
              <w:jc w:val="lef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运财建（2021）14号</w:t>
            </w:r>
          </w:p>
        </w:tc>
        <w:tc>
          <w:tcPr>
            <w:tcW w:w="602" w:type="pct"/>
            <w:tcBorders>
              <w:tl2br w:val="nil"/>
              <w:tr2bl w:val="nil"/>
            </w:tcBorders>
            <w:shd w:val="clear" w:color="auto" w:fill="auto"/>
            <w:vAlign w:val="center"/>
          </w:tcPr>
          <w:p>
            <w:pPr>
              <w:widowControl/>
              <w:jc w:val="righ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 xml:space="preserve">300.00 </w:t>
            </w:r>
          </w:p>
        </w:tc>
        <w:tc>
          <w:tcPr>
            <w:tcW w:w="680" w:type="pct"/>
            <w:tcBorders>
              <w:tl2br w:val="nil"/>
              <w:tr2bl w:val="nil"/>
            </w:tcBorders>
            <w:shd w:val="clear" w:color="auto" w:fill="auto"/>
            <w:vAlign w:val="center"/>
          </w:tcPr>
          <w:p>
            <w:pPr>
              <w:widowControl/>
              <w:jc w:val="righ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 xml:space="preserve">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jc w:val="lef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2021年下半年应急粮保管费</w:t>
            </w:r>
          </w:p>
        </w:tc>
        <w:tc>
          <w:tcPr>
            <w:tcW w:w="1414" w:type="pct"/>
            <w:tcBorders>
              <w:tl2br w:val="nil"/>
              <w:tr2bl w:val="nil"/>
            </w:tcBorders>
            <w:shd w:val="clear" w:color="auto" w:fill="auto"/>
            <w:vAlign w:val="center"/>
          </w:tcPr>
          <w:p>
            <w:pPr>
              <w:widowControl/>
              <w:jc w:val="lef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运财建（2021）78号</w:t>
            </w:r>
          </w:p>
        </w:tc>
        <w:tc>
          <w:tcPr>
            <w:tcW w:w="602" w:type="pct"/>
            <w:tcBorders>
              <w:tl2br w:val="nil"/>
              <w:tr2bl w:val="nil"/>
            </w:tcBorders>
            <w:shd w:val="clear" w:color="auto" w:fill="auto"/>
            <w:vAlign w:val="center"/>
          </w:tcPr>
          <w:p>
            <w:pPr>
              <w:widowControl/>
              <w:jc w:val="righ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 xml:space="preserve">50.50 </w:t>
            </w:r>
          </w:p>
        </w:tc>
        <w:tc>
          <w:tcPr>
            <w:tcW w:w="680" w:type="pct"/>
            <w:tcBorders>
              <w:tl2br w:val="nil"/>
              <w:tr2bl w:val="nil"/>
            </w:tcBorders>
            <w:vAlign w:val="center"/>
          </w:tcPr>
          <w:p>
            <w:pPr>
              <w:widowControl/>
              <w:jc w:val="right"/>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 xml:space="preserve">50.50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7" w:type="pct"/>
            <w:gridSpan w:val="2"/>
            <w:tcBorders>
              <w:tl2br w:val="nil"/>
              <w:tr2bl w:val="nil"/>
            </w:tcBorders>
            <w:shd w:val="clear" w:color="auto" w:fill="auto"/>
            <w:vAlign w:val="center"/>
          </w:tcPr>
          <w:p>
            <w:pPr>
              <w:widowControl/>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合计</w:t>
            </w:r>
          </w:p>
        </w:tc>
        <w:tc>
          <w:tcPr>
            <w:tcW w:w="1282" w:type="pct"/>
            <w:gridSpan w:val="2"/>
            <w:tcBorders>
              <w:tl2br w:val="nil"/>
              <w:tr2bl w:val="nil"/>
            </w:tcBorders>
            <w:shd w:val="clear" w:color="auto" w:fill="auto"/>
            <w:vAlign w:val="center"/>
          </w:tcPr>
          <w:p>
            <w:pPr>
              <w:widowControl/>
              <w:jc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1,947.00</w:t>
            </w:r>
          </w:p>
        </w:tc>
      </w:tr>
    </w:tbl>
    <w:p>
      <w:pPr>
        <w:autoSpaceDE w:val="0"/>
        <w:autoSpaceDN w:val="0"/>
        <w:spacing w:line="360" w:lineRule="auto"/>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2.资金使用情况</w:t>
      </w:r>
    </w:p>
    <w:p>
      <w:pPr>
        <w:pStyle w:val="2"/>
        <w:ind w:firstLine="560" w:firstLineChars="200"/>
        <w:rPr>
          <w:rFonts w:hint="eastAsia" w:ascii="宋体" w:hAnsi="宋体" w:eastAsia="宋体" w:cs="宋体"/>
          <w:bCs/>
          <w:sz w:val="28"/>
          <w:szCs w:val="28"/>
        </w:rPr>
      </w:pPr>
      <w:r>
        <w:rPr>
          <w:rFonts w:hint="eastAsia" w:ascii="宋体" w:hAnsi="宋体" w:eastAsia="宋体" w:cs="宋体"/>
          <w:bCs/>
          <w:kern w:val="0"/>
          <w:sz w:val="28"/>
          <w:szCs w:val="28"/>
        </w:rPr>
        <w:t>2021年度支付项目资金1943.66万元，明细如下：</w:t>
      </w:r>
    </w:p>
    <w:tbl>
      <w:tblPr>
        <w:tblStyle w:val="14"/>
        <w:tblW w:w="9087" w:type="dxa"/>
        <w:tblInd w:w="0" w:type="dxa"/>
        <w:tblLayout w:type="fixed"/>
        <w:tblCellMar>
          <w:top w:w="0" w:type="dxa"/>
          <w:left w:w="0" w:type="dxa"/>
          <w:bottom w:w="0" w:type="dxa"/>
          <w:right w:w="0" w:type="dxa"/>
        </w:tblCellMar>
      </w:tblPr>
      <w:tblGrid>
        <w:gridCol w:w="2010"/>
        <w:gridCol w:w="3390"/>
        <w:gridCol w:w="1703"/>
        <w:gridCol w:w="1984"/>
      </w:tblGrid>
      <w:tr>
        <w:tblPrEx>
          <w:tblCellMar>
            <w:top w:w="0" w:type="dxa"/>
            <w:left w:w="0" w:type="dxa"/>
            <w:bottom w:w="0" w:type="dxa"/>
            <w:right w:w="0" w:type="dxa"/>
          </w:tblCellMar>
        </w:tblPrEx>
        <w:trPr>
          <w:trHeight w:val="409" w:hRule="atLeast"/>
        </w:trPr>
        <w:tc>
          <w:tcPr>
            <w:tcW w:w="9087" w:type="dxa"/>
            <w:gridSpan w:val="4"/>
            <w:tcBorders>
              <w:top w:val="nil"/>
              <w:left w:val="nil"/>
              <w:bottom w:val="nil"/>
              <w:right w:val="nil"/>
            </w:tcBorders>
            <w:shd w:val="clear" w:color="auto" w:fill="auto"/>
            <w:tcMar>
              <w:top w:w="15" w:type="dxa"/>
              <w:left w:w="15" w:type="dxa"/>
              <w:right w:w="15" w:type="dxa"/>
            </w:tcMar>
            <w:vAlign w:val="bottom"/>
          </w:tcPr>
          <w:p>
            <w:pPr>
              <w:widowControl/>
              <w:spacing w:line="360" w:lineRule="auto"/>
              <w:ind w:firstLine="2660" w:firstLineChars="950"/>
              <w:textAlignment w:val="bottom"/>
              <w:rPr>
                <w:rFonts w:hint="eastAsia" w:ascii="宋体" w:hAnsi="宋体" w:eastAsia="宋体" w:cs="宋体"/>
                <w:sz w:val="28"/>
                <w:szCs w:val="28"/>
              </w:rPr>
            </w:pPr>
            <w:r>
              <w:rPr>
                <w:rFonts w:hint="eastAsia" w:ascii="宋体" w:hAnsi="宋体" w:eastAsia="宋体" w:cs="宋体"/>
                <w:kern w:val="0"/>
                <w:sz w:val="28"/>
                <w:szCs w:val="28"/>
                <w:lang w:bidi="ar"/>
              </w:rPr>
              <w:t>资金使用情况明细表</w:t>
            </w:r>
          </w:p>
        </w:tc>
      </w:tr>
      <w:tr>
        <w:tblPrEx>
          <w:tblCellMar>
            <w:top w:w="0" w:type="dxa"/>
            <w:left w:w="0" w:type="dxa"/>
            <w:bottom w:w="0" w:type="dxa"/>
            <w:right w:w="0" w:type="dxa"/>
          </w:tblCellMar>
        </w:tblPrEx>
        <w:trPr>
          <w:trHeight w:val="307" w:hRule="atLeast"/>
        </w:trPr>
        <w:tc>
          <w:tcPr>
            <w:tcW w:w="2010" w:type="dxa"/>
            <w:tcBorders>
              <w:top w:val="nil"/>
              <w:left w:val="nil"/>
              <w:bottom w:val="nil"/>
              <w:right w:val="nil"/>
            </w:tcBorders>
            <w:shd w:val="clear" w:color="auto" w:fill="auto"/>
            <w:tcMar>
              <w:top w:w="15" w:type="dxa"/>
              <w:left w:w="15" w:type="dxa"/>
              <w:right w:w="15" w:type="dxa"/>
            </w:tcMar>
            <w:vAlign w:val="bottom"/>
          </w:tcPr>
          <w:p>
            <w:pPr>
              <w:spacing w:line="276" w:lineRule="auto"/>
              <w:rPr>
                <w:rFonts w:hint="eastAsia" w:ascii="宋体" w:hAnsi="宋体" w:eastAsia="宋体" w:cs="宋体"/>
                <w:sz w:val="24"/>
                <w:szCs w:val="24"/>
              </w:rPr>
            </w:pPr>
          </w:p>
        </w:tc>
        <w:tc>
          <w:tcPr>
            <w:tcW w:w="3390" w:type="dxa"/>
            <w:tcBorders>
              <w:top w:val="nil"/>
              <w:left w:val="nil"/>
              <w:bottom w:val="nil"/>
              <w:right w:val="nil"/>
            </w:tcBorders>
            <w:shd w:val="clear" w:color="auto" w:fill="auto"/>
            <w:tcMar>
              <w:top w:w="15" w:type="dxa"/>
              <w:left w:w="15" w:type="dxa"/>
              <w:right w:w="15" w:type="dxa"/>
            </w:tcMar>
            <w:vAlign w:val="bottom"/>
          </w:tcPr>
          <w:p>
            <w:pPr>
              <w:spacing w:line="276" w:lineRule="auto"/>
              <w:rPr>
                <w:rFonts w:hint="eastAsia" w:ascii="宋体" w:hAnsi="宋体" w:eastAsia="宋体" w:cs="宋体"/>
                <w:sz w:val="24"/>
                <w:szCs w:val="24"/>
              </w:rPr>
            </w:pPr>
          </w:p>
        </w:tc>
        <w:tc>
          <w:tcPr>
            <w:tcW w:w="1703" w:type="dxa"/>
            <w:tcBorders>
              <w:top w:val="nil"/>
              <w:left w:val="nil"/>
              <w:bottom w:val="nil"/>
              <w:right w:val="nil"/>
            </w:tcBorders>
            <w:shd w:val="clear" w:color="auto" w:fill="auto"/>
            <w:tcMar>
              <w:top w:w="15" w:type="dxa"/>
              <w:left w:w="15" w:type="dxa"/>
              <w:right w:w="15" w:type="dxa"/>
            </w:tcMar>
            <w:vAlign w:val="bottom"/>
          </w:tcPr>
          <w:p>
            <w:pPr>
              <w:spacing w:line="276" w:lineRule="auto"/>
              <w:rPr>
                <w:rFonts w:hint="eastAsia" w:ascii="宋体" w:hAnsi="宋体" w:eastAsia="宋体" w:cs="宋体"/>
                <w:sz w:val="24"/>
                <w:szCs w:val="24"/>
              </w:rPr>
            </w:pPr>
          </w:p>
        </w:tc>
        <w:tc>
          <w:tcPr>
            <w:tcW w:w="1984" w:type="dxa"/>
            <w:tcBorders>
              <w:top w:val="nil"/>
              <w:left w:val="nil"/>
              <w:bottom w:val="nil"/>
              <w:right w:val="nil"/>
            </w:tcBorders>
            <w:shd w:val="clear" w:color="auto" w:fill="auto"/>
            <w:tcMar>
              <w:top w:w="15" w:type="dxa"/>
              <w:left w:w="15" w:type="dxa"/>
              <w:right w:w="15" w:type="dxa"/>
            </w:tcMar>
            <w:vAlign w:val="center"/>
          </w:tcPr>
          <w:p>
            <w:pPr>
              <w:widowControl/>
              <w:spacing w:line="276" w:lineRule="auto"/>
              <w:jc w:val="right"/>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单位：万元</w:t>
            </w:r>
          </w:p>
        </w:tc>
      </w:tr>
      <w:tr>
        <w:tblPrEx>
          <w:tblCellMar>
            <w:top w:w="0" w:type="dxa"/>
            <w:left w:w="0" w:type="dxa"/>
            <w:bottom w:w="0" w:type="dxa"/>
            <w:right w:w="0" w:type="dxa"/>
          </w:tblCellMar>
        </w:tblPrEx>
        <w:trPr>
          <w:trHeight w:val="538" w:hRule="atLeast"/>
        </w:trPr>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b w:val="0"/>
                <w:bCs w:val="0"/>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
              </w:rPr>
              <w:t>费用名称</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
              </w:rPr>
              <w:t>金额</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
              </w:rPr>
              <w:t>合计</w:t>
            </w:r>
          </w:p>
        </w:tc>
      </w:tr>
      <w:tr>
        <w:tblPrEx>
          <w:tblCellMar>
            <w:top w:w="0" w:type="dxa"/>
            <w:left w:w="0" w:type="dxa"/>
            <w:bottom w:w="0" w:type="dxa"/>
            <w:right w:w="0" w:type="dxa"/>
          </w:tblCellMar>
        </w:tblPrEx>
        <w:trPr>
          <w:trHeight w:val="246" w:hRule="atLeast"/>
        </w:trPr>
        <w:tc>
          <w:tcPr>
            <w:tcW w:w="201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销售费用</w:t>
            </w: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办公费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22.04</w:t>
            </w:r>
          </w:p>
        </w:tc>
        <w:tc>
          <w:tcPr>
            <w:tcW w:w="198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663.74</w:t>
            </w:r>
          </w:p>
        </w:tc>
      </w:tr>
      <w:tr>
        <w:tblPrEx>
          <w:tblCellMar>
            <w:top w:w="0" w:type="dxa"/>
            <w:left w:w="0" w:type="dxa"/>
            <w:bottom w:w="0" w:type="dxa"/>
            <w:right w:w="0" w:type="dxa"/>
          </w:tblCellMar>
        </w:tblPrEx>
        <w:trPr>
          <w:trHeight w:val="322"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装卸费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16.32</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98"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保管费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505.06</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61"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轮换损耗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75.44</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252" w:hRule="atLeast"/>
        </w:trPr>
        <w:tc>
          <w:tcPr>
            <w:tcW w:w="201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其他</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44.88</w:t>
            </w:r>
          </w:p>
        </w:tc>
        <w:tc>
          <w:tcPr>
            <w:tcW w:w="198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0" w:hRule="atLeast"/>
        </w:trPr>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工资及社保</w:t>
            </w: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工资及福利费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594.68</w:t>
            </w:r>
          </w:p>
        </w:tc>
        <w:tc>
          <w:tcPr>
            <w:tcW w:w="19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797.81</w:t>
            </w:r>
          </w:p>
        </w:tc>
      </w:tr>
      <w:tr>
        <w:tblPrEx>
          <w:tblCellMar>
            <w:top w:w="0" w:type="dxa"/>
            <w:left w:w="0" w:type="dxa"/>
            <w:bottom w:w="0" w:type="dxa"/>
            <w:right w:w="0" w:type="dxa"/>
          </w:tblCellMar>
        </w:tblPrEx>
        <w:trPr>
          <w:trHeight w:val="392" w:hRule="atLeast"/>
        </w:trPr>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社保</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203.13</w:t>
            </w:r>
          </w:p>
        </w:tc>
        <w:tc>
          <w:tcPr>
            <w:tcW w:w="1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270" w:hRule="atLeast"/>
        </w:trPr>
        <w:tc>
          <w:tcPr>
            <w:tcW w:w="201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管理费用</w:t>
            </w: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办公费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21.77</w:t>
            </w:r>
          </w:p>
        </w:tc>
        <w:tc>
          <w:tcPr>
            <w:tcW w:w="198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147.93</w:t>
            </w:r>
          </w:p>
        </w:tc>
      </w:tr>
      <w:tr>
        <w:tblPrEx>
          <w:tblCellMar>
            <w:top w:w="0" w:type="dxa"/>
            <w:left w:w="0" w:type="dxa"/>
            <w:bottom w:w="0" w:type="dxa"/>
            <w:right w:w="0" w:type="dxa"/>
          </w:tblCellMar>
        </w:tblPrEx>
        <w:trPr>
          <w:trHeight w:val="346"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差旅费</w:t>
            </w:r>
          </w:p>
        </w:tc>
        <w:tc>
          <w:tcPr>
            <w:tcW w:w="17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3.17</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94"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劳保</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4.11</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0"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车辆交通费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8.62</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6"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修理费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39.30</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98"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物料消耗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5.57</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4" w:hRule="atLeast"/>
        </w:trPr>
        <w:tc>
          <w:tcPr>
            <w:tcW w:w="2010" w:type="dxa"/>
            <w:vMerge w:val="restart"/>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购低值易耗品</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1.54</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88"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工会经费及职工教育经费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11.57</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82"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规费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8.07</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7"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审计费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1.60</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07"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水电费，燃气费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16.10</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党组织工作经费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0.52</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消防用品</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2.25</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保险费</w:t>
            </w:r>
          </w:p>
        </w:tc>
        <w:tc>
          <w:tcPr>
            <w:tcW w:w="170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9.12</w:t>
            </w:r>
          </w:p>
        </w:tc>
        <w:tc>
          <w:tcPr>
            <w:tcW w:w="1984"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其他</w:t>
            </w:r>
          </w:p>
        </w:tc>
        <w:tc>
          <w:tcPr>
            <w:tcW w:w="170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14.62</w:t>
            </w:r>
          </w:p>
        </w:tc>
        <w:tc>
          <w:tcPr>
            <w:tcW w:w="1984"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r>
              <w:rPr>
                <w:rFonts w:hint="eastAsia" w:ascii="宋体" w:hAnsi="宋体" w:eastAsia="宋体" w:cs="宋体"/>
                <w:kern w:val="0"/>
                <w:sz w:val="24"/>
                <w:szCs w:val="24"/>
                <w:lang w:bidi="ar"/>
              </w:rPr>
              <w:t>财务费用</w:t>
            </w:r>
          </w:p>
        </w:tc>
        <w:tc>
          <w:tcPr>
            <w:tcW w:w="339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手续费</w:t>
            </w:r>
          </w:p>
        </w:tc>
        <w:tc>
          <w:tcPr>
            <w:tcW w:w="1703"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0.33</w:t>
            </w:r>
          </w:p>
        </w:tc>
        <w:tc>
          <w:tcPr>
            <w:tcW w:w="1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0.33</w:t>
            </w:r>
          </w:p>
        </w:tc>
      </w:tr>
      <w:tr>
        <w:tblPrEx>
          <w:tblCellMar>
            <w:top w:w="0" w:type="dxa"/>
            <w:left w:w="0" w:type="dxa"/>
            <w:bottom w:w="0" w:type="dxa"/>
            <w:right w:w="0" w:type="dxa"/>
          </w:tblCellMar>
        </w:tblPrEx>
        <w:trPr>
          <w:trHeight w:val="527" w:hRule="atLeast"/>
        </w:trPr>
        <w:tc>
          <w:tcPr>
            <w:tcW w:w="2010" w:type="dxa"/>
            <w:tcBorders>
              <w:top w:val="single" w:color="000000"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轮换差价</w:t>
            </w:r>
          </w:p>
        </w:tc>
        <w:tc>
          <w:tcPr>
            <w:tcW w:w="1703" w:type="dxa"/>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325.62</w:t>
            </w:r>
          </w:p>
        </w:tc>
        <w:tc>
          <w:tcPr>
            <w:tcW w:w="1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c>
          <w:tcPr>
            <w:tcW w:w="339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固定资产</w:t>
            </w:r>
          </w:p>
        </w:tc>
        <w:tc>
          <w:tcPr>
            <w:tcW w:w="170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8.23</w:t>
            </w:r>
          </w:p>
        </w:tc>
        <w:tc>
          <w:tcPr>
            <w:tcW w:w="198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合计</w:t>
            </w: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b w:val="0"/>
                <w:bCs/>
                <w:sz w:val="24"/>
                <w:szCs w:val="24"/>
              </w:rPr>
              <w:t>1</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rPr>
              <w:t>943.66</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bl>
    <w:p>
      <w:pPr>
        <w:spacing w:line="360" w:lineRule="auto"/>
        <w:ind w:firstLine="560" w:firstLineChars="200"/>
        <w:outlineLvl w:val="1"/>
        <w:rPr>
          <w:rFonts w:hint="eastAsia" w:ascii="宋体" w:hAnsi="宋体" w:eastAsia="宋体" w:cs="宋体"/>
          <w:b w:val="0"/>
          <w:bCs/>
          <w:sz w:val="28"/>
          <w:szCs w:val="28"/>
          <w:lang w:bidi="ar"/>
        </w:rPr>
      </w:pPr>
      <w:r>
        <w:rPr>
          <w:rFonts w:hint="eastAsia" w:ascii="宋体" w:hAnsi="宋体" w:eastAsia="宋体" w:cs="宋体"/>
          <w:b w:val="0"/>
          <w:bCs/>
          <w:sz w:val="28"/>
          <w:szCs w:val="28"/>
          <w:lang w:bidi="ar"/>
        </w:rPr>
        <w:t>（六）项目</w:t>
      </w:r>
      <w:bookmarkEnd w:id="45"/>
      <w:bookmarkEnd w:id="46"/>
      <w:bookmarkEnd w:id="47"/>
      <w:bookmarkEnd w:id="48"/>
      <w:bookmarkEnd w:id="49"/>
      <w:bookmarkEnd w:id="50"/>
      <w:bookmarkEnd w:id="51"/>
      <w:bookmarkEnd w:id="52"/>
      <w:bookmarkEnd w:id="53"/>
      <w:r>
        <w:rPr>
          <w:rFonts w:hint="eastAsia" w:ascii="宋体" w:hAnsi="宋体" w:eastAsia="宋体" w:cs="宋体"/>
          <w:b w:val="0"/>
          <w:bCs/>
          <w:sz w:val="28"/>
          <w:szCs w:val="28"/>
          <w:lang w:bidi="ar"/>
        </w:rPr>
        <w:t>的组织管理</w:t>
      </w:r>
      <w:bookmarkEnd w:id="54"/>
      <w:bookmarkEnd w:id="55"/>
    </w:p>
    <w:p>
      <w:pPr>
        <w:spacing w:line="360" w:lineRule="auto"/>
        <w:ind w:firstLine="560" w:firstLineChars="200"/>
        <w:rPr>
          <w:rFonts w:hint="eastAsia" w:ascii="宋体" w:hAnsi="宋体" w:eastAsia="宋体" w:cs="宋体"/>
          <w:b w:val="0"/>
          <w:bCs/>
          <w:sz w:val="28"/>
          <w:szCs w:val="28"/>
          <w:lang w:bidi="ar"/>
        </w:rPr>
      </w:pPr>
      <w:bookmarkStart w:id="59" w:name="_Toc18495_WPSOffice_Level3"/>
      <w:r>
        <w:rPr>
          <w:rFonts w:hint="eastAsia" w:ascii="宋体" w:hAnsi="宋体" w:eastAsia="宋体" w:cs="宋体"/>
          <w:b w:val="0"/>
          <w:bCs/>
          <w:sz w:val="28"/>
          <w:szCs w:val="28"/>
          <w:lang w:bidi="ar"/>
        </w:rPr>
        <w:t>1.资金拨款部门及职责</w:t>
      </w:r>
      <w:bookmarkEnd w:id="59"/>
    </w:p>
    <w:p>
      <w:pPr>
        <w:spacing w:line="360" w:lineRule="auto"/>
        <w:ind w:firstLine="560" w:firstLineChars="200"/>
        <w:rPr>
          <w:rFonts w:hint="eastAsia" w:ascii="宋体" w:hAnsi="宋体" w:eastAsia="宋体" w:cs="宋体"/>
          <w:b w:val="0"/>
          <w:bCs/>
          <w:sz w:val="28"/>
          <w:szCs w:val="28"/>
          <w:lang w:bidi="ar"/>
        </w:rPr>
      </w:pPr>
      <w:bookmarkStart w:id="60" w:name="_Toc341_WPSOffice_Level3"/>
      <w:r>
        <w:rPr>
          <w:rFonts w:hint="eastAsia" w:ascii="宋体" w:hAnsi="宋体" w:eastAsia="宋体" w:cs="宋体"/>
          <w:b w:val="0"/>
          <w:bCs/>
          <w:sz w:val="28"/>
          <w:szCs w:val="28"/>
          <w:lang w:bidi="ar"/>
        </w:rPr>
        <w:t>运城市财政局，负责审批、拨付预算资金，对专项资金的使用进行监管，组织开展绩效评价工作等。</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2.项目主管部门</w:t>
      </w:r>
      <w:bookmarkEnd w:id="60"/>
      <w:r>
        <w:rPr>
          <w:rFonts w:hint="eastAsia" w:ascii="宋体" w:hAnsi="宋体" w:eastAsia="宋体" w:cs="宋体"/>
          <w:b w:val="0"/>
          <w:bCs/>
          <w:sz w:val="28"/>
          <w:szCs w:val="28"/>
        </w:rPr>
        <w:t>及职责</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color w:val="auto"/>
          <w:sz w:val="28"/>
          <w:szCs w:val="28"/>
        </w:rPr>
        <w:t>运城市发展和改革委员会，负责审核运城市地方粮食战略储备库有限责任公司粮油保管费及轮换费、并对其日常工作进行监督。确定专项资金的</w:t>
      </w:r>
      <w:r>
        <w:rPr>
          <w:rFonts w:hint="eastAsia" w:ascii="宋体" w:hAnsi="宋体" w:eastAsia="宋体" w:cs="宋体"/>
          <w:b w:val="0"/>
          <w:bCs/>
          <w:sz w:val="28"/>
          <w:szCs w:val="28"/>
        </w:rPr>
        <w:t>重点支持领域和方向，组织专项资金预算、编制资金预算绩效评价目标和报告等工作。</w:t>
      </w:r>
    </w:p>
    <w:p>
      <w:pPr>
        <w:spacing w:line="360" w:lineRule="auto"/>
        <w:ind w:firstLine="560" w:firstLineChars="200"/>
        <w:rPr>
          <w:rFonts w:hint="eastAsia" w:ascii="宋体" w:hAnsi="宋体" w:eastAsia="宋体" w:cs="宋体"/>
          <w:b w:val="0"/>
          <w:bCs/>
          <w:sz w:val="28"/>
          <w:szCs w:val="28"/>
        </w:rPr>
      </w:pPr>
      <w:bookmarkStart w:id="61" w:name="_Toc9824_WPSOffice_Level2"/>
      <w:bookmarkStart w:id="62" w:name="_Toc29367_WPSOffice_Level3"/>
      <w:bookmarkStart w:id="63" w:name="_Toc30914_WPSOffice_Level2"/>
      <w:bookmarkStart w:id="64" w:name="_Toc9017_WPSOffice_Level2"/>
      <w:bookmarkStart w:id="65" w:name="_Toc10497_WPSOffice_Level3"/>
      <w:bookmarkStart w:id="66" w:name="_Toc30269_WPSOffice_Level2"/>
      <w:r>
        <w:rPr>
          <w:rFonts w:hint="eastAsia" w:ascii="宋体" w:hAnsi="宋体" w:eastAsia="宋体" w:cs="宋体"/>
          <w:b w:val="0"/>
          <w:bCs/>
          <w:sz w:val="28"/>
          <w:szCs w:val="28"/>
        </w:rPr>
        <w:t>3.项目实施单位及职责</w:t>
      </w:r>
    </w:p>
    <w:p>
      <w:pPr>
        <w:spacing w:line="360" w:lineRule="auto"/>
        <w:ind w:firstLine="560" w:firstLineChars="200"/>
        <w:rPr>
          <w:rFonts w:hint="eastAsia" w:ascii="宋体" w:hAnsi="宋体" w:eastAsia="宋体" w:cs="宋体"/>
          <w:b/>
          <w:sz w:val="28"/>
          <w:szCs w:val="28"/>
        </w:rPr>
      </w:pPr>
      <w:r>
        <w:rPr>
          <w:rFonts w:hint="eastAsia" w:ascii="宋体" w:hAnsi="宋体" w:eastAsia="宋体" w:cs="宋体"/>
          <w:sz w:val="28"/>
          <w:szCs w:val="28"/>
        </w:rPr>
        <w:t>运城市地方粮食战略储备库有限责任公司，负责按政府要求储备粮油并保证质量、严格执行轮换计划管理。</w:t>
      </w:r>
    </w:p>
    <w:p>
      <w:pPr>
        <w:spacing w:line="360" w:lineRule="auto"/>
        <w:ind w:firstLine="560" w:firstLineChars="200"/>
        <w:outlineLvl w:val="1"/>
        <w:rPr>
          <w:rFonts w:hint="eastAsia" w:ascii="宋体" w:hAnsi="宋体" w:eastAsia="宋体" w:cs="宋体"/>
          <w:b w:val="0"/>
          <w:bCs w:val="0"/>
          <w:sz w:val="28"/>
          <w:szCs w:val="28"/>
        </w:rPr>
      </w:pPr>
      <w:bookmarkStart w:id="67" w:name="_Toc8098"/>
      <w:bookmarkStart w:id="68" w:name="_Toc11324"/>
      <w:r>
        <w:rPr>
          <w:rFonts w:hint="eastAsia" w:ascii="宋体" w:hAnsi="宋体" w:eastAsia="宋体" w:cs="宋体"/>
          <w:b w:val="0"/>
          <w:bCs w:val="0"/>
          <w:sz w:val="28"/>
          <w:szCs w:val="28"/>
        </w:rPr>
        <w:t>（七）利益相关方</w:t>
      </w:r>
      <w:bookmarkEnd w:id="61"/>
      <w:bookmarkEnd w:id="62"/>
      <w:bookmarkEnd w:id="63"/>
      <w:bookmarkEnd w:id="64"/>
      <w:bookmarkEnd w:id="65"/>
      <w:bookmarkEnd w:id="66"/>
      <w:bookmarkEnd w:id="67"/>
      <w:bookmarkEnd w:id="68"/>
    </w:p>
    <w:p>
      <w:pPr>
        <w:spacing w:line="360" w:lineRule="auto"/>
        <w:ind w:firstLine="560" w:firstLineChars="200"/>
        <w:rPr>
          <w:rFonts w:hint="eastAsia" w:ascii="宋体" w:hAnsi="宋体" w:eastAsia="宋体" w:cs="宋体"/>
          <w:b w:val="0"/>
          <w:bCs w:val="0"/>
          <w:sz w:val="28"/>
          <w:szCs w:val="28"/>
          <w:lang w:bidi="ar"/>
        </w:rPr>
      </w:pPr>
      <w:r>
        <w:rPr>
          <w:rFonts w:hint="eastAsia" w:ascii="宋体" w:hAnsi="宋体" w:eastAsia="宋体" w:cs="宋体"/>
          <w:b w:val="0"/>
          <w:bCs w:val="0"/>
          <w:sz w:val="28"/>
          <w:szCs w:val="28"/>
        </w:rPr>
        <w:t>（1）项目拨款部门：运城市财政局</w:t>
      </w:r>
    </w:p>
    <w:p>
      <w:pPr>
        <w:spacing w:line="360" w:lineRule="auto"/>
        <w:ind w:firstLine="560" w:firstLineChars="200"/>
        <w:rPr>
          <w:rFonts w:hint="eastAsia" w:ascii="宋体" w:hAnsi="宋体" w:eastAsia="宋体" w:cs="宋体"/>
          <w:b w:val="0"/>
          <w:bCs w:val="0"/>
          <w:sz w:val="28"/>
          <w:szCs w:val="28"/>
          <w:lang w:bidi="ar"/>
        </w:rPr>
      </w:pPr>
      <w:r>
        <w:rPr>
          <w:rFonts w:hint="eastAsia" w:ascii="宋体" w:hAnsi="宋体" w:eastAsia="宋体" w:cs="宋体"/>
          <w:b w:val="0"/>
          <w:bCs w:val="0"/>
          <w:sz w:val="28"/>
          <w:szCs w:val="28"/>
        </w:rPr>
        <w:t>（2）项目主管部门：运城市发展和改革委员会</w:t>
      </w:r>
    </w:p>
    <w:p>
      <w:pPr>
        <w:spacing w:line="360" w:lineRule="auto"/>
        <w:ind w:firstLine="560" w:firstLineChars="200"/>
        <w:rPr>
          <w:rFonts w:hint="eastAsia" w:ascii="宋体" w:hAnsi="宋体" w:eastAsia="宋体" w:cs="宋体"/>
          <w:b w:val="0"/>
          <w:bCs w:val="0"/>
          <w:kern w:val="0"/>
          <w:sz w:val="28"/>
          <w:szCs w:val="28"/>
          <w:lang w:val="en-US" w:eastAsia="zh-CN" w:bidi="ar-SA"/>
        </w:rPr>
      </w:pPr>
      <w:r>
        <w:rPr>
          <w:rFonts w:hint="eastAsia" w:ascii="宋体" w:hAnsi="宋体" w:eastAsia="宋体" w:cs="宋体"/>
          <w:b w:val="0"/>
          <w:bCs w:val="0"/>
          <w:sz w:val="28"/>
          <w:szCs w:val="28"/>
        </w:rPr>
        <w:t>（3）项目实施单位：</w:t>
      </w:r>
      <w:r>
        <w:rPr>
          <w:rFonts w:hint="eastAsia" w:ascii="宋体" w:hAnsi="宋体" w:eastAsia="宋体" w:cs="宋体"/>
          <w:b w:val="0"/>
          <w:bCs w:val="0"/>
          <w:kern w:val="0"/>
          <w:sz w:val="28"/>
          <w:szCs w:val="28"/>
          <w:lang w:val="en-US" w:eastAsia="zh-CN" w:bidi="ar-SA"/>
        </w:rPr>
        <w:t>运城市地方粮食战略库有限责任公司</w:t>
      </w:r>
    </w:p>
    <w:p>
      <w:pPr>
        <w:spacing w:line="360" w:lineRule="auto"/>
        <w:ind w:firstLine="560" w:firstLineChars="200"/>
        <w:rPr>
          <w:rFonts w:hint="eastAsia" w:ascii="宋体" w:hAnsi="宋体" w:eastAsia="宋体" w:cs="宋体"/>
          <w:b w:val="0"/>
          <w:bCs w:val="0"/>
          <w:sz w:val="28"/>
          <w:szCs w:val="28"/>
        </w:rPr>
      </w:pPr>
      <w:r>
        <w:rPr>
          <w:rFonts w:hint="eastAsia" w:ascii="宋体" w:hAnsi="宋体" w:eastAsia="宋体" w:cs="宋体"/>
          <w:b w:val="0"/>
          <w:bCs w:val="0"/>
          <w:sz w:val="28"/>
          <w:szCs w:val="28"/>
        </w:rPr>
        <w:t>（4）项目利益相关方：</w:t>
      </w:r>
      <w:r>
        <w:rPr>
          <w:rFonts w:hint="eastAsia" w:ascii="宋体" w:hAnsi="宋体" w:eastAsia="宋体" w:cs="宋体"/>
          <w:b w:val="0"/>
          <w:bCs w:val="0"/>
          <w:kern w:val="0"/>
          <w:sz w:val="28"/>
          <w:szCs w:val="28"/>
          <w:lang w:val="en-US" w:eastAsia="zh-CN" w:bidi="ar-SA"/>
        </w:rPr>
        <w:t>运城市范围内的居民及军队</w:t>
      </w:r>
      <w:bookmarkStart w:id="69" w:name="_Toc19163"/>
      <w:bookmarkStart w:id="70" w:name="_Toc17047"/>
    </w:p>
    <w:p>
      <w:pPr>
        <w:spacing w:line="360" w:lineRule="auto"/>
        <w:ind w:firstLine="560" w:firstLineChars="200"/>
        <w:outlineLvl w:val="1"/>
        <w:rPr>
          <w:rFonts w:hint="eastAsia" w:ascii="宋体" w:hAnsi="宋体" w:eastAsia="宋体" w:cs="宋体"/>
          <w:b w:val="0"/>
          <w:bCs w:val="0"/>
          <w:sz w:val="28"/>
          <w:szCs w:val="28"/>
        </w:rPr>
      </w:pPr>
      <w:r>
        <w:rPr>
          <w:rFonts w:hint="eastAsia" w:ascii="宋体" w:hAnsi="宋体" w:eastAsia="宋体" w:cs="宋体"/>
          <w:b w:val="0"/>
          <w:bCs w:val="0"/>
          <w:sz w:val="28"/>
          <w:szCs w:val="28"/>
        </w:rPr>
        <w:t>（八）项目绩效目标</w:t>
      </w:r>
      <w:bookmarkEnd w:id="69"/>
      <w:bookmarkEnd w:id="70"/>
    </w:p>
    <w:p>
      <w:pPr>
        <w:spacing w:line="360" w:lineRule="auto"/>
        <w:ind w:firstLine="560" w:firstLineChars="200"/>
        <w:rPr>
          <w:rFonts w:hint="eastAsia" w:ascii="宋体" w:hAnsi="宋体" w:eastAsia="宋体" w:cs="宋体"/>
          <w:b w:val="0"/>
          <w:bCs w:val="0"/>
          <w:sz w:val="28"/>
          <w:szCs w:val="28"/>
          <w:lang w:bidi="ar"/>
        </w:rPr>
      </w:pPr>
      <w:bookmarkStart w:id="71" w:name="_Toc27762_WPSOffice_Level3"/>
      <w:bookmarkStart w:id="72" w:name="_Toc19816_WPSOffice_Level3"/>
      <w:bookmarkStart w:id="73" w:name="_Toc10901_WPSOffice_Level3"/>
      <w:r>
        <w:rPr>
          <w:rFonts w:hint="eastAsia" w:ascii="宋体" w:hAnsi="宋体" w:eastAsia="宋体" w:cs="宋体"/>
          <w:b w:val="0"/>
          <w:bCs w:val="0"/>
          <w:sz w:val="28"/>
          <w:szCs w:val="28"/>
          <w:lang w:bidi="ar"/>
        </w:rPr>
        <w:t>1.项目总体绩效目标</w:t>
      </w:r>
      <w:bookmarkEnd w:id="71"/>
      <w:bookmarkEnd w:id="72"/>
      <w:bookmarkEnd w:id="73"/>
    </w:p>
    <w:p>
      <w:pPr>
        <w:pStyle w:val="13"/>
        <w:spacing w:after="0" w:line="360" w:lineRule="auto"/>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严格执行国家及省市有关储备粮管理的行政法规、规章、国家标准和技术规范，以及省市粮食行政管理部门依照有关行政法规、规章、国家标准和技术规范制定的各项业务管理制度，保证储备粮数量真实、质量良好、储存安全、管理规范、节约成本和费用，保证运城市人民政府实施宏观调控的需要。做好储备粮的收储、保管、轮换工作，严格执行“一符、三专、四落实”的检查考核等规章制度，确保储备粮安全。</w:t>
      </w:r>
    </w:p>
    <w:p>
      <w:pPr>
        <w:spacing w:line="360" w:lineRule="auto"/>
        <w:ind w:firstLine="560" w:firstLineChars="200"/>
        <w:rPr>
          <w:rFonts w:hint="eastAsia" w:ascii="宋体" w:hAnsi="宋体" w:eastAsia="宋体" w:cs="宋体"/>
          <w:b w:val="0"/>
          <w:bCs w:val="0"/>
          <w:sz w:val="28"/>
          <w:szCs w:val="28"/>
          <w:lang w:bidi="ar"/>
        </w:rPr>
      </w:pPr>
      <w:r>
        <w:rPr>
          <w:rFonts w:hint="eastAsia" w:ascii="宋体" w:hAnsi="宋体" w:eastAsia="宋体" w:cs="宋体"/>
          <w:b w:val="0"/>
          <w:bCs w:val="0"/>
          <w:sz w:val="28"/>
          <w:szCs w:val="28"/>
          <w:lang w:bidi="ar"/>
        </w:rPr>
        <w:t>2.具体目标</w:t>
      </w:r>
    </w:p>
    <w:p>
      <w:pPr>
        <w:pStyle w:val="13"/>
        <w:spacing w:after="0" w:line="360" w:lineRule="auto"/>
        <w:ind w:firstLine="560" w:firstLineChars="200"/>
        <w:rPr>
          <w:rFonts w:hint="eastAsia" w:ascii="宋体" w:hAnsi="宋体" w:eastAsia="宋体" w:cs="宋体"/>
          <w:kern w:val="0"/>
          <w:sz w:val="28"/>
          <w:szCs w:val="28"/>
          <w:lang w:val="en-US" w:eastAsia="zh-CN" w:bidi="ar-SA"/>
        </w:rPr>
      </w:pPr>
      <w:bookmarkStart w:id="74" w:name="_Toc413"/>
      <w:bookmarkStart w:id="75" w:name="_Toc551"/>
      <w:bookmarkStart w:id="76" w:name="_Toc13185"/>
      <w:r>
        <w:rPr>
          <w:rFonts w:hint="eastAsia" w:ascii="宋体" w:hAnsi="宋体" w:eastAsia="宋体" w:cs="宋体"/>
          <w:kern w:val="0"/>
          <w:sz w:val="28"/>
          <w:szCs w:val="28"/>
          <w:lang w:val="en-US" w:eastAsia="zh-CN" w:bidi="ar-SA"/>
        </w:rPr>
        <w:t>（1）完成规定的市级储备粮、应急粮的储备数量，及时完成轮换计划规定的轮换数量。</w:t>
      </w:r>
    </w:p>
    <w:p>
      <w:pPr>
        <w:pStyle w:val="13"/>
        <w:spacing w:after="0" w:line="360" w:lineRule="auto"/>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（2）保证入库的储备粮达到收购、轮换计划规定的质量等级，并符合国家规定的质量标准。</w:t>
      </w:r>
    </w:p>
    <w:p>
      <w:pPr>
        <w:pStyle w:val="13"/>
        <w:spacing w:after="0" w:line="360" w:lineRule="auto"/>
        <w:ind w:firstLine="560" w:firstLineChars="200"/>
        <w:rPr>
          <w:rFonts w:hint="eastAsia" w:ascii="宋体" w:hAnsi="宋体" w:eastAsia="宋体" w:cs="宋体"/>
          <w:kern w:val="0"/>
          <w:sz w:val="28"/>
          <w:szCs w:val="28"/>
          <w:lang w:val="en-US" w:eastAsia="zh-CN" w:bidi="ar-SA"/>
        </w:rPr>
      </w:pPr>
      <w:r>
        <w:rPr>
          <w:rFonts w:hint="eastAsia" w:ascii="宋体" w:hAnsi="宋体" w:eastAsia="宋体" w:cs="宋体"/>
          <w:kern w:val="0"/>
          <w:sz w:val="28"/>
          <w:szCs w:val="28"/>
          <w:lang w:val="en-US" w:eastAsia="zh-CN" w:bidi="ar-SA"/>
        </w:rPr>
        <w:t>（3）市储备粮实专仓储存、专人保管、专账记载、保证市储备粮账账相符、账实相符、质量良好、储存安全。</w:t>
      </w:r>
    </w:p>
    <w:p>
      <w:pPr>
        <w:widowControl/>
        <w:spacing w:line="360" w:lineRule="auto"/>
        <w:ind w:firstLine="562" w:firstLineChars="200"/>
        <w:outlineLvl w:val="0"/>
        <w:rPr>
          <w:rFonts w:hint="eastAsia" w:ascii="宋体" w:hAnsi="宋体" w:eastAsia="宋体" w:cs="宋体"/>
          <w:b/>
          <w:bCs w:val="0"/>
          <w:sz w:val="28"/>
          <w:szCs w:val="28"/>
        </w:rPr>
      </w:pPr>
      <w:r>
        <w:rPr>
          <w:rFonts w:hint="eastAsia" w:ascii="宋体" w:hAnsi="宋体" w:eastAsia="宋体" w:cs="宋体"/>
          <w:b/>
          <w:bCs w:val="0"/>
          <w:sz w:val="28"/>
          <w:szCs w:val="28"/>
        </w:rPr>
        <w:t>二、</w:t>
      </w:r>
      <w:bookmarkEnd w:id="74"/>
      <w:bookmarkStart w:id="77" w:name="_Toc22837"/>
      <w:r>
        <w:rPr>
          <w:rFonts w:hint="eastAsia" w:ascii="宋体" w:hAnsi="宋体" w:eastAsia="宋体" w:cs="宋体"/>
          <w:b/>
          <w:bCs w:val="0"/>
          <w:sz w:val="28"/>
          <w:szCs w:val="28"/>
        </w:rPr>
        <w:t>绩效评价实施情况</w:t>
      </w:r>
      <w:bookmarkEnd w:id="75"/>
      <w:bookmarkEnd w:id="76"/>
    </w:p>
    <w:p>
      <w:pPr>
        <w:pStyle w:val="2"/>
        <w:spacing w:after="0" w:line="360" w:lineRule="auto"/>
        <w:ind w:firstLine="560" w:firstLineChars="200"/>
        <w:outlineLvl w:val="1"/>
        <w:rPr>
          <w:rFonts w:hint="eastAsia" w:ascii="宋体" w:hAnsi="宋体" w:eastAsia="宋体" w:cs="宋体"/>
          <w:b w:val="0"/>
          <w:bCs/>
          <w:sz w:val="28"/>
          <w:szCs w:val="28"/>
        </w:rPr>
      </w:pPr>
      <w:bookmarkStart w:id="78" w:name="_Toc26238"/>
      <w:bookmarkStart w:id="79" w:name="_Toc22477"/>
      <w:r>
        <w:rPr>
          <w:rFonts w:hint="eastAsia" w:ascii="宋体" w:hAnsi="宋体" w:eastAsia="宋体" w:cs="宋体"/>
          <w:b w:val="0"/>
          <w:bCs/>
          <w:sz w:val="28"/>
          <w:szCs w:val="28"/>
        </w:rPr>
        <w:t>（一）评价目的及依据</w:t>
      </w:r>
      <w:bookmarkEnd w:id="77"/>
      <w:bookmarkEnd w:id="78"/>
      <w:bookmarkEnd w:id="79"/>
    </w:p>
    <w:p>
      <w:pPr>
        <w:tabs>
          <w:tab w:val="left" w:pos="1182"/>
        </w:tabs>
        <w:spacing w:line="360" w:lineRule="auto"/>
        <w:ind w:firstLine="560" w:firstLineChars="200"/>
        <w:rPr>
          <w:rFonts w:hint="eastAsia" w:ascii="宋体" w:hAnsi="宋体" w:eastAsia="宋体" w:cs="宋体"/>
          <w:kern w:val="0"/>
          <w:sz w:val="28"/>
          <w:szCs w:val="28"/>
        </w:rPr>
      </w:pPr>
      <w:r>
        <w:rPr>
          <w:rFonts w:hint="eastAsia" w:ascii="宋体" w:hAnsi="宋体" w:eastAsia="宋体" w:cs="宋体"/>
          <w:b w:val="0"/>
          <w:bCs/>
          <w:kern w:val="0"/>
          <w:sz w:val="28"/>
          <w:szCs w:val="28"/>
        </w:rPr>
        <w:t>评价目的是围绕2021年度财政</w:t>
      </w:r>
      <w:r>
        <w:rPr>
          <w:rFonts w:hint="eastAsia" w:ascii="宋体" w:hAnsi="宋体" w:eastAsia="宋体" w:cs="宋体"/>
          <w:kern w:val="0"/>
          <w:sz w:val="28"/>
          <w:szCs w:val="28"/>
        </w:rPr>
        <w:t>中心工作，按照全面实施预算绩效管理要求，依据设定的绩效目标，遵循规范的评价程序，运用科学合理的绩效评价指标、评价标准和方法，对运城市</w:t>
      </w:r>
      <w:r>
        <w:rPr>
          <w:rFonts w:hint="eastAsia" w:ascii="宋体" w:hAnsi="宋体" w:eastAsia="宋体" w:cs="宋体"/>
          <w:sz w:val="28"/>
          <w:szCs w:val="28"/>
        </w:rPr>
        <w:t>2021年储备粮油保管费、轮换费</w:t>
      </w:r>
      <w:r>
        <w:rPr>
          <w:rFonts w:hint="eastAsia" w:ascii="宋体" w:hAnsi="宋体" w:eastAsia="宋体" w:cs="宋体"/>
          <w:kern w:val="0"/>
          <w:sz w:val="28"/>
          <w:szCs w:val="28"/>
        </w:rPr>
        <w:t>进行绩效评价，全面反映预算资金的经济性、效率性、效益性和公平性。通过财政预算绩效评价，及时发现问题，总结经验，提出改进意见和建议，为安排预算提供参考，强化部门（单位）的支出责任，提高预算管理水平和财政资金使用效益。</w:t>
      </w:r>
    </w:p>
    <w:p>
      <w:pPr>
        <w:tabs>
          <w:tab w:val="left" w:pos="1182"/>
        </w:tabs>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评价依据是评价所依据的法律、法规规章、政策文件，包括但不限于：</w:t>
      </w:r>
    </w:p>
    <w:p>
      <w:pPr>
        <w:tabs>
          <w:tab w:val="left" w:pos="1182"/>
        </w:tabs>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（1）《中华人民共和国预算法》；</w:t>
      </w:r>
    </w:p>
    <w:p>
      <w:pPr>
        <w:tabs>
          <w:tab w:val="left" w:pos="1182"/>
        </w:tabs>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（2）《中共中央国务院关于全面实施预算绩效管理的意见》（中发〔2018〕34号）；</w:t>
      </w:r>
    </w:p>
    <w:p>
      <w:pPr>
        <w:tabs>
          <w:tab w:val="left" w:pos="1182"/>
        </w:tabs>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（3）</w:t>
      </w:r>
      <w:r>
        <w:rPr>
          <w:rFonts w:hint="eastAsia" w:ascii="宋体" w:hAnsi="宋体" w:eastAsia="宋体" w:cs="宋体"/>
          <w:spacing w:val="-20"/>
          <w:kern w:val="0"/>
          <w:sz w:val="28"/>
          <w:szCs w:val="28"/>
        </w:rPr>
        <w:t>《</w:t>
      </w:r>
      <w:r>
        <w:rPr>
          <w:rFonts w:hint="eastAsia" w:ascii="宋体" w:hAnsi="宋体" w:eastAsia="宋体" w:cs="宋体"/>
          <w:kern w:val="0"/>
          <w:sz w:val="28"/>
          <w:szCs w:val="28"/>
        </w:rPr>
        <w:t>财政部关于贯彻落实&lt;中共中央国务院关于全面实施预算绩效管理的意见&gt;的通知》（财预〔2018〕167号）；</w:t>
      </w:r>
    </w:p>
    <w:p>
      <w:pPr>
        <w:tabs>
          <w:tab w:val="left" w:pos="1182"/>
        </w:tabs>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（4）财政部《项目支出绩效评价管理办法》（财预〔2020〕10号）；</w:t>
      </w:r>
    </w:p>
    <w:p>
      <w:pPr>
        <w:tabs>
          <w:tab w:val="left" w:pos="1182"/>
        </w:tabs>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（5）《中共山西省委山西省人民政府关于全面实施预算绩效管理的实施意见》（晋发〔2018〕39号）；</w:t>
      </w:r>
    </w:p>
    <w:p>
      <w:pPr>
        <w:tabs>
          <w:tab w:val="left" w:pos="1182"/>
        </w:tabs>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6</w:t>
      </w:r>
      <w:r>
        <w:rPr>
          <w:rFonts w:hint="eastAsia" w:ascii="宋体" w:hAnsi="宋体" w:eastAsia="宋体" w:cs="宋体"/>
          <w:kern w:val="0"/>
          <w:sz w:val="28"/>
          <w:szCs w:val="28"/>
        </w:rPr>
        <w:t>）《运城市财政局关于印发&lt;运城市财政局2021年预算绩效评价实施方案&gt;的通知》（运财监[2022]6号）；</w:t>
      </w:r>
    </w:p>
    <w:p>
      <w:pPr>
        <w:pStyle w:val="2"/>
        <w:spacing w:after="0" w:line="360" w:lineRule="auto"/>
        <w:ind w:firstLine="560" w:firstLineChars="200"/>
        <w:rPr>
          <w:rFonts w:hint="eastAsia" w:ascii="宋体" w:hAnsi="宋体" w:eastAsia="宋体" w:cs="宋体"/>
          <w:kern w:val="0"/>
          <w:sz w:val="28"/>
          <w:szCs w:val="28"/>
        </w:rPr>
      </w:pPr>
      <w:bookmarkStart w:id="80" w:name="_Toc5962"/>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7</w:t>
      </w:r>
      <w:r>
        <w:rPr>
          <w:rFonts w:hint="eastAsia" w:ascii="宋体" w:hAnsi="宋体" w:eastAsia="宋体" w:cs="宋体"/>
          <w:kern w:val="0"/>
          <w:sz w:val="28"/>
          <w:szCs w:val="28"/>
        </w:rPr>
        <w:t>）《运城市市级储备粮油管理实施办法》（修订）（运市发改[2021]19号）；</w:t>
      </w:r>
      <w:bookmarkEnd w:id="80"/>
    </w:p>
    <w:p>
      <w:pPr>
        <w:pStyle w:val="3"/>
        <w:ind w:firstLine="640"/>
        <w:jc w:val="both"/>
        <w:outlineLvl w:val="9"/>
        <w:rPr>
          <w:rFonts w:hint="eastAsia" w:ascii="宋体" w:hAnsi="宋体" w:eastAsia="宋体" w:cs="宋体"/>
          <w:kern w:val="0"/>
          <w:sz w:val="28"/>
          <w:szCs w:val="28"/>
        </w:rPr>
      </w:pPr>
      <w:bookmarkStart w:id="81" w:name="_Toc32546"/>
      <w:bookmarkStart w:id="82" w:name="_Toc25552"/>
      <w:bookmarkStart w:id="83" w:name="_Toc22223"/>
      <w:bookmarkStart w:id="84" w:name="_Toc12522"/>
      <w:bookmarkStart w:id="85" w:name="_Toc20505"/>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8</w:t>
      </w:r>
      <w:r>
        <w:rPr>
          <w:rFonts w:hint="eastAsia" w:ascii="宋体" w:hAnsi="宋体" w:eastAsia="宋体" w:cs="宋体"/>
          <w:kern w:val="0"/>
          <w:sz w:val="28"/>
          <w:szCs w:val="28"/>
        </w:rPr>
        <w:t>）</w:t>
      </w:r>
      <w:r>
        <w:rPr>
          <w:rFonts w:hint="eastAsia" w:ascii="宋体" w:hAnsi="宋体" w:eastAsia="宋体" w:cs="宋体"/>
          <w:spacing w:val="-20"/>
          <w:kern w:val="0"/>
          <w:sz w:val="28"/>
          <w:szCs w:val="28"/>
        </w:rPr>
        <w:t>其</w:t>
      </w:r>
      <w:r>
        <w:rPr>
          <w:rFonts w:hint="eastAsia" w:ascii="宋体" w:hAnsi="宋体" w:eastAsia="宋体" w:cs="宋体"/>
          <w:kern w:val="0"/>
          <w:sz w:val="28"/>
          <w:szCs w:val="28"/>
        </w:rPr>
        <w:t>他有关的法律、法规规章、政策文件。</w:t>
      </w:r>
      <w:bookmarkEnd w:id="81"/>
      <w:bookmarkEnd w:id="82"/>
      <w:bookmarkEnd w:id="83"/>
      <w:bookmarkEnd w:id="84"/>
      <w:bookmarkEnd w:id="85"/>
    </w:p>
    <w:p>
      <w:pPr>
        <w:pStyle w:val="3"/>
        <w:ind w:firstLine="643"/>
        <w:jc w:val="both"/>
        <w:rPr>
          <w:rFonts w:hint="eastAsia" w:ascii="宋体" w:hAnsi="宋体" w:eastAsia="宋体" w:cs="宋体"/>
          <w:b w:val="0"/>
          <w:bCs w:val="0"/>
          <w:sz w:val="28"/>
          <w:szCs w:val="28"/>
        </w:rPr>
      </w:pPr>
      <w:bookmarkStart w:id="86" w:name="_Toc21747"/>
      <w:bookmarkStart w:id="87" w:name="_Toc29016"/>
      <w:bookmarkStart w:id="88" w:name="_Toc23020"/>
      <w:r>
        <w:rPr>
          <w:rFonts w:hint="eastAsia" w:ascii="宋体" w:hAnsi="宋体" w:eastAsia="宋体" w:cs="宋体"/>
          <w:b w:val="0"/>
          <w:bCs w:val="0"/>
          <w:sz w:val="28"/>
          <w:szCs w:val="28"/>
        </w:rPr>
        <w:t>（二）评价对象和范围</w:t>
      </w:r>
      <w:bookmarkEnd w:id="86"/>
      <w:bookmarkEnd w:id="87"/>
      <w:bookmarkEnd w:id="88"/>
    </w:p>
    <w:p>
      <w:pPr>
        <w:spacing w:line="360" w:lineRule="auto"/>
        <w:ind w:firstLine="560" w:firstLineChars="200"/>
        <w:rPr>
          <w:rFonts w:hint="eastAsia" w:ascii="宋体" w:hAnsi="宋体" w:eastAsia="宋体" w:cs="宋体"/>
          <w:b w:val="0"/>
          <w:bCs w:val="0"/>
          <w:sz w:val="28"/>
          <w:szCs w:val="28"/>
        </w:rPr>
      </w:pPr>
      <w:r>
        <w:rPr>
          <w:rFonts w:hint="eastAsia" w:ascii="宋体" w:hAnsi="宋体" w:eastAsia="宋体" w:cs="宋体"/>
          <w:sz w:val="28"/>
          <w:szCs w:val="28"/>
        </w:rPr>
        <w:t>本次绩效评价对象是2021年储备粮油保管费、轮换费1,947.00万元,绩效评价范围为该专项资金支持的项目和资金使用情况及效果。</w:t>
      </w:r>
    </w:p>
    <w:p>
      <w:pPr>
        <w:pStyle w:val="2"/>
        <w:spacing w:after="0" w:line="360" w:lineRule="auto"/>
        <w:ind w:firstLine="560" w:firstLineChars="200"/>
        <w:outlineLvl w:val="1"/>
        <w:rPr>
          <w:rFonts w:hint="eastAsia" w:ascii="宋体" w:hAnsi="宋体" w:eastAsia="宋体" w:cs="宋体"/>
          <w:b w:val="0"/>
          <w:bCs w:val="0"/>
          <w:sz w:val="28"/>
          <w:szCs w:val="28"/>
        </w:rPr>
      </w:pPr>
      <w:bookmarkStart w:id="89" w:name="_Toc19744"/>
      <w:bookmarkStart w:id="90" w:name="_Toc32491"/>
      <w:bookmarkStart w:id="91" w:name="_Toc11211"/>
      <w:r>
        <w:rPr>
          <w:rFonts w:hint="eastAsia" w:ascii="宋体" w:hAnsi="宋体" w:eastAsia="宋体" w:cs="宋体"/>
          <w:b w:val="0"/>
          <w:bCs w:val="0"/>
          <w:sz w:val="28"/>
          <w:szCs w:val="28"/>
        </w:rPr>
        <w:t>（三）评价时段的确定</w:t>
      </w:r>
      <w:bookmarkEnd w:id="89"/>
      <w:bookmarkEnd w:id="90"/>
      <w:bookmarkEnd w:id="91"/>
    </w:p>
    <w:p>
      <w:pPr>
        <w:pStyle w:val="2"/>
        <w:spacing w:after="0" w:line="360" w:lineRule="auto"/>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t>本次绩效评价时段为2021年</w:t>
      </w:r>
      <w:r>
        <w:rPr>
          <w:rFonts w:hint="eastAsia" w:ascii="宋体" w:hAnsi="宋体" w:eastAsia="宋体" w:cs="宋体"/>
          <w:b w:val="0"/>
          <w:bCs w:val="0"/>
          <w:sz w:val="28"/>
          <w:szCs w:val="28"/>
          <w:lang w:val="en-US" w:eastAsia="zh-CN"/>
        </w:rPr>
        <w:t>1月至12月31日。</w:t>
      </w:r>
    </w:p>
    <w:p>
      <w:pPr>
        <w:pStyle w:val="2"/>
        <w:spacing w:after="0" w:line="360" w:lineRule="auto"/>
        <w:ind w:firstLine="560" w:firstLineChars="200"/>
        <w:outlineLvl w:val="1"/>
        <w:rPr>
          <w:rFonts w:hint="eastAsia" w:ascii="宋体" w:hAnsi="宋体" w:eastAsia="宋体" w:cs="宋体"/>
          <w:b w:val="0"/>
          <w:bCs w:val="0"/>
          <w:sz w:val="28"/>
          <w:szCs w:val="28"/>
        </w:rPr>
      </w:pPr>
      <w:bookmarkStart w:id="92" w:name="_Toc30634"/>
      <w:bookmarkStart w:id="93" w:name="_Toc21183"/>
      <w:bookmarkStart w:id="94" w:name="_Toc4878"/>
      <w:r>
        <w:rPr>
          <w:rFonts w:hint="eastAsia" w:ascii="宋体" w:hAnsi="宋体" w:eastAsia="宋体" w:cs="宋体"/>
          <w:b w:val="0"/>
          <w:bCs w:val="0"/>
          <w:sz w:val="28"/>
          <w:szCs w:val="28"/>
        </w:rPr>
        <w:t>（四）绩效评价原则</w:t>
      </w:r>
      <w:bookmarkEnd w:id="92"/>
      <w:bookmarkEnd w:id="93"/>
      <w:bookmarkEnd w:id="94"/>
    </w:p>
    <w:p>
      <w:pPr>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绩效评价应遵循以下原则：</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kern w:val="0"/>
          <w:sz w:val="28"/>
          <w:szCs w:val="28"/>
        </w:rPr>
        <w:t>1.科学规范原则。绩效评价应严格执行规定的程序，按照科学可行的要求，采用定量与定性相结合分析法规范进行。</w:t>
      </w:r>
    </w:p>
    <w:p>
      <w:pPr>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2.公正公开原则。绩效评价应符合真实、客观、公正的要求，依法公开并接受社会监督。</w:t>
      </w:r>
    </w:p>
    <w:p>
      <w:pPr>
        <w:spacing w:line="360" w:lineRule="auto"/>
        <w:ind w:firstLine="560" w:firstLineChars="200"/>
        <w:rPr>
          <w:rFonts w:hint="eastAsia" w:ascii="宋体" w:hAnsi="宋体" w:eastAsia="宋体" w:cs="宋体"/>
          <w:kern w:val="0"/>
          <w:sz w:val="28"/>
          <w:szCs w:val="28"/>
        </w:rPr>
      </w:pPr>
      <w:r>
        <w:rPr>
          <w:rFonts w:hint="eastAsia" w:ascii="宋体" w:hAnsi="宋体" w:eastAsia="宋体" w:cs="宋体"/>
          <w:kern w:val="0"/>
          <w:sz w:val="28"/>
          <w:szCs w:val="28"/>
        </w:rPr>
        <w:t>3.绩效相关原则。绩效评价应针对具体支出及其产出绩效进行，评价结果应清晰反映支出和产出绩效之间的对应关系。</w:t>
      </w:r>
    </w:p>
    <w:p>
      <w:pPr>
        <w:spacing w:line="360" w:lineRule="auto"/>
        <w:ind w:firstLine="560" w:firstLineChars="200"/>
        <w:outlineLvl w:val="1"/>
        <w:rPr>
          <w:rFonts w:hint="eastAsia" w:ascii="宋体" w:hAnsi="宋体" w:eastAsia="宋体" w:cs="宋体"/>
          <w:b w:val="0"/>
          <w:bCs/>
          <w:sz w:val="28"/>
          <w:szCs w:val="28"/>
        </w:rPr>
      </w:pPr>
      <w:bookmarkStart w:id="95" w:name="_Toc3972"/>
      <w:bookmarkStart w:id="96" w:name="_Toc22282"/>
      <w:bookmarkStart w:id="97" w:name="_Toc26016"/>
      <w:bookmarkStart w:id="98" w:name="_Toc315"/>
      <w:bookmarkStart w:id="99" w:name="_Toc28673"/>
      <w:bookmarkStart w:id="100" w:name="_Toc2784"/>
      <w:bookmarkStart w:id="101" w:name="_Toc25737"/>
      <w:bookmarkStart w:id="102" w:name="_Toc25533"/>
      <w:bookmarkStart w:id="103" w:name="_Toc453771164"/>
      <w:r>
        <w:rPr>
          <w:rFonts w:hint="eastAsia" w:ascii="宋体" w:hAnsi="宋体" w:eastAsia="宋体" w:cs="宋体"/>
          <w:b w:val="0"/>
          <w:bCs/>
          <w:sz w:val="28"/>
          <w:szCs w:val="28"/>
        </w:rPr>
        <w:t>（五）绩效评价方法</w:t>
      </w:r>
      <w:bookmarkEnd w:id="95"/>
      <w:bookmarkEnd w:id="96"/>
      <w:bookmarkEnd w:id="97"/>
      <w:bookmarkEnd w:id="98"/>
      <w:bookmarkEnd w:id="99"/>
      <w:bookmarkEnd w:id="100"/>
      <w:bookmarkEnd w:id="101"/>
      <w:bookmarkEnd w:id="102"/>
      <w:bookmarkEnd w:id="103"/>
    </w:p>
    <w:p>
      <w:pPr>
        <w:spacing w:line="360" w:lineRule="auto"/>
        <w:ind w:firstLine="560" w:firstLineChars="200"/>
        <w:rPr>
          <w:rFonts w:hint="eastAsia" w:ascii="宋体" w:hAnsi="宋体" w:eastAsia="宋体" w:cs="宋体"/>
          <w:sz w:val="28"/>
          <w:szCs w:val="28"/>
        </w:rPr>
      </w:pPr>
      <w:bookmarkStart w:id="104" w:name="_Toc22794"/>
      <w:bookmarkStart w:id="105" w:name="_Toc11794"/>
      <w:bookmarkStart w:id="106" w:name="_Toc453770543"/>
      <w:bookmarkStart w:id="107" w:name="_Toc453859051"/>
      <w:bookmarkStart w:id="108" w:name="_Toc453937776"/>
      <w:bookmarkStart w:id="109" w:name="_Toc953"/>
      <w:bookmarkStart w:id="110" w:name="_Toc23033"/>
      <w:bookmarkStart w:id="111" w:name="_Toc17859"/>
      <w:bookmarkStart w:id="112" w:name="_Toc453771165"/>
      <w:r>
        <w:rPr>
          <w:rFonts w:hint="eastAsia" w:ascii="宋体" w:hAnsi="宋体" w:eastAsia="宋体" w:cs="宋体"/>
          <w:sz w:val="28"/>
          <w:szCs w:val="28"/>
        </w:rPr>
        <w:t>本次绩效评价秉着简便有效的原则，根据评价对象的具体情况，将综合指数评价法、公众评判法结合使用，进行评价。</w:t>
      </w:r>
      <w:bookmarkEnd w:id="104"/>
      <w:bookmarkEnd w:id="105"/>
      <w:bookmarkEnd w:id="106"/>
      <w:bookmarkEnd w:id="107"/>
      <w:bookmarkEnd w:id="108"/>
      <w:bookmarkEnd w:id="109"/>
      <w:bookmarkEnd w:id="110"/>
      <w:bookmarkEnd w:id="111"/>
      <w:bookmarkEnd w:id="112"/>
    </w:p>
    <w:p>
      <w:pPr>
        <w:pStyle w:val="13"/>
        <w:spacing w:line="360" w:lineRule="auto"/>
        <w:ind w:firstLine="560" w:firstLineChars="200"/>
        <w:rPr>
          <w:rFonts w:hint="eastAsia" w:ascii="宋体" w:hAnsi="宋体" w:eastAsia="宋体" w:cs="宋体"/>
          <w:color w:val="auto"/>
          <w:sz w:val="28"/>
          <w:szCs w:val="28"/>
          <w:highlight w:val="none"/>
        </w:rPr>
      </w:pPr>
      <w:bookmarkStart w:id="113" w:name="_Toc32412"/>
      <w:bookmarkStart w:id="114" w:name="_Toc27410"/>
      <w:bookmarkStart w:id="115" w:name="_Toc26757"/>
      <w:bookmarkStart w:id="116" w:name="_Toc24642"/>
      <w:bookmarkStart w:id="117" w:name="_Toc7353"/>
      <w:bookmarkStart w:id="118" w:name="_Toc24408"/>
      <w:bookmarkStart w:id="119" w:name="_Toc20968"/>
      <w:bookmarkStart w:id="120" w:name="_Toc6558"/>
      <w:bookmarkStart w:id="121" w:name="_Toc16476"/>
      <w:bookmarkStart w:id="122" w:name="_Toc14130"/>
      <w:bookmarkStart w:id="123" w:name="_Toc19775"/>
      <w:bookmarkStart w:id="124" w:name="_Toc16214"/>
      <w:r>
        <w:rPr>
          <w:rFonts w:hint="eastAsia" w:ascii="宋体" w:hAnsi="宋体" w:eastAsia="宋体" w:cs="宋体"/>
          <w:sz w:val="28"/>
          <w:szCs w:val="28"/>
        </w:rPr>
        <w:t>1.</w:t>
      </w:r>
      <w:bookmarkEnd w:id="113"/>
      <w:bookmarkEnd w:id="114"/>
      <w:bookmarkEnd w:id="115"/>
      <w:bookmarkEnd w:id="116"/>
      <w:bookmarkEnd w:id="117"/>
      <w:r>
        <w:rPr>
          <w:rFonts w:hint="eastAsia" w:ascii="宋体" w:hAnsi="宋体" w:eastAsia="宋体" w:cs="宋体"/>
          <w:color w:val="auto"/>
          <w:sz w:val="28"/>
          <w:szCs w:val="28"/>
          <w:highlight w:val="none"/>
          <w:lang w:val="en-US" w:eastAsia="zh-CN"/>
        </w:rPr>
        <w:t>查验法</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通过实地查验、审阅相关资料对此次项目进行分析评价</w:t>
      </w:r>
      <w:r>
        <w:rPr>
          <w:rFonts w:hint="eastAsia" w:ascii="宋体" w:hAnsi="宋体" w:eastAsia="宋体" w:cs="宋体"/>
          <w:color w:val="auto"/>
          <w:sz w:val="28"/>
          <w:szCs w:val="28"/>
          <w:highlight w:val="none"/>
        </w:rPr>
        <w:t>。</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宋体" w:hAnsi="宋体" w:eastAsia="宋体" w:cs="宋体"/>
          <w:sz w:val="28"/>
          <w:szCs w:val="28"/>
        </w:rPr>
      </w:pPr>
      <w:bookmarkStart w:id="125" w:name="_Toc26826"/>
      <w:bookmarkStart w:id="126" w:name="_Toc620"/>
      <w:bookmarkStart w:id="127" w:name="_Toc6860"/>
      <w:bookmarkStart w:id="128" w:name="_Toc7313"/>
      <w:bookmarkStart w:id="129" w:name="_Toc2531"/>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比较法。比较法是指通过对比绩效目标与实施效果，综合分析绩效目标实现程度。</w:t>
      </w:r>
      <w:bookmarkEnd w:id="125"/>
      <w:bookmarkEnd w:id="126"/>
      <w:bookmarkEnd w:id="127"/>
      <w:bookmarkEnd w:id="128"/>
      <w:bookmarkEnd w:id="129"/>
    </w:p>
    <w:p>
      <w:pPr>
        <w:spacing w:line="360" w:lineRule="auto"/>
        <w:ind w:firstLine="560" w:firstLineChars="200"/>
        <w:rPr>
          <w:rFonts w:hint="eastAsia" w:ascii="宋体" w:hAnsi="宋体" w:eastAsia="宋体" w:cs="宋体"/>
          <w:sz w:val="28"/>
          <w:szCs w:val="28"/>
        </w:rPr>
      </w:pPr>
      <w:bookmarkStart w:id="130" w:name="_Toc1494"/>
      <w:bookmarkStart w:id="131" w:name="_Toc10702"/>
      <w:bookmarkStart w:id="132" w:name="_Toc6995"/>
      <w:bookmarkStart w:id="133" w:name="_Toc13614"/>
      <w:bookmarkStart w:id="134" w:name="_Toc4002"/>
      <w:r>
        <w:rPr>
          <w:rFonts w:hint="eastAsia" w:ascii="宋体" w:hAnsi="宋体" w:eastAsia="宋体" w:cs="宋体"/>
          <w:sz w:val="28"/>
          <w:szCs w:val="28"/>
          <w:lang w:val="en-US" w:eastAsia="zh-CN"/>
        </w:rPr>
        <w:t>3</w:t>
      </w:r>
      <w:r>
        <w:rPr>
          <w:rFonts w:hint="eastAsia" w:ascii="宋体" w:hAnsi="宋体" w:eastAsia="宋体" w:cs="宋体"/>
          <w:sz w:val="28"/>
          <w:szCs w:val="28"/>
        </w:rPr>
        <w:t>.公众评判法。公众评判法是指通过公众问卷及抽样调查等对财政资金效果进行评判，评价绩效目标实现程度。</w:t>
      </w:r>
      <w:bookmarkEnd w:id="130"/>
      <w:bookmarkEnd w:id="131"/>
      <w:bookmarkEnd w:id="132"/>
      <w:bookmarkEnd w:id="133"/>
      <w:bookmarkEnd w:id="134"/>
    </w:p>
    <w:p>
      <w:pPr>
        <w:spacing w:line="360" w:lineRule="auto"/>
        <w:ind w:firstLine="560" w:firstLineChars="200"/>
        <w:outlineLvl w:val="1"/>
        <w:rPr>
          <w:rFonts w:hint="eastAsia" w:ascii="宋体" w:hAnsi="宋体" w:eastAsia="宋体" w:cs="宋体"/>
          <w:b w:val="0"/>
          <w:bCs/>
          <w:sz w:val="28"/>
          <w:szCs w:val="28"/>
        </w:rPr>
      </w:pPr>
      <w:r>
        <w:rPr>
          <w:rFonts w:hint="eastAsia" w:ascii="宋体" w:hAnsi="宋体" w:eastAsia="宋体" w:cs="宋体"/>
          <w:b w:val="0"/>
          <w:bCs/>
          <w:sz w:val="28"/>
          <w:szCs w:val="28"/>
        </w:rPr>
        <w:t>（六）</w:t>
      </w:r>
      <w:bookmarkEnd w:id="118"/>
      <w:bookmarkEnd w:id="119"/>
      <w:bookmarkStart w:id="135" w:name="_Toc14921"/>
      <w:bookmarkStart w:id="136" w:name="_Toc22048"/>
      <w:r>
        <w:rPr>
          <w:rFonts w:hint="eastAsia" w:ascii="宋体" w:hAnsi="宋体" w:eastAsia="宋体" w:cs="宋体"/>
          <w:b w:val="0"/>
          <w:bCs/>
          <w:sz w:val="28"/>
          <w:szCs w:val="28"/>
        </w:rPr>
        <w:t>绩效评价过程</w:t>
      </w:r>
      <w:bookmarkEnd w:id="120"/>
      <w:bookmarkEnd w:id="121"/>
      <w:bookmarkEnd w:id="122"/>
      <w:bookmarkEnd w:id="123"/>
      <w:bookmarkEnd w:id="124"/>
      <w:bookmarkEnd w:id="135"/>
      <w:bookmarkEnd w:id="136"/>
    </w:p>
    <w:p>
      <w:pPr>
        <w:pStyle w:val="20"/>
        <w:spacing w:before="0" w:after="0" w:line="360" w:lineRule="auto"/>
        <w:ind w:firstLine="643"/>
        <w:rPr>
          <w:rFonts w:hint="eastAsia" w:ascii="宋体" w:hAnsi="宋体" w:eastAsia="宋体" w:cs="宋体"/>
          <w:b w:val="0"/>
          <w:bCs/>
          <w:sz w:val="28"/>
          <w:szCs w:val="28"/>
        </w:rPr>
      </w:pPr>
      <w:bookmarkStart w:id="137" w:name="_Toc7465"/>
      <w:r>
        <w:rPr>
          <w:rFonts w:hint="eastAsia" w:ascii="宋体" w:hAnsi="宋体" w:eastAsia="宋体" w:cs="宋体"/>
          <w:b w:val="0"/>
          <w:bCs/>
          <w:sz w:val="28"/>
          <w:szCs w:val="28"/>
        </w:rPr>
        <w:t>1.评价工作组及人员分工</w:t>
      </w:r>
      <w:bookmarkEnd w:id="137"/>
    </w:p>
    <w:p>
      <w:pPr>
        <w:widowControl/>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按照运城市财政局的委托要求，我公司高度重视，积极筹备，抽调精兵强将组成项目领导组负责组织和协调评价人员的业务培训、实施过程的协调和督导。领导组下设评价工作组，切实结合本项目的特点，设置1个评价小组，分别负责绩效评价方案的制定、现场勘查、资料收集整理、报告的撰写、审核和修改等。具体人员及分工见下表：</w:t>
      </w:r>
    </w:p>
    <w:p>
      <w:pPr>
        <w:widowControl/>
        <w:spacing w:line="360" w:lineRule="auto"/>
        <w:ind w:firstLine="560" w:firstLineChars="200"/>
        <w:jc w:val="center"/>
        <w:rPr>
          <w:rFonts w:hint="eastAsia" w:ascii="宋体" w:hAnsi="宋体" w:eastAsia="宋体" w:cs="宋体"/>
          <w:b w:val="0"/>
          <w:bCs w:val="0"/>
          <w:sz w:val="28"/>
          <w:szCs w:val="28"/>
        </w:rPr>
      </w:pPr>
      <w:bookmarkStart w:id="138" w:name="_Toc912"/>
      <w:r>
        <w:rPr>
          <w:rFonts w:hint="eastAsia" w:ascii="宋体" w:hAnsi="宋体" w:eastAsia="宋体" w:cs="宋体"/>
          <w:b w:val="0"/>
          <w:bCs w:val="0"/>
          <w:sz w:val="28"/>
          <w:szCs w:val="28"/>
        </w:rPr>
        <w:t>工作组人员分工表</w:t>
      </w:r>
      <w:bookmarkEnd w:id="138"/>
    </w:p>
    <w:tbl>
      <w:tblPr>
        <w:tblStyle w:val="14"/>
        <w:tblW w:w="8906" w:type="dxa"/>
        <w:jc w:val="center"/>
        <w:tblLayout w:type="fixed"/>
        <w:tblCellMar>
          <w:top w:w="0" w:type="dxa"/>
          <w:left w:w="108" w:type="dxa"/>
          <w:bottom w:w="0" w:type="dxa"/>
          <w:right w:w="108" w:type="dxa"/>
        </w:tblCellMar>
      </w:tblPr>
      <w:tblGrid>
        <w:gridCol w:w="1461"/>
        <w:gridCol w:w="1305"/>
        <w:gridCol w:w="2223"/>
        <w:gridCol w:w="3917"/>
      </w:tblGrid>
      <w:tr>
        <w:tblPrEx>
          <w:tblCellMar>
            <w:top w:w="0" w:type="dxa"/>
            <w:left w:w="108" w:type="dxa"/>
            <w:bottom w:w="0" w:type="dxa"/>
            <w:right w:w="108" w:type="dxa"/>
          </w:tblCellMar>
        </w:tblPrEx>
        <w:trPr>
          <w:trHeight w:val="454" w:hRule="exact"/>
          <w:jc w:val="center"/>
        </w:trPr>
        <w:tc>
          <w:tcPr>
            <w:tcW w:w="14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b w:val="0"/>
                <w:bCs w:val="0"/>
                <w:kern w:val="0"/>
                <w:sz w:val="24"/>
                <w:szCs w:val="24"/>
              </w:rPr>
            </w:pPr>
            <w:bookmarkStart w:id="139" w:name="_Toc31787"/>
            <w:bookmarkStart w:id="140" w:name="_Toc22445"/>
            <w:bookmarkStart w:id="141" w:name="_Toc10766"/>
            <w:r>
              <w:rPr>
                <w:rFonts w:hint="eastAsia" w:ascii="宋体" w:hAnsi="宋体" w:eastAsia="宋体" w:cs="宋体"/>
                <w:b w:val="0"/>
                <w:bCs w:val="0"/>
                <w:kern w:val="0"/>
                <w:sz w:val="24"/>
                <w:szCs w:val="24"/>
              </w:rPr>
              <w:t>职务</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姓名</w:t>
            </w:r>
          </w:p>
        </w:tc>
        <w:tc>
          <w:tcPr>
            <w:tcW w:w="222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资格</w:t>
            </w:r>
          </w:p>
        </w:tc>
        <w:tc>
          <w:tcPr>
            <w:tcW w:w="3917"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职责分工</w:t>
            </w:r>
          </w:p>
        </w:tc>
      </w:tr>
      <w:tr>
        <w:tblPrEx>
          <w:tblCellMar>
            <w:top w:w="0" w:type="dxa"/>
            <w:left w:w="108" w:type="dxa"/>
            <w:bottom w:w="0" w:type="dxa"/>
            <w:right w:w="108" w:type="dxa"/>
          </w:tblCellMar>
        </w:tblPrEx>
        <w:trPr>
          <w:trHeight w:val="624" w:hRule="exact"/>
          <w:jc w:val="center"/>
        </w:trPr>
        <w:tc>
          <w:tcPr>
            <w:tcW w:w="14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领导组</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陈月平</w:t>
            </w:r>
          </w:p>
        </w:tc>
        <w:tc>
          <w:tcPr>
            <w:tcW w:w="222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注册会计师</w:t>
            </w:r>
          </w:p>
        </w:tc>
        <w:tc>
          <w:tcPr>
            <w:tcW w:w="3917" w:type="dxa"/>
            <w:tcBorders>
              <w:top w:val="single" w:color="auto" w:sz="4" w:space="0"/>
              <w:left w:val="nil"/>
              <w:bottom w:val="single" w:color="auto" w:sz="4" w:space="0"/>
              <w:right w:val="single" w:color="auto" w:sz="4" w:space="0"/>
            </w:tcBorders>
            <w:vAlign w:val="center"/>
          </w:tcPr>
          <w:p>
            <w:pPr>
              <w:widowControl/>
              <w:spacing w:line="300" w:lineRule="exact"/>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负责绩效评价方案和报告审核工作</w:t>
            </w:r>
          </w:p>
        </w:tc>
      </w:tr>
      <w:tr>
        <w:tblPrEx>
          <w:tblCellMar>
            <w:top w:w="0" w:type="dxa"/>
            <w:left w:w="108" w:type="dxa"/>
            <w:bottom w:w="0" w:type="dxa"/>
            <w:right w:w="108" w:type="dxa"/>
          </w:tblCellMar>
        </w:tblPrEx>
        <w:trPr>
          <w:trHeight w:val="624" w:hRule="exact"/>
          <w:jc w:val="center"/>
        </w:trPr>
        <w:tc>
          <w:tcPr>
            <w:tcW w:w="14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主评人</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秦瑶</w:t>
            </w:r>
          </w:p>
        </w:tc>
        <w:tc>
          <w:tcPr>
            <w:tcW w:w="222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注册会计师</w:t>
            </w:r>
          </w:p>
        </w:tc>
        <w:tc>
          <w:tcPr>
            <w:tcW w:w="3917" w:type="dxa"/>
            <w:tcBorders>
              <w:top w:val="single" w:color="auto" w:sz="4" w:space="0"/>
              <w:left w:val="nil"/>
              <w:bottom w:val="single" w:color="auto" w:sz="4" w:space="0"/>
              <w:right w:val="single" w:color="auto" w:sz="4" w:space="0"/>
            </w:tcBorders>
            <w:vAlign w:val="center"/>
          </w:tcPr>
          <w:p>
            <w:pPr>
              <w:widowControl/>
              <w:spacing w:line="300" w:lineRule="exact"/>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负责</w:t>
            </w:r>
            <w:r>
              <w:rPr>
                <w:rFonts w:hint="eastAsia" w:ascii="宋体" w:hAnsi="宋体" w:eastAsia="宋体" w:cs="宋体"/>
                <w:kern w:val="0"/>
                <w:sz w:val="24"/>
                <w:szCs w:val="24"/>
                <w:lang w:eastAsia="zh-CN"/>
              </w:rPr>
              <w:t>整个评价工作的组织、协调、沟通、监督等工作</w:t>
            </w:r>
          </w:p>
        </w:tc>
      </w:tr>
      <w:tr>
        <w:tblPrEx>
          <w:tblCellMar>
            <w:top w:w="0" w:type="dxa"/>
            <w:left w:w="108" w:type="dxa"/>
            <w:bottom w:w="0" w:type="dxa"/>
            <w:right w:w="108" w:type="dxa"/>
          </w:tblCellMar>
        </w:tblPrEx>
        <w:trPr>
          <w:trHeight w:val="624" w:hRule="exact"/>
          <w:jc w:val="center"/>
        </w:trPr>
        <w:tc>
          <w:tcPr>
            <w:tcW w:w="1461"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成员</w:t>
            </w:r>
          </w:p>
        </w:tc>
        <w:tc>
          <w:tcPr>
            <w:tcW w:w="1305"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张成成</w:t>
            </w:r>
          </w:p>
        </w:tc>
        <w:tc>
          <w:tcPr>
            <w:tcW w:w="2223"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会计师</w:t>
            </w:r>
          </w:p>
        </w:tc>
        <w:tc>
          <w:tcPr>
            <w:tcW w:w="3917" w:type="dxa"/>
            <w:tcBorders>
              <w:top w:val="nil"/>
              <w:left w:val="nil"/>
              <w:bottom w:val="single" w:color="auto" w:sz="4" w:space="0"/>
              <w:right w:val="single" w:color="auto" w:sz="4" w:space="0"/>
            </w:tcBorders>
            <w:vAlign w:val="center"/>
          </w:tcPr>
          <w:p>
            <w:pPr>
              <w:widowControl/>
              <w:spacing w:line="300" w:lineRule="exact"/>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负责</w:t>
            </w:r>
            <w:r>
              <w:rPr>
                <w:rFonts w:hint="eastAsia" w:ascii="宋体" w:hAnsi="宋体" w:eastAsia="宋体" w:cs="宋体"/>
                <w:kern w:val="0"/>
                <w:sz w:val="24"/>
                <w:szCs w:val="24"/>
                <w:lang w:eastAsia="zh-CN"/>
              </w:rPr>
              <w:t>评价项目工作方案、评价报告的撰写</w:t>
            </w:r>
          </w:p>
        </w:tc>
      </w:tr>
      <w:tr>
        <w:tblPrEx>
          <w:tblCellMar>
            <w:top w:w="0" w:type="dxa"/>
            <w:left w:w="108" w:type="dxa"/>
            <w:bottom w:w="0" w:type="dxa"/>
            <w:right w:w="108" w:type="dxa"/>
          </w:tblCellMar>
        </w:tblPrEx>
        <w:trPr>
          <w:trHeight w:val="624" w:hRule="exact"/>
          <w:jc w:val="center"/>
        </w:trPr>
        <w:tc>
          <w:tcPr>
            <w:tcW w:w="14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成员</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李梦帆</w:t>
            </w:r>
          </w:p>
        </w:tc>
        <w:tc>
          <w:tcPr>
            <w:tcW w:w="222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会计师</w:t>
            </w:r>
          </w:p>
        </w:tc>
        <w:tc>
          <w:tcPr>
            <w:tcW w:w="3917" w:type="dxa"/>
            <w:tcBorders>
              <w:top w:val="single" w:color="auto" w:sz="4" w:space="0"/>
              <w:left w:val="nil"/>
              <w:bottom w:val="single" w:color="auto" w:sz="4" w:space="0"/>
              <w:right w:val="single" w:color="auto" w:sz="4" w:space="0"/>
            </w:tcBorders>
            <w:vAlign w:val="center"/>
          </w:tcPr>
          <w:p>
            <w:pPr>
              <w:widowControl/>
              <w:spacing w:line="30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负责查阅账务资料、现场勘查及相关资料收集</w:t>
            </w:r>
          </w:p>
        </w:tc>
      </w:tr>
      <w:tr>
        <w:tblPrEx>
          <w:tblCellMar>
            <w:top w:w="0" w:type="dxa"/>
            <w:left w:w="108" w:type="dxa"/>
            <w:bottom w:w="0" w:type="dxa"/>
            <w:right w:w="108" w:type="dxa"/>
          </w:tblCellMar>
        </w:tblPrEx>
        <w:trPr>
          <w:trHeight w:val="624" w:hRule="exact"/>
          <w:jc w:val="center"/>
        </w:trPr>
        <w:tc>
          <w:tcPr>
            <w:tcW w:w="14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成员</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张晶晶</w:t>
            </w:r>
          </w:p>
        </w:tc>
        <w:tc>
          <w:tcPr>
            <w:tcW w:w="222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初级会计师</w:t>
            </w:r>
          </w:p>
        </w:tc>
        <w:tc>
          <w:tcPr>
            <w:tcW w:w="3917" w:type="dxa"/>
            <w:tcBorders>
              <w:top w:val="single" w:color="auto" w:sz="4" w:space="0"/>
              <w:left w:val="nil"/>
              <w:bottom w:val="single" w:color="auto" w:sz="4" w:space="0"/>
              <w:right w:val="single" w:color="auto" w:sz="4" w:space="0"/>
            </w:tcBorders>
            <w:vAlign w:val="center"/>
          </w:tcPr>
          <w:p>
            <w:pPr>
              <w:widowControl/>
              <w:spacing w:line="30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负责查阅账务资料、现场勘查及相关资料收集</w:t>
            </w:r>
          </w:p>
        </w:tc>
      </w:tr>
      <w:tr>
        <w:tblPrEx>
          <w:tblCellMar>
            <w:top w:w="0" w:type="dxa"/>
            <w:left w:w="108" w:type="dxa"/>
            <w:bottom w:w="0" w:type="dxa"/>
            <w:right w:w="108" w:type="dxa"/>
          </w:tblCellMar>
        </w:tblPrEx>
        <w:trPr>
          <w:trHeight w:val="624" w:hRule="exact"/>
          <w:jc w:val="center"/>
        </w:trPr>
        <w:tc>
          <w:tcPr>
            <w:tcW w:w="14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质控组</w:t>
            </w:r>
          </w:p>
        </w:tc>
        <w:tc>
          <w:tcPr>
            <w:tcW w:w="130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b w:val="0"/>
                <w:bCs w:val="0"/>
                <w:kern w:val="0"/>
                <w:sz w:val="24"/>
                <w:szCs w:val="24"/>
                <w:lang w:val="en-US" w:eastAsia="zh-CN"/>
              </w:rPr>
              <w:t>李中华</w:t>
            </w:r>
          </w:p>
        </w:tc>
        <w:tc>
          <w:tcPr>
            <w:tcW w:w="222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注册会计师</w:t>
            </w:r>
          </w:p>
        </w:tc>
        <w:tc>
          <w:tcPr>
            <w:tcW w:w="3917" w:type="dxa"/>
            <w:tcBorders>
              <w:top w:val="single" w:color="auto" w:sz="4" w:space="0"/>
              <w:left w:val="nil"/>
              <w:bottom w:val="single" w:color="auto" w:sz="4" w:space="0"/>
              <w:right w:val="single" w:color="auto" w:sz="4" w:space="0"/>
            </w:tcBorders>
            <w:vAlign w:val="center"/>
          </w:tcPr>
          <w:p>
            <w:pPr>
              <w:widowControl/>
              <w:spacing w:line="300" w:lineRule="exact"/>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对报告进行质量复核</w:t>
            </w:r>
            <w:r>
              <w:rPr>
                <w:rFonts w:hint="eastAsia" w:ascii="宋体" w:hAnsi="宋体" w:eastAsia="宋体" w:cs="宋体"/>
                <w:kern w:val="0"/>
                <w:sz w:val="24"/>
                <w:szCs w:val="24"/>
                <w:lang w:eastAsia="zh-CN"/>
              </w:rPr>
              <w:t>，参与总报告修改，审核总报告</w:t>
            </w:r>
          </w:p>
        </w:tc>
      </w:tr>
    </w:tbl>
    <w:p>
      <w:pPr>
        <w:pStyle w:val="20"/>
        <w:spacing w:before="0" w:after="0" w:line="360" w:lineRule="auto"/>
        <w:ind w:firstLine="643"/>
        <w:rPr>
          <w:rFonts w:hint="eastAsia" w:ascii="宋体" w:hAnsi="宋体" w:eastAsia="宋体" w:cs="宋体"/>
          <w:b w:val="0"/>
          <w:bCs w:val="0"/>
          <w:sz w:val="28"/>
          <w:szCs w:val="28"/>
        </w:rPr>
      </w:pPr>
      <w:r>
        <w:rPr>
          <w:rFonts w:hint="eastAsia" w:ascii="宋体" w:hAnsi="宋体" w:eastAsia="宋体" w:cs="宋体"/>
          <w:b w:val="0"/>
          <w:bCs w:val="0"/>
          <w:sz w:val="28"/>
          <w:szCs w:val="28"/>
        </w:rPr>
        <w:t>2.评价工作安排</w:t>
      </w:r>
      <w:bookmarkEnd w:id="139"/>
      <w:bookmarkEnd w:id="140"/>
    </w:p>
    <w:p>
      <w:pPr>
        <w:spacing w:line="360" w:lineRule="auto"/>
        <w:ind w:firstLine="560" w:firstLineChars="200"/>
        <w:rPr>
          <w:rFonts w:hint="eastAsia" w:ascii="宋体" w:hAnsi="宋体" w:eastAsia="宋体" w:cs="宋体"/>
          <w:color w:val="000000"/>
          <w:kern w:val="0"/>
          <w:sz w:val="28"/>
          <w:szCs w:val="28"/>
        </w:rPr>
      </w:pPr>
      <w:bookmarkStart w:id="142" w:name="_Toc26525"/>
      <w:r>
        <w:rPr>
          <w:rFonts w:hint="eastAsia" w:ascii="宋体" w:hAnsi="宋体" w:eastAsia="宋体" w:cs="宋体"/>
          <w:color w:val="000000"/>
          <w:kern w:val="0"/>
          <w:sz w:val="28"/>
          <w:szCs w:val="28"/>
        </w:rPr>
        <w:t>评价工作将分为三个阶段：</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（1）第一阶段为准备阶段（2022年8月17日-8月28日）。主要进行以下内容：</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①成立领导组、评价组及质控组，领导组1人，评价组4人，质控组1人。</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②培训评价人员。</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sz w:val="28"/>
          <w:szCs w:val="28"/>
        </w:rPr>
        <w:t>③</w:t>
      </w:r>
      <w:r>
        <w:rPr>
          <w:rFonts w:hint="eastAsia" w:ascii="宋体" w:hAnsi="宋体" w:eastAsia="宋体" w:cs="宋体"/>
          <w:color w:val="000000"/>
          <w:kern w:val="0"/>
          <w:sz w:val="28"/>
          <w:szCs w:val="28"/>
        </w:rPr>
        <w:t>前往项目实施单位收集项目相关资料，进行分析整理，撰写项目实施方案。</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（2）第二阶段为实施阶段（2022年9月1日-9月15日）。主要进行以下内容：</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①现场勘查。根据项目承担单位提供的数据资料，评价工作组采取现场勘察、询查评价、问卷调查等方式进行实地勘察验证。</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②综合评价，评价工作组根据评价实施方案确定的评价指标、评价权重、评价标准和评价方法，进行全面的定量定性分析和综合评价，根据得分的不同情况将评价结果划分为四个等级：总分在90分以上（含90分）为优，80-90分（含80分）为良，60-79分（含60分）为中，60分以下为差。</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（3）第三阶段为撰写报告阶段（2022年9月16日-9月30日）：</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①撰写评价报告。根据被评价单位的绩效评价情况，按照规定的文本格式和要求撰写绩效评价报告；</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②提交报告。在征求相关部门、单位意见后，对报告进行完善修改；</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③报告修改。根据专家意见对评价报告修改和完善。</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④建立档案。评价工作结束后，妥善保管工作底稿和评价报告等有关资料，建立绩效评价工作档案。</w:t>
      </w:r>
    </w:p>
    <w:p>
      <w:pPr>
        <w:pStyle w:val="20"/>
        <w:spacing w:before="0" w:after="0" w:line="360" w:lineRule="auto"/>
        <w:ind w:firstLine="643"/>
        <w:rPr>
          <w:rFonts w:hint="eastAsia" w:ascii="宋体" w:hAnsi="宋体" w:eastAsia="宋体" w:cs="宋体"/>
          <w:b w:val="0"/>
          <w:bCs w:val="0"/>
          <w:sz w:val="28"/>
          <w:szCs w:val="28"/>
        </w:rPr>
      </w:pPr>
      <w:r>
        <w:rPr>
          <w:rFonts w:hint="eastAsia" w:ascii="宋体" w:hAnsi="宋体" w:eastAsia="宋体" w:cs="宋体"/>
          <w:b w:val="0"/>
          <w:bCs w:val="0"/>
          <w:sz w:val="28"/>
          <w:szCs w:val="28"/>
        </w:rPr>
        <w:t>3.内部控制制度</w:t>
      </w:r>
      <w:bookmarkEnd w:id="141"/>
      <w:bookmarkEnd w:id="142"/>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为保证绩效评价过程和结果的客观性、准确性，我所建立了健全的内部质量控制体系，具体包括：</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（1）建立培训制度</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为深入贯彻落实公司质量管理方针，保证一线评价人员能够充分理解和领悟行业及公司内部对质量的规定和措施，公司定期召开培训会，组织业务人员进行业务学习；学习内容包括公司制度中的有关规定以及当前财政部、市财政局、各县（区）财政局的相关文件。</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（2）建立项目管理流程</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为让项目组明确绩效评价过程中各个步骤的质量要求，公司制定了绩效评价操作规范及项目流程管理办法，明确规定绩效评价过程中各节点的质量目标和要求、所参考的规范文件、控制标准以及相关的质量记录等。</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（3）完善三级审核机制</w:t>
      </w:r>
    </w:p>
    <w:p>
      <w:pPr>
        <w:tabs>
          <w:tab w:val="left" w:pos="1124"/>
        </w:tabs>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我所对绩效评价报告书实行三级复核制度：一审主要是评价组组长对报告语言是否通顺、前后逻辑是否合理、数字是否准确、评价依据是否充分进行审核。二审主要是领导组对项目指标体系设计、指标评分、存在问题及建议等进行把关。三审主要是质控组对绩效评价工作的整体情况进行重点审核。绩效评价报告书经三级复核后加盖公章正式出具。</w:t>
      </w:r>
    </w:p>
    <w:p>
      <w:pPr>
        <w:spacing w:line="360" w:lineRule="auto"/>
        <w:ind w:firstLine="560" w:firstLineChars="200"/>
        <w:outlineLvl w:val="1"/>
        <w:rPr>
          <w:rFonts w:hint="eastAsia" w:ascii="宋体" w:hAnsi="宋体" w:eastAsia="宋体" w:cs="宋体"/>
          <w:b w:val="0"/>
          <w:bCs/>
          <w:sz w:val="28"/>
          <w:szCs w:val="28"/>
        </w:rPr>
      </w:pPr>
      <w:bookmarkStart w:id="143" w:name="_Toc3852"/>
      <w:bookmarkStart w:id="144" w:name="_Toc29197"/>
      <w:bookmarkStart w:id="145" w:name="_Toc9416"/>
      <w:bookmarkStart w:id="146" w:name="_Toc30869"/>
      <w:r>
        <w:rPr>
          <w:rFonts w:hint="eastAsia" w:ascii="宋体" w:hAnsi="宋体" w:eastAsia="宋体" w:cs="宋体"/>
          <w:b w:val="0"/>
          <w:bCs/>
          <w:sz w:val="28"/>
          <w:szCs w:val="28"/>
        </w:rPr>
        <w:t>（七）分值评级</w:t>
      </w:r>
      <w:bookmarkEnd w:id="143"/>
      <w:bookmarkEnd w:id="144"/>
      <w:bookmarkEnd w:id="145"/>
      <w:bookmarkEnd w:id="146"/>
    </w:p>
    <w:p>
      <w:pPr>
        <w:spacing w:line="360" w:lineRule="auto"/>
        <w:ind w:firstLine="560" w:firstLineChars="200"/>
        <w:rPr>
          <w:rFonts w:hint="eastAsia" w:ascii="宋体" w:hAnsi="宋体" w:eastAsia="宋体" w:cs="宋体"/>
          <w:sz w:val="28"/>
          <w:szCs w:val="28"/>
        </w:rPr>
      </w:pPr>
      <w:r>
        <w:rPr>
          <w:rFonts w:hint="eastAsia" w:ascii="宋体" w:hAnsi="宋体" w:eastAsia="宋体" w:cs="宋体"/>
          <w:color w:val="000000"/>
          <w:sz w:val="28"/>
          <w:szCs w:val="28"/>
        </w:rPr>
        <w:t>评价工作组按照报告中指标体系与评分标准，对各项指标数据进行分析判断、计算打分。根据评价得分的分值，确定相应的评价等级，根据得分的不同情况将评价结果划分为四个等级：</w:t>
      </w:r>
      <w:r>
        <w:rPr>
          <w:rFonts w:hint="eastAsia" w:ascii="宋体" w:hAnsi="宋体" w:eastAsia="宋体" w:cs="宋体"/>
          <w:color w:val="000000"/>
          <w:kern w:val="0"/>
          <w:sz w:val="28"/>
          <w:szCs w:val="28"/>
        </w:rPr>
        <w:t>综合评分</w:t>
      </w:r>
      <w:r>
        <w:rPr>
          <w:rFonts w:hint="eastAsia" w:ascii="宋体" w:hAnsi="宋体" w:eastAsia="宋体" w:cs="宋体"/>
          <w:sz w:val="28"/>
          <w:szCs w:val="28"/>
        </w:rPr>
        <w:t>90（含）-100分为优、80（含）-90分为良、60（含）-80分为中、60分以下为差。</w:t>
      </w:r>
    </w:p>
    <w:p>
      <w:pPr>
        <w:spacing w:line="360" w:lineRule="auto"/>
        <w:ind w:firstLine="562" w:firstLineChars="200"/>
        <w:outlineLvl w:val="0"/>
        <w:rPr>
          <w:rFonts w:hint="eastAsia" w:ascii="宋体" w:hAnsi="宋体" w:eastAsia="宋体" w:cs="宋体"/>
          <w:b w:val="0"/>
          <w:bCs/>
          <w:color w:val="000000"/>
          <w:sz w:val="28"/>
          <w:szCs w:val="28"/>
        </w:rPr>
      </w:pPr>
      <w:bookmarkStart w:id="147" w:name="_Toc12633"/>
      <w:bookmarkStart w:id="148" w:name="_Toc10285"/>
      <w:bookmarkStart w:id="149" w:name="_Toc448423006"/>
      <w:bookmarkStart w:id="150" w:name="_Toc31772"/>
      <w:bookmarkStart w:id="151" w:name="_Toc7783"/>
      <w:bookmarkStart w:id="152" w:name="_Toc8891"/>
      <w:r>
        <w:rPr>
          <w:rFonts w:hint="eastAsia" w:ascii="宋体" w:hAnsi="宋体" w:eastAsia="宋体" w:cs="宋体"/>
          <w:b/>
          <w:bCs w:val="0"/>
          <w:color w:val="000000"/>
          <w:sz w:val="28"/>
          <w:szCs w:val="28"/>
        </w:rPr>
        <w:t>三、绩效评价指标分析情况</w:t>
      </w:r>
      <w:bookmarkEnd w:id="147"/>
      <w:bookmarkEnd w:id="148"/>
    </w:p>
    <w:bookmarkEnd w:id="149"/>
    <w:bookmarkEnd w:id="150"/>
    <w:bookmarkEnd w:id="151"/>
    <w:bookmarkEnd w:id="152"/>
    <w:p>
      <w:pPr>
        <w:pStyle w:val="5"/>
        <w:spacing w:line="360" w:lineRule="auto"/>
        <w:ind w:firstLine="560" w:firstLineChars="200"/>
        <w:rPr>
          <w:rFonts w:hint="eastAsia" w:ascii="宋体" w:hAnsi="宋体" w:eastAsia="宋体" w:cs="宋体"/>
          <w:sz w:val="28"/>
          <w:szCs w:val="28"/>
        </w:rPr>
      </w:pPr>
      <w:bookmarkStart w:id="153" w:name="_Toc448423007"/>
      <w:bookmarkStart w:id="154" w:name="_Toc8780"/>
      <w:bookmarkStart w:id="155" w:name="_Toc26564"/>
      <w:bookmarkStart w:id="156" w:name="_Toc31812"/>
      <w:r>
        <w:rPr>
          <w:rFonts w:hint="eastAsia" w:ascii="宋体" w:hAnsi="宋体" w:eastAsia="宋体" w:cs="宋体"/>
          <w:bCs/>
          <w:color w:val="000000"/>
          <w:sz w:val="28"/>
          <w:szCs w:val="28"/>
        </w:rPr>
        <w:t>参照绩效评价的基本原理、原则和项目特点，评价组结合</w:t>
      </w:r>
      <w:r>
        <w:rPr>
          <w:rFonts w:hint="eastAsia" w:ascii="宋体" w:hAnsi="宋体" w:eastAsia="宋体" w:cs="宋体"/>
          <w:kern w:val="0"/>
          <w:sz w:val="28"/>
          <w:szCs w:val="28"/>
        </w:rPr>
        <w:t>《财政部关于贯彻落实&lt;中共中央国务院关于全面实施预算绩效管理的意见&gt;的通知》（财预〔2018〕167号）、《项目支出绩效评价管理办法》（财预〔2020〕10号）《关于全面推进我省预算绩效管理的指导意见》（晋政办法〔2013〕80号）、《山西省预算绩效评价管理办法》（晋财资〔2014〕36号）、《中共山西省委、山西省人民政府关于全面实施预算绩效管理的实施意见》（晋发〔2018〕39号）</w:t>
      </w:r>
      <w:r>
        <w:rPr>
          <w:rFonts w:hint="eastAsia" w:ascii="宋体" w:hAnsi="宋体" w:eastAsia="宋体" w:cs="宋体"/>
          <w:sz w:val="28"/>
          <w:szCs w:val="28"/>
        </w:rPr>
        <w:t>等相关文件要求，从决策（包括项目立项、绩效目标、资金投入）、过程（包括资金管理、组织实施）、产出和效益四个角度进行评价。</w:t>
      </w:r>
    </w:p>
    <w:p>
      <w:pPr>
        <w:spacing w:line="360" w:lineRule="auto"/>
        <w:ind w:firstLine="560" w:firstLineChars="200"/>
        <w:rPr>
          <w:rFonts w:hint="eastAsia" w:ascii="宋体" w:hAnsi="宋体" w:eastAsia="宋体" w:cs="宋体"/>
          <w:b/>
          <w:sz w:val="28"/>
          <w:szCs w:val="28"/>
        </w:rPr>
      </w:pPr>
      <w:r>
        <w:rPr>
          <w:rFonts w:hint="eastAsia" w:ascii="宋体" w:hAnsi="宋体" w:eastAsia="宋体" w:cs="宋体"/>
          <w:bCs/>
          <w:color w:val="000000"/>
          <w:sz w:val="28"/>
          <w:szCs w:val="28"/>
        </w:rPr>
        <w:t>根据</w:t>
      </w:r>
      <w:r>
        <w:rPr>
          <w:rFonts w:hint="eastAsia" w:ascii="宋体" w:hAnsi="宋体" w:eastAsia="宋体" w:cs="宋体"/>
          <w:kern w:val="0"/>
          <w:sz w:val="28"/>
          <w:szCs w:val="28"/>
        </w:rPr>
        <w:t>《运城市财政局关于印发&lt;运城市财政局2020年预绩效评价实施方案&gt;的通知》（晋财绩〔2020〕8号）</w:t>
      </w:r>
      <w:r>
        <w:rPr>
          <w:rFonts w:hint="eastAsia" w:ascii="宋体" w:hAnsi="宋体" w:eastAsia="宋体" w:cs="宋体"/>
          <w:bCs/>
          <w:color w:val="000000"/>
          <w:sz w:val="28"/>
          <w:szCs w:val="28"/>
        </w:rPr>
        <w:t>的文件精神，遵循相关性、重要性、可比性、系统性、经济性原则，形成了</w:t>
      </w:r>
      <w:r>
        <w:rPr>
          <w:rFonts w:hint="eastAsia" w:ascii="宋体" w:hAnsi="宋体" w:eastAsia="宋体" w:cs="宋体"/>
          <w:sz w:val="28"/>
          <w:szCs w:val="28"/>
        </w:rPr>
        <w:t>2021储备粮油保管费、轮换费项目</w:t>
      </w:r>
      <w:r>
        <w:rPr>
          <w:rFonts w:hint="eastAsia" w:ascii="宋体" w:hAnsi="宋体" w:eastAsia="宋体" w:cs="宋体"/>
          <w:bCs/>
          <w:color w:val="000000"/>
          <w:sz w:val="28"/>
          <w:szCs w:val="28"/>
        </w:rPr>
        <w:t>财政支出绩效评价指标体系。针对本项目绩效目标设置决策类</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rPr>
        <w:t>、过程类</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B</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rPr>
        <w:t>、产出类</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C</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rPr>
        <w:t>、效益类</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D</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rPr>
        <w:t>4个一级指标；在该评价指标一级指标框架的基础上，分出12个二级指标；结合项目的实际情况，在可操作性和可量化方面对评价指标进行了进一步细化和调整，最终形成25个三级指标。具体分析如下：</w:t>
      </w:r>
    </w:p>
    <w:bookmarkEnd w:id="153"/>
    <w:bookmarkEnd w:id="154"/>
    <w:bookmarkEnd w:id="155"/>
    <w:bookmarkEnd w:id="156"/>
    <w:p>
      <w:pPr>
        <w:spacing w:line="360" w:lineRule="auto"/>
        <w:ind w:firstLine="560" w:firstLineChars="200"/>
        <w:outlineLvl w:val="1"/>
        <w:rPr>
          <w:rFonts w:hint="eastAsia" w:ascii="宋体" w:hAnsi="宋体" w:eastAsia="宋体" w:cs="宋体"/>
          <w:b/>
          <w:sz w:val="28"/>
          <w:szCs w:val="28"/>
        </w:rPr>
      </w:pPr>
      <w:bookmarkStart w:id="157" w:name="_Toc13649"/>
      <w:bookmarkStart w:id="158" w:name="_Toc28029"/>
      <w:bookmarkStart w:id="159" w:name="_Toc32067"/>
      <w:r>
        <w:rPr>
          <w:rFonts w:hint="eastAsia" w:ascii="宋体" w:hAnsi="宋体" w:eastAsia="宋体" w:cs="宋体"/>
          <w:b w:val="0"/>
          <w:bCs/>
          <w:sz w:val="28"/>
          <w:szCs w:val="28"/>
        </w:rPr>
        <w:t>（一）项目决策情况分析</w:t>
      </w:r>
      <w:bookmarkEnd w:id="157"/>
      <w:bookmarkEnd w:id="158"/>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决策指标从项目立项</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A1</w:t>
      </w:r>
      <w:r>
        <w:rPr>
          <w:rFonts w:hint="eastAsia" w:ascii="宋体" w:hAnsi="宋体" w:eastAsia="宋体" w:cs="宋体"/>
          <w:bCs/>
          <w:color w:val="000000"/>
          <w:sz w:val="28"/>
          <w:szCs w:val="28"/>
          <w:lang w:eastAsia="zh-CN"/>
        </w:rPr>
        <w:t>）</w:t>
      </w:r>
      <w:r>
        <w:rPr>
          <w:rFonts w:hint="eastAsia" w:ascii="宋体" w:hAnsi="宋体" w:eastAsia="宋体" w:cs="宋体"/>
          <w:sz w:val="28"/>
          <w:szCs w:val="28"/>
        </w:rPr>
        <w:t>和绩效目标</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A2</w:t>
      </w:r>
      <w:r>
        <w:rPr>
          <w:rFonts w:hint="eastAsia" w:ascii="宋体" w:hAnsi="宋体" w:eastAsia="宋体" w:cs="宋体"/>
          <w:bCs/>
          <w:color w:val="000000"/>
          <w:sz w:val="28"/>
          <w:szCs w:val="28"/>
          <w:lang w:eastAsia="zh-CN"/>
        </w:rPr>
        <w:t>）</w:t>
      </w:r>
      <w:r>
        <w:rPr>
          <w:rFonts w:hint="eastAsia" w:ascii="宋体" w:hAnsi="宋体" w:eastAsia="宋体" w:cs="宋体"/>
          <w:sz w:val="28"/>
          <w:szCs w:val="28"/>
        </w:rPr>
        <w:t>两个方面进行考察。</w:t>
      </w:r>
    </w:p>
    <w:p>
      <w:pPr>
        <w:spacing w:line="360" w:lineRule="auto"/>
        <w:ind w:firstLine="560" w:firstLineChars="200"/>
        <w:rPr>
          <w:rFonts w:hint="eastAsia" w:ascii="宋体" w:hAnsi="宋体" w:eastAsia="宋体" w:cs="宋体"/>
          <w:b w:val="0"/>
          <w:bCs w:val="0"/>
          <w:sz w:val="28"/>
          <w:szCs w:val="28"/>
        </w:rPr>
      </w:pPr>
      <w:r>
        <w:rPr>
          <w:rFonts w:hint="eastAsia" w:ascii="宋体" w:hAnsi="宋体" w:eastAsia="宋体" w:cs="宋体"/>
          <w:b w:val="0"/>
          <w:bCs w:val="0"/>
          <w:sz w:val="28"/>
          <w:szCs w:val="28"/>
        </w:rPr>
        <w:t>1.项目立项指标分析</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A1</w:t>
      </w:r>
      <w:r>
        <w:rPr>
          <w:rFonts w:hint="eastAsia" w:ascii="宋体" w:hAnsi="宋体" w:eastAsia="宋体" w:cs="宋体"/>
          <w:bCs/>
          <w:color w:val="000000"/>
          <w:sz w:val="28"/>
          <w:szCs w:val="28"/>
          <w:lang w:eastAsia="zh-CN"/>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项目立项：分值共计</w:t>
      </w:r>
      <w:r>
        <w:rPr>
          <w:rFonts w:hint="eastAsia" w:ascii="宋体" w:hAnsi="宋体" w:eastAsia="宋体" w:cs="宋体"/>
          <w:sz w:val="28"/>
          <w:szCs w:val="28"/>
          <w:lang w:val="en-US" w:eastAsia="zh-CN"/>
        </w:rPr>
        <w:t>10</w:t>
      </w:r>
      <w:r>
        <w:rPr>
          <w:rFonts w:hint="eastAsia" w:ascii="宋体" w:hAnsi="宋体" w:eastAsia="宋体" w:cs="宋体"/>
          <w:sz w:val="28"/>
          <w:szCs w:val="28"/>
        </w:rPr>
        <w:t>分，本项目实际得分</w:t>
      </w:r>
      <w:r>
        <w:rPr>
          <w:rFonts w:hint="eastAsia" w:ascii="宋体" w:hAnsi="宋体" w:eastAsia="宋体" w:cs="宋体"/>
          <w:sz w:val="28"/>
          <w:szCs w:val="28"/>
          <w:lang w:val="en-US" w:eastAsia="zh-CN"/>
        </w:rPr>
        <w:t>10</w:t>
      </w:r>
      <w:r>
        <w:rPr>
          <w:rFonts w:hint="eastAsia" w:ascii="宋体" w:hAnsi="宋体" w:eastAsia="宋体" w:cs="宋体"/>
          <w:sz w:val="28"/>
          <w:szCs w:val="28"/>
        </w:rPr>
        <w:t>分。各项考评指标得分情况见下表</w:t>
      </w:r>
    </w:p>
    <w:p>
      <w:pPr>
        <w:spacing w:line="360" w:lineRule="auto"/>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决策类-项目立项指标得分情况</w:t>
      </w:r>
    </w:p>
    <w:tbl>
      <w:tblPr>
        <w:tblStyle w:val="14"/>
        <w:tblW w:w="4997" w:type="pct"/>
        <w:jc w:val="center"/>
        <w:tblLayout w:type="autofit"/>
        <w:tblCellMar>
          <w:top w:w="0" w:type="dxa"/>
          <w:left w:w="0" w:type="dxa"/>
          <w:bottom w:w="0" w:type="dxa"/>
          <w:right w:w="0" w:type="dxa"/>
        </w:tblCellMar>
      </w:tblPr>
      <w:tblGrid>
        <w:gridCol w:w="1908"/>
        <w:gridCol w:w="1908"/>
        <w:gridCol w:w="3283"/>
        <w:gridCol w:w="983"/>
        <w:gridCol w:w="983"/>
      </w:tblGrid>
      <w:tr>
        <w:tblPrEx>
          <w:tblCellMar>
            <w:top w:w="0" w:type="dxa"/>
            <w:left w:w="0" w:type="dxa"/>
            <w:bottom w:w="0" w:type="dxa"/>
            <w:right w:w="0" w:type="dxa"/>
          </w:tblCellMar>
        </w:tblPrEx>
        <w:trPr>
          <w:trHeight w:val="397" w:hRule="atLeast"/>
          <w:jc w:val="center"/>
        </w:trPr>
        <w:tc>
          <w:tcPr>
            <w:tcW w:w="105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一级指标</w:t>
            </w:r>
          </w:p>
        </w:tc>
        <w:tc>
          <w:tcPr>
            <w:tcW w:w="105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二级指标</w:t>
            </w:r>
          </w:p>
        </w:tc>
        <w:tc>
          <w:tcPr>
            <w:tcW w:w="1810"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三级指标</w:t>
            </w:r>
          </w:p>
        </w:tc>
        <w:tc>
          <w:tcPr>
            <w:tcW w:w="54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分值</w:t>
            </w:r>
          </w:p>
        </w:tc>
        <w:tc>
          <w:tcPr>
            <w:tcW w:w="54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得分</w:t>
            </w:r>
          </w:p>
        </w:tc>
      </w:tr>
      <w:tr>
        <w:tblPrEx>
          <w:tblCellMar>
            <w:top w:w="0" w:type="dxa"/>
            <w:left w:w="0" w:type="dxa"/>
            <w:bottom w:w="0" w:type="dxa"/>
            <w:right w:w="0" w:type="dxa"/>
          </w:tblCellMar>
        </w:tblPrEx>
        <w:trPr>
          <w:trHeight w:val="397" w:hRule="atLeast"/>
          <w:jc w:val="center"/>
        </w:trPr>
        <w:tc>
          <w:tcPr>
            <w:tcW w:w="105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决策类</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w:t>
            </w:r>
            <w:r>
              <w:rPr>
                <w:rFonts w:hint="eastAsia" w:ascii="宋体" w:hAnsi="宋体" w:eastAsia="宋体" w:cs="宋体"/>
                <w:bCs/>
                <w:color w:val="000000"/>
                <w:sz w:val="28"/>
                <w:szCs w:val="28"/>
                <w:lang w:eastAsia="zh-CN"/>
              </w:rPr>
              <w:t>）</w:t>
            </w:r>
          </w:p>
        </w:tc>
        <w:tc>
          <w:tcPr>
            <w:tcW w:w="105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项目立项</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A1</w:t>
            </w:r>
            <w:r>
              <w:rPr>
                <w:rFonts w:hint="eastAsia" w:ascii="宋体" w:hAnsi="宋体" w:eastAsia="宋体" w:cs="宋体"/>
                <w:bCs/>
                <w:color w:val="000000"/>
                <w:sz w:val="28"/>
                <w:szCs w:val="28"/>
                <w:lang w:eastAsia="zh-CN"/>
              </w:rPr>
              <w:t>）</w:t>
            </w:r>
          </w:p>
        </w:tc>
        <w:tc>
          <w:tcPr>
            <w:tcW w:w="18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立项依据充分性</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A101</w:t>
            </w:r>
            <w:r>
              <w:rPr>
                <w:rFonts w:hint="eastAsia" w:ascii="宋体" w:hAnsi="宋体" w:eastAsia="宋体" w:cs="宋体"/>
                <w:bCs/>
                <w:color w:val="000000"/>
                <w:sz w:val="28"/>
                <w:szCs w:val="28"/>
                <w:lang w:eastAsia="zh-CN"/>
              </w:rPr>
              <w:t>）</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4</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4</w:t>
            </w:r>
          </w:p>
        </w:tc>
      </w:tr>
      <w:tr>
        <w:tblPrEx>
          <w:tblCellMar>
            <w:top w:w="0" w:type="dxa"/>
            <w:left w:w="0" w:type="dxa"/>
            <w:bottom w:w="0" w:type="dxa"/>
            <w:right w:w="0" w:type="dxa"/>
          </w:tblCellMar>
        </w:tblPrEx>
        <w:trPr>
          <w:trHeight w:val="397" w:hRule="atLeast"/>
          <w:jc w:val="center"/>
        </w:trPr>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宋体" w:hAnsi="宋体" w:eastAsia="宋体" w:cs="宋体"/>
                <w:b w:val="0"/>
                <w:bCs w:val="0"/>
                <w:sz w:val="24"/>
                <w:szCs w:val="24"/>
              </w:rPr>
            </w:pPr>
          </w:p>
        </w:tc>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b w:val="0"/>
                <w:bCs w:val="0"/>
                <w:sz w:val="24"/>
                <w:szCs w:val="24"/>
              </w:rPr>
            </w:pPr>
          </w:p>
        </w:tc>
        <w:tc>
          <w:tcPr>
            <w:tcW w:w="18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sz w:val="24"/>
                <w:szCs w:val="24"/>
              </w:rPr>
              <w:t>立项程序规范性</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A102</w:t>
            </w:r>
            <w:r>
              <w:rPr>
                <w:rFonts w:hint="eastAsia" w:ascii="宋体" w:hAnsi="宋体" w:eastAsia="宋体" w:cs="宋体"/>
                <w:bCs/>
                <w:color w:val="000000"/>
                <w:sz w:val="28"/>
                <w:szCs w:val="28"/>
                <w:lang w:eastAsia="zh-CN"/>
              </w:rPr>
              <w:t>）</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6</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lang w:val="en-US" w:eastAsia="zh-CN"/>
              </w:rPr>
              <w:t>6</w:t>
            </w:r>
          </w:p>
        </w:tc>
      </w:tr>
    </w:tbl>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（1）立项依据充分性</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A101</w:t>
      </w:r>
      <w:r>
        <w:rPr>
          <w:rFonts w:hint="eastAsia" w:ascii="宋体" w:hAnsi="宋体" w:eastAsia="宋体" w:cs="宋体"/>
          <w:bCs/>
          <w:color w:val="000000"/>
          <w:sz w:val="28"/>
          <w:szCs w:val="28"/>
          <w:lang w:eastAsia="zh-CN"/>
        </w:rPr>
        <w:t>）</w:t>
      </w:r>
      <w:r>
        <w:rPr>
          <w:rFonts w:hint="eastAsia" w:ascii="宋体" w:hAnsi="宋体" w:eastAsia="宋体" w:cs="宋体"/>
          <w:bCs/>
          <w:sz w:val="28"/>
          <w:szCs w:val="28"/>
        </w:rPr>
        <w:t>：分值</w:t>
      </w:r>
      <w:r>
        <w:rPr>
          <w:rFonts w:hint="eastAsia" w:ascii="宋体" w:hAnsi="宋体" w:eastAsia="宋体" w:cs="宋体"/>
          <w:bCs/>
          <w:sz w:val="28"/>
          <w:szCs w:val="28"/>
          <w:lang w:val="en-US" w:eastAsia="zh-CN"/>
        </w:rPr>
        <w:t>4</w:t>
      </w:r>
      <w:r>
        <w:rPr>
          <w:rFonts w:hint="eastAsia" w:ascii="宋体" w:hAnsi="宋体" w:eastAsia="宋体" w:cs="宋体"/>
          <w:bCs/>
          <w:sz w:val="28"/>
          <w:szCs w:val="28"/>
        </w:rPr>
        <w:t>分，得分</w:t>
      </w:r>
      <w:r>
        <w:rPr>
          <w:rFonts w:hint="eastAsia" w:ascii="宋体" w:hAnsi="宋体" w:eastAsia="宋体" w:cs="宋体"/>
          <w:bCs/>
          <w:sz w:val="28"/>
          <w:szCs w:val="28"/>
          <w:lang w:val="en-US" w:eastAsia="zh-CN"/>
        </w:rPr>
        <w:t>4</w:t>
      </w:r>
      <w:r>
        <w:rPr>
          <w:rFonts w:hint="eastAsia" w:ascii="宋体" w:hAnsi="宋体" w:eastAsia="宋体" w:cs="宋体"/>
          <w:bCs/>
          <w:sz w:val="28"/>
          <w:szCs w:val="28"/>
        </w:rPr>
        <w:t>分。</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立项依据充分性，评价项目立项是否符合法律法规、相关政策、发展规划以及部门职责，用以反应和考核项目立项依据的情况。</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本项目依据《山西省储备粮管理暂行规定》、《关于调整省储备粮油费用补贴标准的通知》（晋财建二（2011）252号、《山西省财政厅关于调整省级储备粮油轮换补贴拨付办法的通知》（晋财建二（2015）74号）、《运城市储备粮油库存管理办法》（试行）、《运城市市级储备粮油轮换管理办法》（试行）设立，且于部门的职责相符，本指标得</w:t>
      </w:r>
      <w:r>
        <w:rPr>
          <w:rFonts w:hint="eastAsia" w:ascii="宋体" w:hAnsi="宋体" w:eastAsia="宋体" w:cs="宋体"/>
          <w:bCs/>
          <w:sz w:val="28"/>
          <w:szCs w:val="28"/>
          <w:lang w:val="en-US" w:eastAsia="zh-CN"/>
        </w:rPr>
        <w:t>4</w:t>
      </w:r>
      <w:r>
        <w:rPr>
          <w:rFonts w:hint="eastAsia" w:ascii="宋体" w:hAnsi="宋体" w:eastAsia="宋体" w:cs="宋体"/>
          <w:bCs/>
          <w:sz w:val="28"/>
          <w:szCs w:val="28"/>
        </w:rPr>
        <w:t>分。</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（2）立项程序规范性</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A102</w:t>
      </w:r>
      <w:r>
        <w:rPr>
          <w:rFonts w:hint="eastAsia" w:ascii="宋体" w:hAnsi="宋体" w:eastAsia="宋体" w:cs="宋体"/>
          <w:bCs/>
          <w:color w:val="000000"/>
          <w:sz w:val="28"/>
          <w:szCs w:val="28"/>
          <w:lang w:eastAsia="zh-CN"/>
        </w:rPr>
        <w:t>）</w:t>
      </w:r>
      <w:r>
        <w:rPr>
          <w:rFonts w:hint="eastAsia" w:ascii="宋体" w:hAnsi="宋体" w:eastAsia="宋体" w:cs="宋体"/>
          <w:bCs/>
          <w:sz w:val="28"/>
          <w:szCs w:val="28"/>
        </w:rPr>
        <w:t>：分值</w:t>
      </w:r>
      <w:r>
        <w:rPr>
          <w:rFonts w:hint="eastAsia" w:ascii="宋体" w:hAnsi="宋体" w:eastAsia="宋体" w:cs="宋体"/>
          <w:bCs/>
          <w:sz w:val="28"/>
          <w:szCs w:val="28"/>
          <w:lang w:val="en-US" w:eastAsia="zh-CN"/>
        </w:rPr>
        <w:t>6</w:t>
      </w:r>
      <w:r>
        <w:rPr>
          <w:rFonts w:hint="eastAsia" w:ascii="宋体" w:hAnsi="宋体" w:eastAsia="宋体" w:cs="宋体"/>
          <w:bCs/>
          <w:sz w:val="28"/>
          <w:szCs w:val="28"/>
        </w:rPr>
        <w:t>分，得分</w:t>
      </w:r>
      <w:r>
        <w:rPr>
          <w:rFonts w:hint="eastAsia" w:ascii="宋体" w:hAnsi="宋体" w:eastAsia="宋体" w:cs="宋体"/>
          <w:bCs/>
          <w:sz w:val="28"/>
          <w:szCs w:val="28"/>
          <w:lang w:val="en-US" w:eastAsia="zh-CN"/>
        </w:rPr>
        <w:t>6</w:t>
      </w:r>
      <w:r>
        <w:rPr>
          <w:rFonts w:hint="eastAsia" w:ascii="宋体" w:hAnsi="宋体" w:eastAsia="宋体" w:cs="宋体"/>
          <w:bCs/>
          <w:sz w:val="28"/>
          <w:szCs w:val="28"/>
        </w:rPr>
        <w:t>分。</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本项目由运城市发改委根据储备粮食数量和轮换数量，按照《运城市储备粮油库存管理办法》（试行）、《运城市市级储备粮油轮换管理办法》（试行）等申请项目，设立过程、审批手续都符合相关要求，本指标得分</w:t>
      </w:r>
      <w:r>
        <w:rPr>
          <w:rFonts w:hint="eastAsia" w:ascii="宋体" w:hAnsi="宋体" w:eastAsia="宋体" w:cs="宋体"/>
          <w:bCs/>
          <w:sz w:val="28"/>
          <w:szCs w:val="28"/>
          <w:lang w:val="en-US" w:eastAsia="zh-CN"/>
        </w:rPr>
        <w:t>6</w:t>
      </w:r>
      <w:r>
        <w:rPr>
          <w:rFonts w:hint="eastAsia" w:ascii="宋体" w:hAnsi="宋体" w:eastAsia="宋体" w:cs="宋体"/>
          <w:bCs/>
          <w:sz w:val="28"/>
          <w:szCs w:val="28"/>
        </w:rPr>
        <w:t>分。</w:t>
      </w:r>
    </w:p>
    <w:p>
      <w:pPr>
        <w:tabs>
          <w:tab w:val="left" w:pos="369"/>
        </w:tabs>
        <w:spacing w:line="360" w:lineRule="auto"/>
        <w:ind w:firstLine="560" w:firstLineChars="200"/>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2.绩效目标指标分析</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A2</w:t>
      </w:r>
      <w:r>
        <w:rPr>
          <w:rFonts w:hint="eastAsia" w:ascii="宋体" w:hAnsi="宋体" w:eastAsia="宋体" w:cs="宋体"/>
          <w:bCs/>
          <w:color w:val="000000"/>
          <w:sz w:val="28"/>
          <w:szCs w:val="28"/>
          <w:lang w:eastAsia="zh-CN"/>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b w:val="0"/>
          <w:bCs w:val="0"/>
          <w:color w:val="000000"/>
          <w:sz w:val="28"/>
          <w:szCs w:val="28"/>
        </w:rPr>
        <w:t>绩效目标</w:t>
      </w:r>
      <w:r>
        <w:rPr>
          <w:rFonts w:hint="eastAsia" w:ascii="宋体" w:hAnsi="宋体" w:eastAsia="宋体" w:cs="宋体"/>
          <w:b w:val="0"/>
          <w:bCs w:val="0"/>
          <w:sz w:val="28"/>
          <w:szCs w:val="28"/>
        </w:rPr>
        <w:t>：分</w:t>
      </w:r>
      <w:r>
        <w:rPr>
          <w:rFonts w:hint="eastAsia" w:ascii="宋体" w:hAnsi="宋体" w:eastAsia="宋体" w:cs="宋体"/>
          <w:sz w:val="28"/>
          <w:szCs w:val="28"/>
        </w:rPr>
        <w:t>值共计</w:t>
      </w:r>
      <w:r>
        <w:rPr>
          <w:rFonts w:hint="eastAsia" w:ascii="宋体" w:hAnsi="宋体" w:eastAsia="宋体" w:cs="宋体"/>
          <w:sz w:val="28"/>
          <w:szCs w:val="28"/>
          <w:lang w:val="en-US" w:eastAsia="zh-CN"/>
        </w:rPr>
        <w:t>10</w:t>
      </w:r>
      <w:r>
        <w:rPr>
          <w:rFonts w:hint="eastAsia" w:ascii="宋体" w:hAnsi="宋体" w:eastAsia="宋体" w:cs="宋体"/>
          <w:sz w:val="28"/>
          <w:szCs w:val="28"/>
        </w:rPr>
        <w:t>分，本项目实际得分为</w:t>
      </w:r>
      <w:r>
        <w:rPr>
          <w:rFonts w:hint="eastAsia" w:ascii="宋体" w:hAnsi="宋体" w:eastAsia="宋体" w:cs="宋体"/>
          <w:sz w:val="28"/>
          <w:szCs w:val="28"/>
          <w:lang w:val="en-US" w:eastAsia="zh-CN"/>
        </w:rPr>
        <w:t>8</w:t>
      </w:r>
      <w:r>
        <w:rPr>
          <w:rFonts w:hint="eastAsia" w:ascii="宋体" w:hAnsi="宋体" w:eastAsia="宋体" w:cs="宋体"/>
          <w:sz w:val="28"/>
          <w:szCs w:val="28"/>
        </w:rPr>
        <w:t>分，各项考评指标得分情况见下表：</w:t>
      </w:r>
    </w:p>
    <w:p>
      <w:pPr>
        <w:spacing w:line="360" w:lineRule="auto"/>
        <w:jc w:val="center"/>
        <w:rPr>
          <w:rFonts w:hint="eastAsia" w:ascii="宋体" w:hAnsi="宋体" w:eastAsia="宋体" w:cs="宋体"/>
          <w:b w:val="0"/>
          <w:bCs w:val="0"/>
          <w:sz w:val="28"/>
          <w:szCs w:val="28"/>
        </w:rPr>
      </w:pPr>
      <w:bookmarkStart w:id="160" w:name="_Toc2755"/>
      <w:r>
        <w:rPr>
          <w:rFonts w:hint="eastAsia" w:ascii="宋体" w:hAnsi="宋体" w:eastAsia="宋体" w:cs="宋体"/>
          <w:b w:val="0"/>
          <w:bCs w:val="0"/>
          <w:sz w:val="28"/>
          <w:szCs w:val="28"/>
        </w:rPr>
        <w:t>决策类-绩效目标指标得分情况</w:t>
      </w:r>
      <w:bookmarkEnd w:id="160"/>
    </w:p>
    <w:tbl>
      <w:tblPr>
        <w:tblStyle w:val="14"/>
        <w:tblW w:w="4998" w:type="pct"/>
        <w:jc w:val="center"/>
        <w:tblLayout w:type="autofit"/>
        <w:tblCellMar>
          <w:top w:w="0" w:type="dxa"/>
          <w:left w:w="0" w:type="dxa"/>
          <w:bottom w:w="0" w:type="dxa"/>
          <w:right w:w="0" w:type="dxa"/>
        </w:tblCellMar>
      </w:tblPr>
      <w:tblGrid>
        <w:gridCol w:w="1908"/>
        <w:gridCol w:w="1908"/>
        <w:gridCol w:w="3283"/>
        <w:gridCol w:w="983"/>
        <w:gridCol w:w="984"/>
      </w:tblGrid>
      <w:tr>
        <w:tblPrEx>
          <w:tblCellMar>
            <w:top w:w="0" w:type="dxa"/>
            <w:left w:w="0" w:type="dxa"/>
            <w:bottom w:w="0" w:type="dxa"/>
            <w:right w:w="0" w:type="dxa"/>
          </w:tblCellMar>
        </w:tblPrEx>
        <w:trPr>
          <w:trHeight w:val="397" w:hRule="atLeast"/>
          <w:jc w:val="center"/>
        </w:trPr>
        <w:tc>
          <w:tcPr>
            <w:tcW w:w="105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一级指标</w:t>
            </w:r>
          </w:p>
        </w:tc>
        <w:tc>
          <w:tcPr>
            <w:tcW w:w="105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二级指标</w:t>
            </w:r>
          </w:p>
        </w:tc>
        <w:tc>
          <w:tcPr>
            <w:tcW w:w="1810"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三级指标</w:t>
            </w:r>
          </w:p>
        </w:tc>
        <w:tc>
          <w:tcPr>
            <w:tcW w:w="54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分值</w:t>
            </w:r>
          </w:p>
        </w:tc>
        <w:tc>
          <w:tcPr>
            <w:tcW w:w="54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得分</w:t>
            </w:r>
          </w:p>
        </w:tc>
      </w:tr>
      <w:tr>
        <w:tblPrEx>
          <w:tblCellMar>
            <w:top w:w="0" w:type="dxa"/>
            <w:left w:w="0" w:type="dxa"/>
            <w:bottom w:w="0" w:type="dxa"/>
            <w:right w:w="0" w:type="dxa"/>
          </w:tblCellMar>
        </w:tblPrEx>
        <w:trPr>
          <w:trHeight w:val="397" w:hRule="atLeast"/>
          <w:jc w:val="center"/>
        </w:trPr>
        <w:tc>
          <w:tcPr>
            <w:tcW w:w="105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240" w:firstLineChars="100"/>
              <w:rPr>
                <w:rFonts w:hint="eastAsia" w:ascii="宋体" w:hAnsi="宋体" w:eastAsia="宋体" w:cs="宋体"/>
                <w:b w:val="0"/>
                <w:bCs/>
                <w:sz w:val="24"/>
                <w:szCs w:val="24"/>
              </w:rPr>
            </w:pPr>
            <w:r>
              <w:rPr>
                <w:rFonts w:hint="eastAsia" w:ascii="宋体" w:hAnsi="宋体" w:eastAsia="宋体" w:cs="宋体"/>
                <w:b w:val="0"/>
                <w:bCs/>
                <w:sz w:val="24"/>
                <w:szCs w:val="24"/>
              </w:rPr>
              <w:t>决策类</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w:t>
            </w:r>
            <w:r>
              <w:rPr>
                <w:rFonts w:hint="eastAsia" w:ascii="宋体" w:hAnsi="宋体" w:eastAsia="宋体" w:cs="宋体"/>
                <w:bCs/>
                <w:color w:val="000000"/>
                <w:sz w:val="28"/>
                <w:szCs w:val="28"/>
                <w:lang w:eastAsia="zh-CN"/>
              </w:rPr>
              <w:t>）</w:t>
            </w:r>
          </w:p>
        </w:tc>
        <w:tc>
          <w:tcPr>
            <w:tcW w:w="105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绩效目标</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A2</w:t>
            </w:r>
            <w:r>
              <w:rPr>
                <w:rFonts w:hint="eastAsia" w:ascii="宋体" w:hAnsi="宋体" w:eastAsia="宋体" w:cs="宋体"/>
                <w:bCs/>
                <w:color w:val="000000"/>
                <w:sz w:val="28"/>
                <w:szCs w:val="28"/>
                <w:lang w:eastAsia="zh-CN"/>
              </w:rPr>
              <w:t>）</w:t>
            </w:r>
          </w:p>
        </w:tc>
        <w:tc>
          <w:tcPr>
            <w:tcW w:w="18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绩效目标合理性</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A201</w:t>
            </w:r>
            <w:r>
              <w:rPr>
                <w:rFonts w:hint="eastAsia" w:ascii="宋体" w:hAnsi="宋体" w:eastAsia="宋体" w:cs="宋体"/>
                <w:bCs/>
                <w:color w:val="000000"/>
                <w:sz w:val="28"/>
                <w:szCs w:val="28"/>
                <w:lang w:eastAsia="zh-CN"/>
              </w:rPr>
              <w:t>）</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6</w:t>
            </w:r>
          </w:p>
        </w:tc>
      </w:tr>
      <w:tr>
        <w:tblPrEx>
          <w:tblCellMar>
            <w:top w:w="0" w:type="dxa"/>
            <w:left w:w="0" w:type="dxa"/>
            <w:bottom w:w="0" w:type="dxa"/>
            <w:right w:w="0" w:type="dxa"/>
          </w:tblCellMar>
        </w:tblPrEx>
        <w:trPr>
          <w:trHeight w:val="397" w:hRule="atLeast"/>
          <w:jc w:val="center"/>
        </w:trPr>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宋体" w:hAnsi="宋体" w:eastAsia="宋体" w:cs="宋体"/>
                <w:b w:val="0"/>
                <w:bCs/>
                <w:sz w:val="24"/>
                <w:szCs w:val="24"/>
              </w:rPr>
            </w:pPr>
          </w:p>
        </w:tc>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b w:val="0"/>
                <w:bCs/>
                <w:sz w:val="24"/>
                <w:szCs w:val="24"/>
              </w:rPr>
            </w:pPr>
          </w:p>
        </w:tc>
        <w:tc>
          <w:tcPr>
            <w:tcW w:w="18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绩效指标明确性</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A202</w:t>
            </w:r>
            <w:r>
              <w:rPr>
                <w:rFonts w:hint="eastAsia" w:ascii="宋体" w:hAnsi="宋体" w:eastAsia="宋体" w:cs="宋体"/>
                <w:bCs/>
                <w:color w:val="000000"/>
                <w:sz w:val="28"/>
                <w:szCs w:val="28"/>
                <w:lang w:eastAsia="zh-CN"/>
              </w:rPr>
              <w:t>）</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2</w:t>
            </w:r>
          </w:p>
        </w:tc>
      </w:tr>
    </w:tbl>
    <w:p>
      <w:pPr>
        <w:spacing w:line="360" w:lineRule="auto"/>
        <w:ind w:firstLine="560" w:firstLineChars="200"/>
        <w:rPr>
          <w:rFonts w:hint="eastAsia" w:ascii="宋体" w:hAnsi="宋体" w:eastAsia="宋体" w:cs="宋体"/>
          <w:sz w:val="28"/>
          <w:szCs w:val="28"/>
        </w:rPr>
      </w:pPr>
      <w:bookmarkStart w:id="161" w:name="_Toc12689"/>
      <w:r>
        <w:rPr>
          <w:rFonts w:hint="eastAsia" w:ascii="宋体" w:hAnsi="宋体" w:eastAsia="宋体" w:cs="宋体"/>
          <w:bCs/>
          <w:sz w:val="28"/>
          <w:szCs w:val="28"/>
        </w:rPr>
        <w:t>（1）</w:t>
      </w:r>
      <w:r>
        <w:rPr>
          <w:rFonts w:hint="eastAsia" w:ascii="宋体" w:hAnsi="宋体" w:eastAsia="宋体" w:cs="宋体"/>
          <w:sz w:val="28"/>
          <w:szCs w:val="28"/>
        </w:rPr>
        <w:t>绩效目标合理性</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A201</w:t>
      </w:r>
      <w:r>
        <w:rPr>
          <w:rFonts w:hint="eastAsia" w:ascii="宋体" w:hAnsi="宋体" w:eastAsia="宋体" w:cs="宋体"/>
          <w:bCs/>
          <w:color w:val="000000"/>
          <w:sz w:val="28"/>
          <w:szCs w:val="28"/>
          <w:lang w:eastAsia="zh-CN"/>
        </w:rPr>
        <w:t>）</w:t>
      </w:r>
      <w:r>
        <w:rPr>
          <w:rFonts w:hint="eastAsia" w:ascii="宋体" w:hAnsi="宋体" w:eastAsia="宋体" w:cs="宋体"/>
          <w:sz w:val="28"/>
          <w:szCs w:val="28"/>
        </w:rPr>
        <w:t>：分值</w:t>
      </w:r>
      <w:r>
        <w:rPr>
          <w:rFonts w:hint="eastAsia" w:ascii="宋体" w:hAnsi="宋体" w:eastAsia="宋体" w:cs="宋体"/>
          <w:sz w:val="28"/>
          <w:szCs w:val="28"/>
          <w:lang w:val="en-US" w:eastAsia="zh-CN"/>
        </w:rPr>
        <w:t>6</w:t>
      </w:r>
      <w:r>
        <w:rPr>
          <w:rFonts w:hint="eastAsia" w:ascii="宋体" w:hAnsi="宋体" w:eastAsia="宋体" w:cs="宋体"/>
          <w:sz w:val="28"/>
          <w:szCs w:val="28"/>
        </w:rPr>
        <w:t>分，得分</w:t>
      </w:r>
      <w:r>
        <w:rPr>
          <w:rFonts w:hint="eastAsia" w:ascii="宋体" w:hAnsi="宋体" w:eastAsia="宋体" w:cs="宋体"/>
          <w:sz w:val="28"/>
          <w:szCs w:val="28"/>
          <w:lang w:val="en-US" w:eastAsia="zh-CN"/>
        </w:rPr>
        <w:t>6</w:t>
      </w:r>
      <w:r>
        <w:rPr>
          <w:rFonts w:hint="eastAsia" w:ascii="宋体" w:hAnsi="宋体" w:eastAsia="宋体" w:cs="宋体"/>
          <w:sz w:val="28"/>
          <w:szCs w:val="28"/>
        </w:rPr>
        <w:t>分。</w:t>
      </w:r>
      <w:bookmarkEnd w:id="161"/>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绩效目标合理性指标，评价项目设定的预期产出效益和效果是否符合正常的业绩水平以及设置的绩效目标与实际工作内容具有相关性。</w:t>
      </w:r>
    </w:p>
    <w:p>
      <w:pPr>
        <w:pStyle w:val="13"/>
        <w:spacing w:after="0"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本项目依据本单位的职责，设立总目标、根据市政府的要求，设置年度储备及轮换数量的短期目标，符合客观实际情况。本指标得分</w:t>
      </w:r>
      <w:r>
        <w:rPr>
          <w:rFonts w:hint="eastAsia" w:ascii="宋体" w:hAnsi="宋体" w:eastAsia="宋体" w:cs="宋体"/>
          <w:bCs/>
          <w:sz w:val="28"/>
          <w:szCs w:val="28"/>
          <w:lang w:val="en-US" w:eastAsia="zh-CN"/>
        </w:rPr>
        <w:t>6</w:t>
      </w:r>
      <w:r>
        <w:rPr>
          <w:rFonts w:hint="eastAsia" w:ascii="宋体" w:hAnsi="宋体" w:eastAsia="宋体" w:cs="宋体"/>
          <w:bCs/>
          <w:sz w:val="28"/>
          <w:szCs w:val="28"/>
        </w:rPr>
        <w:t>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bCs/>
          <w:sz w:val="28"/>
          <w:szCs w:val="28"/>
        </w:rPr>
        <w:t>（2）</w:t>
      </w:r>
      <w:r>
        <w:rPr>
          <w:rFonts w:hint="eastAsia" w:ascii="宋体" w:hAnsi="宋体" w:eastAsia="宋体" w:cs="宋体"/>
          <w:sz w:val="28"/>
          <w:szCs w:val="28"/>
        </w:rPr>
        <w:t>绩效指标明确性</w:t>
      </w:r>
      <w:r>
        <w:rPr>
          <w:rFonts w:hint="eastAsia" w:ascii="宋体" w:hAnsi="宋体" w:eastAsia="宋体" w:cs="宋体"/>
          <w:bCs/>
          <w:color w:val="000000"/>
          <w:sz w:val="28"/>
          <w:szCs w:val="28"/>
          <w:lang w:eastAsia="zh-CN"/>
        </w:rPr>
        <w:t>（</w:t>
      </w:r>
      <w:r>
        <w:rPr>
          <w:rFonts w:hint="eastAsia" w:ascii="宋体" w:hAnsi="宋体" w:eastAsia="宋体" w:cs="宋体"/>
          <w:bCs/>
          <w:color w:val="000000"/>
          <w:sz w:val="28"/>
          <w:szCs w:val="28"/>
          <w:lang w:val="en-US" w:eastAsia="zh-CN"/>
        </w:rPr>
        <w:t>A202</w:t>
      </w:r>
      <w:r>
        <w:rPr>
          <w:rFonts w:hint="eastAsia" w:ascii="宋体" w:hAnsi="宋体" w:eastAsia="宋体" w:cs="宋体"/>
          <w:bCs/>
          <w:color w:val="000000"/>
          <w:sz w:val="28"/>
          <w:szCs w:val="28"/>
          <w:lang w:eastAsia="zh-CN"/>
        </w:rPr>
        <w:t>）</w:t>
      </w:r>
      <w:r>
        <w:rPr>
          <w:rFonts w:hint="eastAsia" w:ascii="宋体" w:hAnsi="宋体" w:eastAsia="宋体" w:cs="宋体"/>
          <w:sz w:val="28"/>
          <w:szCs w:val="28"/>
        </w:rPr>
        <w:t>：分值</w:t>
      </w:r>
      <w:r>
        <w:rPr>
          <w:rFonts w:hint="eastAsia" w:ascii="宋体" w:hAnsi="宋体" w:eastAsia="宋体" w:cs="宋体"/>
          <w:sz w:val="28"/>
          <w:szCs w:val="28"/>
          <w:lang w:val="en-US" w:eastAsia="zh-CN"/>
        </w:rPr>
        <w:t>4</w:t>
      </w:r>
      <w:r>
        <w:rPr>
          <w:rFonts w:hint="eastAsia" w:ascii="宋体" w:hAnsi="宋体" w:eastAsia="宋体" w:cs="宋体"/>
          <w:sz w:val="28"/>
          <w:szCs w:val="28"/>
        </w:rPr>
        <w:t>分，得分</w:t>
      </w:r>
      <w:r>
        <w:rPr>
          <w:rFonts w:hint="eastAsia" w:ascii="宋体" w:hAnsi="宋体" w:eastAsia="宋体" w:cs="宋体"/>
          <w:sz w:val="28"/>
          <w:szCs w:val="28"/>
          <w:lang w:val="en-US" w:eastAsia="zh-CN"/>
        </w:rPr>
        <w:t>2</w:t>
      </w:r>
      <w:r>
        <w:rPr>
          <w:rFonts w:hint="eastAsia" w:ascii="宋体" w:hAnsi="宋体" w:eastAsia="宋体" w:cs="宋体"/>
          <w:sz w:val="28"/>
          <w:szCs w:val="28"/>
        </w:rPr>
        <w:t>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绩效总体目标：实现宏观调控、平抑粮价、备战备荒、保障军需民食、维护正常的社会和生活秩序，防范粮油短缺风险，全市用粮需求稳定，增加农民收入，应对重大自然灾害或者其他突发公共事件等情况的粮油需求。数量真实、品质良好、储存安全、管理规范、确保政府随时调用。</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绩效具体指标：从产出和效益两个一级指标设计了八个二级指标，十六个三级指标。</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综上，可以将项目绩效目标细化分解为具体的绩效指标，但部分指标不够清晰没有量化，扣除</w:t>
      </w:r>
      <w:r>
        <w:rPr>
          <w:rFonts w:hint="eastAsia" w:ascii="宋体" w:hAnsi="宋体" w:eastAsia="宋体" w:cs="宋体"/>
          <w:sz w:val="28"/>
          <w:szCs w:val="28"/>
          <w:lang w:val="en-US" w:eastAsia="zh-CN"/>
        </w:rPr>
        <w:t>2</w:t>
      </w:r>
      <w:r>
        <w:rPr>
          <w:rFonts w:hint="eastAsia" w:ascii="宋体" w:hAnsi="宋体" w:eastAsia="宋体" w:cs="宋体"/>
          <w:sz w:val="28"/>
          <w:szCs w:val="28"/>
        </w:rPr>
        <w:t>分，本指标得分</w:t>
      </w:r>
      <w:r>
        <w:rPr>
          <w:rFonts w:hint="eastAsia" w:ascii="宋体" w:hAnsi="宋体" w:eastAsia="宋体" w:cs="宋体"/>
          <w:sz w:val="28"/>
          <w:szCs w:val="28"/>
          <w:lang w:val="en-US" w:eastAsia="zh-CN"/>
        </w:rPr>
        <w:t>2</w:t>
      </w:r>
      <w:r>
        <w:rPr>
          <w:rFonts w:hint="eastAsia" w:ascii="宋体" w:hAnsi="宋体" w:eastAsia="宋体" w:cs="宋体"/>
          <w:sz w:val="28"/>
          <w:szCs w:val="28"/>
        </w:rPr>
        <w:t>分</w:t>
      </w:r>
      <w:r>
        <w:rPr>
          <w:rFonts w:hint="eastAsia" w:ascii="宋体" w:hAnsi="宋体" w:eastAsia="宋体" w:cs="宋体"/>
          <w:bCs/>
          <w:kern w:val="0"/>
          <w:sz w:val="28"/>
          <w:szCs w:val="28"/>
        </w:rPr>
        <w:t>。</w:t>
      </w:r>
    </w:p>
    <w:p>
      <w:pPr>
        <w:spacing w:line="360" w:lineRule="auto"/>
        <w:ind w:firstLine="560" w:firstLineChars="200"/>
        <w:outlineLvl w:val="1"/>
        <w:rPr>
          <w:rFonts w:hint="eastAsia" w:ascii="宋体" w:hAnsi="宋体" w:eastAsia="宋体" w:cs="宋体"/>
          <w:b w:val="0"/>
          <w:bCs/>
          <w:sz w:val="28"/>
          <w:szCs w:val="28"/>
        </w:rPr>
      </w:pPr>
      <w:bookmarkStart w:id="162" w:name="_Toc9769"/>
      <w:bookmarkStart w:id="163" w:name="_Toc12031"/>
      <w:r>
        <w:rPr>
          <w:rFonts w:hint="eastAsia" w:ascii="宋体" w:hAnsi="宋体" w:eastAsia="宋体" w:cs="宋体"/>
          <w:b w:val="0"/>
          <w:bCs/>
          <w:sz w:val="28"/>
          <w:szCs w:val="28"/>
        </w:rPr>
        <w:t>（二）项目过程情况分析</w:t>
      </w:r>
      <w:bookmarkEnd w:id="162"/>
      <w:bookmarkEnd w:id="163"/>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过程类指标从资金管理</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B1</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、组织实施</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B2</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rPr>
        <w:t>两个方面进行考察、分析评价。</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1.资金管理指标分析</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B1</w:t>
      </w:r>
      <w:r>
        <w:rPr>
          <w:rFonts w:hint="eastAsia" w:ascii="宋体" w:hAnsi="宋体" w:eastAsia="宋体" w:cs="宋体"/>
          <w:b w:val="0"/>
          <w:bCs/>
          <w:sz w:val="28"/>
          <w:szCs w:val="28"/>
          <w:lang w:eastAsia="zh-CN"/>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b w:val="0"/>
          <w:bCs/>
          <w:sz w:val="28"/>
          <w:szCs w:val="28"/>
        </w:rPr>
        <w:t>资金管理：分值共</w:t>
      </w:r>
      <w:r>
        <w:rPr>
          <w:rFonts w:hint="eastAsia" w:ascii="宋体" w:hAnsi="宋体" w:eastAsia="宋体" w:cs="宋体"/>
          <w:sz w:val="28"/>
          <w:szCs w:val="28"/>
        </w:rPr>
        <w:t>计</w:t>
      </w:r>
      <w:r>
        <w:rPr>
          <w:rFonts w:hint="eastAsia" w:ascii="宋体" w:hAnsi="宋体" w:eastAsia="宋体" w:cs="宋体"/>
          <w:sz w:val="28"/>
          <w:szCs w:val="28"/>
          <w:lang w:val="en-US" w:eastAsia="zh-CN"/>
        </w:rPr>
        <w:t>10</w:t>
      </w:r>
      <w:r>
        <w:rPr>
          <w:rFonts w:hint="eastAsia" w:ascii="宋体" w:hAnsi="宋体" w:eastAsia="宋体" w:cs="宋体"/>
          <w:sz w:val="28"/>
          <w:szCs w:val="28"/>
        </w:rPr>
        <w:t>分，本项目实际得分为</w:t>
      </w:r>
      <w:r>
        <w:rPr>
          <w:rFonts w:hint="eastAsia" w:ascii="宋体" w:hAnsi="宋体" w:eastAsia="宋体" w:cs="宋体"/>
          <w:sz w:val="28"/>
          <w:szCs w:val="28"/>
          <w:lang w:val="en-US" w:eastAsia="zh-CN"/>
        </w:rPr>
        <w:t>10</w:t>
      </w:r>
      <w:r>
        <w:rPr>
          <w:rFonts w:hint="eastAsia" w:ascii="宋体" w:hAnsi="宋体" w:eastAsia="宋体" w:cs="宋体"/>
          <w:sz w:val="28"/>
          <w:szCs w:val="28"/>
        </w:rPr>
        <w:t>分，各项考评指标得分情况见下表：</w:t>
      </w:r>
    </w:p>
    <w:p>
      <w:pPr>
        <w:spacing w:line="360" w:lineRule="auto"/>
        <w:jc w:val="center"/>
        <w:rPr>
          <w:rFonts w:hint="eastAsia" w:ascii="宋体" w:hAnsi="宋体" w:eastAsia="宋体" w:cs="宋体"/>
          <w:b w:val="0"/>
          <w:bCs w:val="0"/>
          <w:sz w:val="28"/>
          <w:szCs w:val="28"/>
        </w:rPr>
      </w:pPr>
      <w:bookmarkStart w:id="164" w:name="_Toc12811"/>
      <w:r>
        <w:rPr>
          <w:rFonts w:hint="eastAsia" w:ascii="宋体" w:hAnsi="宋体" w:eastAsia="宋体" w:cs="宋体"/>
          <w:b w:val="0"/>
          <w:bCs w:val="0"/>
          <w:sz w:val="28"/>
          <w:szCs w:val="28"/>
        </w:rPr>
        <w:t>过程类-资金管理指标得分情况</w:t>
      </w:r>
      <w:bookmarkEnd w:id="164"/>
    </w:p>
    <w:tbl>
      <w:tblPr>
        <w:tblStyle w:val="14"/>
        <w:tblW w:w="4998" w:type="pct"/>
        <w:jc w:val="center"/>
        <w:tblLayout w:type="autofit"/>
        <w:tblCellMar>
          <w:top w:w="0" w:type="dxa"/>
          <w:left w:w="0" w:type="dxa"/>
          <w:bottom w:w="0" w:type="dxa"/>
          <w:right w:w="0" w:type="dxa"/>
        </w:tblCellMar>
      </w:tblPr>
      <w:tblGrid>
        <w:gridCol w:w="1908"/>
        <w:gridCol w:w="1908"/>
        <w:gridCol w:w="3283"/>
        <w:gridCol w:w="983"/>
        <w:gridCol w:w="984"/>
      </w:tblGrid>
      <w:tr>
        <w:tblPrEx>
          <w:tblCellMar>
            <w:top w:w="0" w:type="dxa"/>
            <w:left w:w="0" w:type="dxa"/>
            <w:bottom w:w="0" w:type="dxa"/>
            <w:right w:w="0" w:type="dxa"/>
          </w:tblCellMar>
        </w:tblPrEx>
        <w:trPr>
          <w:trHeight w:val="397" w:hRule="atLeast"/>
          <w:jc w:val="center"/>
        </w:trPr>
        <w:tc>
          <w:tcPr>
            <w:tcW w:w="105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一级指标</w:t>
            </w:r>
          </w:p>
        </w:tc>
        <w:tc>
          <w:tcPr>
            <w:tcW w:w="105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二级指标</w:t>
            </w:r>
          </w:p>
        </w:tc>
        <w:tc>
          <w:tcPr>
            <w:tcW w:w="1810"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三级指标</w:t>
            </w:r>
          </w:p>
        </w:tc>
        <w:tc>
          <w:tcPr>
            <w:tcW w:w="54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分值</w:t>
            </w:r>
          </w:p>
        </w:tc>
        <w:tc>
          <w:tcPr>
            <w:tcW w:w="54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得分</w:t>
            </w:r>
          </w:p>
        </w:tc>
      </w:tr>
      <w:tr>
        <w:tblPrEx>
          <w:tblCellMar>
            <w:top w:w="0" w:type="dxa"/>
            <w:left w:w="0" w:type="dxa"/>
            <w:bottom w:w="0" w:type="dxa"/>
            <w:right w:w="0" w:type="dxa"/>
          </w:tblCellMar>
        </w:tblPrEx>
        <w:trPr>
          <w:trHeight w:val="397" w:hRule="atLeast"/>
          <w:jc w:val="center"/>
        </w:trPr>
        <w:tc>
          <w:tcPr>
            <w:tcW w:w="105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lang w:eastAsia="zh-CN"/>
              </w:rPr>
            </w:pPr>
            <w:r>
              <w:rPr>
                <w:rFonts w:hint="eastAsia" w:ascii="宋体" w:hAnsi="宋体" w:eastAsia="宋体" w:cs="宋体"/>
                <w:b w:val="0"/>
                <w:bCs w:val="0"/>
                <w:kern w:val="0"/>
                <w:sz w:val="24"/>
                <w:szCs w:val="24"/>
              </w:rPr>
              <w:t>过程类</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B</w:t>
            </w:r>
            <w:r>
              <w:rPr>
                <w:rFonts w:hint="eastAsia" w:ascii="宋体" w:hAnsi="宋体" w:eastAsia="宋体" w:cs="宋体"/>
                <w:b w:val="0"/>
                <w:bCs w:val="0"/>
                <w:kern w:val="0"/>
                <w:sz w:val="24"/>
                <w:szCs w:val="24"/>
                <w:lang w:eastAsia="zh-CN"/>
              </w:rPr>
              <w:t>）</w:t>
            </w:r>
          </w:p>
        </w:tc>
        <w:tc>
          <w:tcPr>
            <w:tcW w:w="105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资金管理</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B1</w:t>
            </w:r>
            <w:r>
              <w:rPr>
                <w:rFonts w:hint="eastAsia" w:ascii="宋体" w:hAnsi="宋体" w:eastAsia="宋体" w:cs="宋体"/>
                <w:b w:val="0"/>
                <w:bCs w:val="0"/>
                <w:kern w:val="0"/>
                <w:sz w:val="24"/>
                <w:szCs w:val="24"/>
                <w:lang w:eastAsia="zh-CN"/>
              </w:rPr>
              <w:t>）</w:t>
            </w:r>
          </w:p>
        </w:tc>
        <w:tc>
          <w:tcPr>
            <w:tcW w:w="18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资金到位率</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B101</w:t>
            </w:r>
            <w:r>
              <w:rPr>
                <w:rFonts w:hint="eastAsia" w:ascii="宋体" w:hAnsi="宋体" w:eastAsia="宋体" w:cs="宋体"/>
                <w:b w:val="0"/>
                <w:bCs w:val="0"/>
                <w:kern w:val="0"/>
                <w:sz w:val="24"/>
                <w:szCs w:val="24"/>
                <w:lang w:eastAsia="zh-CN"/>
              </w:rPr>
              <w:t>）</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3</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3</w:t>
            </w:r>
          </w:p>
        </w:tc>
      </w:tr>
      <w:tr>
        <w:tblPrEx>
          <w:tblCellMar>
            <w:top w:w="0" w:type="dxa"/>
            <w:left w:w="0" w:type="dxa"/>
            <w:bottom w:w="0" w:type="dxa"/>
            <w:right w:w="0" w:type="dxa"/>
          </w:tblCellMar>
        </w:tblPrEx>
        <w:trPr>
          <w:trHeight w:val="397" w:hRule="atLeast"/>
          <w:jc w:val="center"/>
        </w:trPr>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宋体" w:hAnsi="宋体" w:eastAsia="宋体" w:cs="宋体"/>
                <w:b w:val="0"/>
                <w:bCs w:val="0"/>
                <w:sz w:val="24"/>
                <w:szCs w:val="24"/>
              </w:rPr>
            </w:pPr>
          </w:p>
        </w:tc>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b w:val="0"/>
                <w:bCs w:val="0"/>
                <w:sz w:val="24"/>
                <w:szCs w:val="24"/>
              </w:rPr>
            </w:pPr>
          </w:p>
        </w:tc>
        <w:tc>
          <w:tcPr>
            <w:tcW w:w="18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rPr>
              <w:t>财政预算执行率</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B102</w:t>
            </w:r>
            <w:r>
              <w:rPr>
                <w:rFonts w:hint="eastAsia" w:ascii="宋体" w:hAnsi="宋体" w:eastAsia="宋体" w:cs="宋体"/>
                <w:b w:val="0"/>
                <w:bCs w:val="0"/>
                <w:kern w:val="0"/>
                <w:sz w:val="24"/>
                <w:szCs w:val="24"/>
                <w:lang w:eastAsia="zh-CN"/>
              </w:rPr>
              <w:t>）</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3</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3</w:t>
            </w:r>
          </w:p>
        </w:tc>
      </w:tr>
      <w:tr>
        <w:tblPrEx>
          <w:tblCellMar>
            <w:top w:w="0" w:type="dxa"/>
            <w:left w:w="0" w:type="dxa"/>
            <w:bottom w:w="0" w:type="dxa"/>
            <w:right w:w="0" w:type="dxa"/>
          </w:tblCellMar>
        </w:tblPrEx>
        <w:trPr>
          <w:trHeight w:val="397" w:hRule="atLeast"/>
          <w:jc w:val="center"/>
        </w:trPr>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宋体" w:hAnsi="宋体" w:eastAsia="宋体" w:cs="宋体"/>
                <w:b w:val="0"/>
                <w:bCs w:val="0"/>
                <w:sz w:val="24"/>
                <w:szCs w:val="24"/>
              </w:rPr>
            </w:pPr>
          </w:p>
        </w:tc>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b w:val="0"/>
                <w:bCs w:val="0"/>
                <w:sz w:val="24"/>
                <w:szCs w:val="24"/>
              </w:rPr>
            </w:pPr>
          </w:p>
        </w:tc>
        <w:tc>
          <w:tcPr>
            <w:tcW w:w="18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sz w:val="24"/>
                <w:szCs w:val="24"/>
              </w:rPr>
              <w:t>资金使用合规性</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B103</w:t>
            </w:r>
            <w:r>
              <w:rPr>
                <w:rFonts w:hint="eastAsia" w:ascii="宋体" w:hAnsi="宋体" w:eastAsia="宋体" w:cs="宋体"/>
                <w:b w:val="0"/>
                <w:bCs w:val="0"/>
                <w:kern w:val="0"/>
                <w:sz w:val="24"/>
                <w:szCs w:val="24"/>
                <w:lang w:eastAsia="zh-CN"/>
              </w:rPr>
              <w:t>）</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w:t>
            </w:r>
          </w:p>
        </w:tc>
        <w:tc>
          <w:tcPr>
            <w:tcW w:w="9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4</w:t>
            </w:r>
          </w:p>
        </w:tc>
      </w:tr>
    </w:tbl>
    <w:p>
      <w:pPr>
        <w:spacing w:line="360" w:lineRule="auto"/>
        <w:ind w:firstLine="560" w:firstLineChars="200"/>
        <w:rPr>
          <w:rFonts w:hint="eastAsia" w:ascii="宋体" w:hAnsi="宋体" w:eastAsia="宋体" w:cs="宋体"/>
          <w:sz w:val="28"/>
          <w:szCs w:val="28"/>
        </w:rPr>
      </w:pPr>
      <w:bookmarkStart w:id="165" w:name="_Toc9042"/>
      <w:r>
        <w:rPr>
          <w:rFonts w:hint="eastAsia" w:ascii="宋体" w:hAnsi="宋体" w:eastAsia="宋体" w:cs="宋体"/>
          <w:sz w:val="28"/>
          <w:szCs w:val="28"/>
        </w:rPr>
        <w:t>（1）资金到位率</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B101</w:t>
      </w:r>
      <w:r>
        <w:rPr>
          <w:rFonts w:hint="eastAsia" w:ascii="宋体" w:hAnsi="宋体" w:eastAsia="宋体" w:cs="宋体"/>
          <w:b w:val="0"/>
          <w:bCs w:val="0"/>
          <w:kern w:val="0"/>
          <w:sz w:val="24"/>
          <w:szCs w:val="24"/>
          <w:lang w:eastAsia="zh-CN"/>
        </w:rPr>
        <w:t>）</w:t>
      </w:r>
      <w:r>
        <w:rPr>
          <w:rFonts w:hint="eastAsia" w:ascii="宋体" w:hAnsi="宋体" w:eastAsia="宋体" w:cs="宋体"/>
          <w:sz w:val="28"/>
          <w:szCs w:val="28"/>
        </w:rPr>
        <w:t>：分值</w:t>
      </w:r>
      <w:r>
        <w:rPr>
          <w:rFonts w:hint="eastAsia" w:ascii="宋体" w:hAnsi="宋体" w:eastAsia="宋体" w:cs="宋体"/>
          <w:sz w:val="28"/>
          <w:szCs w:val="28"/>
          <w:lang w:val="en-US" w:eastAsia="zh-CN"/>
        </w:rPr>
        <w:t>3</w:t>
      </w:r>
      <w:r>
        <w:rPr>
          <w:rFonts w:hint="eastAsia" w:ascii="宋体" w:hAnsi="宋体" w:eastAsia="宋体" w:cs="宋体"/>
          <w:sz w:val="28"/>
          <w:szCs w:val="28"/>
        </w:rPr>
        <w:t>分，得分</w:t>
      </w:r>
      <w:r>
        <w:rPr>
          <w:rFonts w:hint="eastAsia" w:ascii="宋体" w:hAnsi="宋体" w:eastAsia="宋体" w:cs="宋体"/>
          <w:sz w:val="28"/>
          <w:szCs w:val="28"/>
          <w:lang w:val="en-US" w:eastAsia="zh-CN"/>
        </w:rPr>
        <w:t>3</w:t>
      </w:r>
      <w:r>
        <w:rPr>
          <w:rFonts w:hint="eastAsia" w:ascii="宋体" w:hAnsi="宋体" w:eastAsia="宋体" w:cs="宋体"/>
          <w:sz w:val="28"/>
          <w:szCs w:val="28"/>
        </w:rPr>
        <w:t>分。</w:t>
      </w:r>
      <w:bookmarkEnd w:id="165"/>
    </w:p>
    <w:p>
      <w:pPr>
        <w:spacing w:line="360" w:lineRule="auto"/>
        <w:ind w:firstLine="560" w:firstLineChars="200"/>
        <w:rPr>
          <w:rFonts w:hint="eastAsia" w:ascii="宋体" w:hAnsi="宋体" w:eastAsia="宋体" w:cs="宋体"/>
          <w:bCs/>
          <w:color w:val="000000"/>
          <w:sz w:val="28"/>
          <w:szCs w:val="28"/>
        </w:rPr>
      </w:pPr>
      <w:r>
        <w:rPr>
          <w:rFonts w:hint="eastAsia" w:ascii="宋体" w:hAnsi="宋体" w:eastAsia="宋体" w:cs="宋体"/>
          <w:bCs/>
          <w:color w:val="000000"/>
          <w:sz w:val="28"/>
          <w:szCs w:val="28"/>
        </w:rPr>
        <w:t>资金到位率指标，评价资金下达到部门的资金比例。资金全部到位得满分，未全部到位按照到位资金比例得分。</w:t>
      </w:r>
    </w:p>
    <w:p>
      <w:pPr>
        <w:pStyle w:val="2"/>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2021年度运城市财政局预算市储备粮油保管费补贴1</w:t>
      </w:r>
      <w:r>
        <w:rPr>
          <w:rFonts w:hint="eastAsia" w:ascii="宋体" w:hAnsi="宋体" w:eastAsia="宋体" w:cs="宋体"/>
          <w:sz w:val="28"/>
          <w:szCs w:val="28"/>
          <w:lang w:val="en-US" w:eastAsia="zh-CN"/>
        </w:rPr>
        <w:t>,</w:t>
      </w:r>
      <w:r>
        <w:rPr>
          <w:rFonts w:hint="eastAsia" w:ascii="宋体" w:hAnsi="宋体" w:eastAsia="宋体" w:cs="宋体"/>
          <w:sz w:val="28"/>
          <w:szCs w:val="28"/>
        </w:rPr>
        <w:t>120.00万元，轮换费用补贴289.00万元；省级储备粮油保管费150</w:t>
      </w:r>
      <w:r>
        <w:rPr>
          <w:rFonts w:hint="eastAsia" w:ascii="宋体" w:hAnsi="宋体" w:eastAsia="宋体" w:cs="宋体"/>
          <w:sz w:val="28"/>
          <w:szCs w:val="28"/>
          <w:lang w:val="en-US" w:eastAsia="zh-CN"/>
        </w:rPr>
        <w:t>.00</w:t>
      </w:r>
      <w:r>
        <w:rPr>
          <w:rFonts w:hint="eastAsia" w:ascii="宋体" w:hAnsi="宋体" w:eastAsia="宋体" w:cs="宋体"/>
          <w:sz w:val="28"/>
          <w:szCs w:val="28"/>
        </w:rPr>
        <w:t>万元，轮换费用补贴37.5</w:t>
      </w:r>
      <w:r>
        <w:rPr>
          <w:rFonts w:hint="eastAsia" w:ascii="宋体" w:hAnsi="宋体" w:eastAsia="宋体" w:cs="宋体"/>
          <w:sz w:val="28"/>
          <w:szCs w:val="28"/>
          <w:lang w:val="en-US" w:eastAsia="zh-CN"/>
        </w:rPr>
        <w:t>0</w:t>
      </w:r>
      <w:r>
        <w:rPr>
          <w:rFonts w:hint="eastAsia" w:ascii="宋体" w:hAnsi="宋体" w:eastAsia="宋体" w:cs="宋体"/>
          <w:sz w:val="28"/>
          <w:szCs w:val="28"/>
        </w:rPr>
        <w:t>元；应急储备粮油保管费用补贴101.50万元，应急储备粮油轮换费用补贴249.00万元，总计资金1,947.00万元全部到位。根据评分标准，本指标得分</w:t>
      </w:r>
      <w:r>
        <w:rPr>
          <w:rFonts w:hint="eastAsia" w:ascii="宋体" w:hAnsi="宋体" w:eastAsia="宋体" w:cs="宋体"/>
          <w:sz w:val="28"/>
          <w:szCs w:val="28"/>
          <w:lang w:val="en-US" w:eastAsia="zh-CN"/>
        </w:rPr>
        <w:t>3</w:t>
      </w:r>
      <w:r>
        <w:rPr>
          <w:rFonts w:hint="eastAsia" w:ascii="宋体" w:hAnsi="宋体" w:eastAsia="宋体" w:cs="宋体"/>
          <w:sz w:val="28"/>
          <w:szCs w:val="28"/>
        </w:rPr>
        <w:t>分。</w:t>
      </w:r>
    </w:p>
    <w:p>
      <w:pPr>
        <w:spacing w:line="360" w:lineRule="auto"/>
        <w:ind w:firstLine="560" w:firstLineChars="200"/>
        <w:rPr>
          <w:rFonts w:hint="eastAsia" w:ascii="宋体" w:hAnsi="宋体" w:eastAsia="宋体" w:cs="宋体"/>
          <w:sz w:val="28"/>
          <w:szCs w:val="28"/>
        </w:rPr>
      </w:pPr>
      <w:bookmarkStart w:id="166" w:name="_Toc23270"/>
      <w:r>
        <w:rPr>
          <w:rFonts w:hint="eastAsia" w:ascii="宋体" w:hAnsi="宋体" w:eastAsia="宋体" w:cs="宋体"/>
          <w:sz w:val="28"/>
          <w:szCs w:val="28"/>
        </w:rPr>
        <w:t>（2）预算执行率</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B102</w:t>
      </w:r>
      <w:r>
        <w:rPr>
          <w:rFonts w:hint="eastAsia" w:ascii="宋体" w:hAnsi="宋体" w:eastAsia="宋体" w:cs="宋体"/>
          <w:b w:val="0"/>
          <w:bCs w:val="0"/>
          <w:kern w:val="0"/>
          <w:sz w:val="24"/>
          <w:szCs w:val="24"/>
          <w:lang w:eastAsia="zh-CN"/>
        </w:rPr>
        <w:t>）</w:t>
      </w:r>
      <w:r>
        <w:rPr>
          <w:rFonts w:hint="eastAsia" w:ascii="宋体" w:hAnsi="宋体" w:eastAsia="宋体" w:cs="宋体"/>
          <w:sz w:val="28"/>
          <w:szCs w:val="28"/>
        </w:rPr>
        <w:t>：分值</w:t>
      </w:r>
      <w:r>
        <w:rPr>
          <w:rFonts w:hint="eastAsia" w:ascii="宋体" w:hAnsi="宋体" w:eastAsia="宋体" w:cs="宋体"/>
          <w:sz w:val="28"/>
          <w:szCs w:val="28"/>
          <w:lang w:val="en-US" w:eastAsia="zh-CN"/>
        </w:rPr>
        <w:t>3</w:t>
      </w:r>
      <w:r>
        <w:rPr>
          <w:rFonts w:hint="eastAsia" w:ascii="宋体" w:hAnsi="宋体" w:eastAsia="宋体" w:cs="宋体"/>
          <w:sz w:val="28"/>
          <w:szCs w:val="28"/>
        </w:rPr>
        <w:t>分，得分</w:t>
      </w:r>
      <w:r>
        <w:rPr>
          <w:rFonts w:hint="eastAsia" w:ascii="宋体" w:hAnsi="宋体" w:eastAsia="宋体" w:cs="宋体"/>
          <w:sz w:val="28"/>
          <w:szCs w:val="28"/>
          <w:lang w:val="en-US" w:eastAsia="zh-CN"/>
        </w:rPr>
        <w:t>3</w:t>
      </w:r>
      <w:r>
        <w:rPr>
          <w:rFonts w:hint="eastAsia" w:ascii="宋体" w:hAnsi="宋体" w:eastAsia="宋体" w:cs="宋体"/>
          <w:sz w:val="28"/>
          <w:szCs w:val="28"/>
        </w:rPr>
        <w:t>分。</w:t>
      </w:r>
      <w:bookmarkEnd w:id="166"/>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财政预算执行率指标，评价实际使用资金与实际到位资金的比率，用以反映和考核项目资金执行的及时性程度。</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2021年运城地方粮油战略储备库，收到财政补贴资金1,947.00万元，支出1,943.66万元，预算执行率99.83%，根据评分标准，本指标得分</w:t>
      </w:r>
      <w:r>
        <w:rPr>
          <w:rFonts w:hint="eastAsia" w:ascii="宋体" w:hAnsi="宋体" w:eastAsia="宋体" w:cs="宋体"/>
          <w:sz w:val="28"/>
          <w:szCs w:val="28"/>
          <w:lang w:val="en-US" w:eastAsia="zh-CN"/>
        </w:rPr>
        <w:t>3</w:t>
      </w:r>
      <w:r>
        <w:rPr>
          <w:rFonts w:hint="eastAsia" w:ascii="宋体" w:hAnsi="宋体" w:eastAsia="宋体" w:cs="宋体"/>
          <w:sz w:val="28"/>
          <w:szCs w:val="28"/>
        </w:rPr>
        <w:t>分。</w:t>
      </w:r>
    </w:p>
    <w:p>
      <w:pPr>
        <w:numPr>
          <w:ilvl w:val="0"/>
          <w:numId w:val="1"/>
        </w:numPr>
        <w:spacing w:line="360" w:lineRule="auto"/>
        <w:ind w:firstLine="560" w:firstLineChars="200"/>
        <w:rPr>
          <w:rFonts w:hint="eastAsia" w:ascii="宋体" w:hAnsi="宋体" w:eastAsia="宋体" w:cs="宋体"/>
          <w:sz w:val="28"/>
          <w:szCs w:val="28"/>
        </w:rPr>
      </w:pPr>
      <w:bookmarkStart w:id="167" w:name="_Toc29533"/>
      <w:r>
        <w:rPr>
          <w:rFonts w:hint="eastAsia" w:ascii="宋体" w:hAnsi="宋体" w:eastAsia="宋体" w:cs="宋体"/>
          <w:sz w:val="28"/>
          <w:szCs w:val="28"/>
        </w:rPr>
        <w:t>资金使用合规性</w:t>
      </w:r>
      <w:r>
        <w:rPr>
          <w:rFonts w:hint="eastAsia" w:ascii="宋体" w:hAnsi="宋体" w:eastAsia="宋体" w:cs="宋体"/>
          <w:b w:val="0"/>
          <w:bCs w:val="0"/>
          <w:kern w:val="0"/>
          <w:sz w:val="24"/>
          <w:szCs w:val="24"/>
          <w:lang w:eastAsia="zh-CN"/>
        </w:rPr>
        <w:t>（</w:t>
      </w:r>
      <w:r>
        <w:rPr>
          <w:rFonts w:hint="eastAsia" w:ascii="宋体" w:hAnsi="宋体" w:eastAsia="宋体" w:cs="宋体"/>
          <w:b w:val="0"/>
          <w:bCs w:val="0"/>
          <w:kern w:val="0"/>
          <w:sz w:val="24"/>
          <w:szCs w:val="24"/>
          <w:lang w:val="en-US" w:eastAsia="zh-CN"/>
        </w:rPr>
        <w:t>B103</w:t>
      </w:r>
      <w:r>
        <w:rPr>
          <w:rFonts w:hint="eastAsia" w:ascii="宋体" w:hAnsi="宋体" w:eastAsia="宋体" w:cs="宋体"/>
          <w:b w:val="0"/>
          <w:bCs w:val="0"/>
          <w:kern w:val="0"/>
          <w:sz w:val="24"/>
          <w:szCs w:val="24"/>
          <w:lang w:eastAsia="zh-CN"/>
        </w:rPr>
        <w:t>）</w:t>
      </w:r>
      <w:r>
        <w:rPr>
          <w:rFonts w:hint="eastAsia" w:ascii="宋体" w:hAnsi="宋体" w:eastAsia="宋体" w:cs="宋体"/>
          <w:sz w:val="28"/>
          <w:szCs w:val="28"/>
        </w:rPr>
        <w:t>：分值</w:t>
      </w:r>
      <w:r>
        <w:rPr>
          <w:rFonts w:hint="eastAsia" w:ascii="宋体" w:hAnsi="宋体" w:eastAsia="宋体" w:cs="宋体"/>
          <w:sz w:val="28"/>
          <w:szCs w:val="28"/>
          <w:lang w:val="en-US" w:eastAsia="zh-CN"/>
        </w:rPr>
        <w:t>4</w:t>
      </w:r>
      <w:r>
        <w:rPr>
          <w:rFonts w:hint="eastAsia" w:ascii="宋体" w:hAnsi="宋体" w:eastAsia="宋体" w:cs="宋体"/>
          <w:sz w:val="28"/>
          <w:szCs w:val="28"/>
        </w:rPr>
        <w:t>分，得分</w:t>
      </w:r>
      <w:r>
        <w:rPr>
          <w:rFonts w:hint="eastAsia" w:ascii="宋体" w:hAnsi="宋体" w:eastAsia="宋体" w:cs="宋体"/>
          <w:sz w:val="28"/>
          <w:szCs w:val="28"/>
          <w:lang w:val="en-US" w:eastAsia="zh-CN"/>
        </w:rPr>
        <w:t>4</w:t>
      </w:r>
      <w:r>
        <w:rPr>
          <w:rFonts w:hint="eastAsia" w:ascii="宋体" w:hAnsi="宋体" w:eastAsia="宋体" w:cs="宋体"/>
          <w:sz w:val="28"/>
          <w:szCs w:val="28"/>
        </w:rPr>
        <w:t>分。</w:t>
      </w:r>
      <w:bookmarkEnd w:id="167"/>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资金使用合规性指标，项目资金使用是否符合相关的财务管理制度规定，用以反映和考核项目资金的规范运行情况。符合国家财经法规和财务管理制度以及有关专项资金管理办法的规定，得满分。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2021储备粮油保管费、轮换费项目，涉及资金1,943.66万元，</w:t>
      </w:r>
      <w:r>
        <w:rPr>
          <w:rFonts w:hint="eastAsia" w:ascii="宋体" w:hAnsi="宋体" w:eastAsia="宋体" w:cs="宋体"/>
          <w:bCs/>
          <w:color w:val="000000"/>
          <w:sz w:val="28"/>
          <w:szCs w:val="28"/>
        </w:rPr>
        <w:t>资金主要用于人员工资福利、社保、日常经费、利息等。未发现有违规支出</w:t>
      </w:r>
      <w:r>
        <w:rPr>
          <w:rFonts w:hint="eastAsia" w:ascii="宋体" w:hAnsi="宋体" w:eastAsia="宋体" w:cs="宋体"/>
          <w:sz w:val="28"/>
          <w:szCs w:val="28"/>
        </w:rPr>
        <w:t>，本指标得分</w:t>
      </w:r>
      <w:r>
        <w:rPr>
          <w:rFonts w:hint="eastAsia" w:ascii="宋体" w:hAnsi="宋体" w:eastAsia="宋体" w:cs="宋体"/>
          <w:sz w:val="28"/>
          <w:szCs w:val="28"/>
          <w:lang w:val="en-US" w:eastAsia="zh-CN"/>
        </w:rPr>
        <w:t>4</w:t>
      </w:r>
      <w:r>
        <w:rPr>
          <w:rFonts w:hint="eastAsia" w:ascii="宋体" w:hAnsi="宋体" w:eastAsia="宋体" w:cs="宋体"/>
          <w:sz w:val="28"/>
          <w:szCs w:val="28"/>
        </w:rPr>
        <w:t>分。</w:t>
      </w:r>
    </w:p>
    <w:p>
      <w:pPr>
        <w:spacing w:line="360" w:lineRule="auto"/>
        <w:ind w:firstLine="560" w:firstLineChars="200"/>
        <w:rPr>
          <w:rFonts w:hint="eastAsia" w:ascii="宋体" w:hAnsi="宋体" w:eastAsia="宋体" w:cs="宋体"/>
          <w:b w:val="0"/>
          <w:bCs w:val="0"/>
          <w:sz w:val="28"/>
          <w:szCs w:val="28"/>
        </w:rPr>
      </w:pPr>
      <w:r>
        <w:rPr>
          <w:rFonts w:hint="eastAsia" w:ascii="宋体" w:hAnsi="宋体" w:eastAsia="宋体" w:cs="宋体"/>
          <w:b w:val="0"/>
          <w:bCs w:val="0"/>
          <w:sz w:val="28"/>
          <w:szCs w:val="28"/>
        </w:rPr>
        <w:t>3.组织实施指标分析</w:t>
      </w:r>
      <w:r>
        <w:rPr>
          <w:rFonts w:hint="eastAsia" w:ascii="宋体" w:hAnsi="宋体" w:eastAsia="宋体" w:cs="宋体"/>
          <w:b w:val="0"/>
          <w:bCs/>
          <w:sz w:val="28"/>
          <w:szCs w:val="28"/>
          <w:lang w:eastAsia="zh-CN"/>
        </w:rPr>
        <w:t>（</w:t>
      </w:r>
      <w:r>
        <w:rPr>
          <w:rFonts w:hint="eastAsia" w:ascii="宋体" w:hAnsi="宋体" w:eastAsia="宋体" w:cs="宋体"/>
          <w:b w:val="0"/>
          <w:bCs/>
          <w:sz w:val="28"/>
          <w:szCs w:val="28"/>
          <w:lang w:val="en-US" w:eastAsia="zh-CN"/>
        </w:rPr>
        <w:t>B2</w:t>
      </w:r>
      <w:r>
        <w:rPr>
          <w:rFonts w:hint="eastAsia" w:ascii="宋体" w:hAnsi="宋体" w:eastAsia="宋体" w:cs="宋体"/>
          <w:b w:val="0"/>
          <w:bCs/>
          <w:sz w:val="28"/>
          <w:szCs w:val="28"/>
          <w:lang w:eastAsia="zh-CN"/>
        </w:rPr>
        <w:t>）</w:t>
      </w:r>
    </w:p>
    <w:p>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组织实施：分值共计</w:t>
      </w:r>
      <w:r>
        <w:rPr>
          <w:rFonts w:hint="eastAsia" w:ascii="宋体" w:hAnsi="宋体" w:eastAsia="宋体" w:cs="宋体"/>
          <w:sz w:val="28"/>
          <w:szCs w:val="28"/>
          <w:lang w:val="en-US" w:eastAsia="zh-CN"/>
        </w:rPr>
        <w:t>10</w:t>
      </w:r>
      <w:r>
        <w:rPr>
          <w:rFonts w:hint="eastAsia" w:ascii="宋体" w:hAnsi="宋体" w:eastAsia="宋体" w:cs="宋体"/>
          <w:sz w:val="28"/>
          <w:szCs w:val="28"/>
        </w:rPr>
        <w:t>分，本项目实际得分为</w:t>
      </w:r>
      <w:r>
        <w:rPr>
          <w:rFonts w:hint="eastAsia" w:ascii="宋体" w:hAnsi="宋体" w:eastAsia="宋体" w:cs="宋体"/>
          <w:sz w:val="28"/>
          <w:szCs w:val="28"/>
          <w:lang w:val="en-US" w:eastAsia="zh-CN"/>
        </w:rPr>
        <w:t>8</w:t>
      </w:r>
      <w:r>
        <w:rPr>
          <w:rFonts w:hint="eastAsia" w:ascii="宋体" w:hAnsi="宋体" w:eastAsia="宋体" w:cs="宋体"/>
          <w:sz w:val="28"/>
          <w:szCs w:val="28"/>
        </w:rPr>
        <w:t>分，各项考评指标得分情况见下表：</w:t>
      </w:r>
    </w:p>
    <w:p>
      <w:pPr>
        <w:jc w:val="center"/>
        <w:rPr>
          <w:rFonts w:hint="eastAsia" w:ascii="宋体" w:hAnsi="宋体" w:eastAsia="宋体" w:cs="宋体"/>
          <w:b w:val="0"/>
          <w:bCs w:val="0"/>
          <w:sz w:val="28"/>
          <w:szCs w:val="28"/>
        </w:rPr>
      </w:pPr>
      <w:bookmarkStart w:id="168" w:name="_Toc2062"/>
      <w:r>
        <w:rPr>
          <w:rFonts w:hint="eastAsia" w:ascii="宋体" w:hAnsi="宋体" w:eastAsia="宋体" w:cs="宋体"/>
          <w:b w:val="0"/>
          <w:bCs w:val="0"/>
          <w:sz w:val="28"/>
          <w:szCs w:val="28"/>
        </w:rPr>
        <w:t>过程类-组织实施指标得分情况</w:t>
      </w:r>
      <w:bookmarkEnd w:id="168"/>
    </w:p>
    <w:tbl>
      <w:tblPr>
        <w:tblStyle w:val="14"/>
        <w:tblW w:w="4998" w:type="pct"/>
        <w:jc w:val="center"/>
        <w:tblLayout w:type="autofit"/>
        <w:tblCellMar>
          <w:top w:w="0" w:type="dxa"/>
          <w:left w:w="0" w:type="dxa"/>
          <w:bottom w:w="0" w:type="dxa"/>
          <w:right w:w="0" w:type="dxa"/>
        </w:tblCellMar>
      </w:tblPr>
      <w:tblGrid>
        <w:gridCol w:w="1908"/>
        <w:gridCol w:w="1908"/>
        <w:gridCol w:w="3283"/>
        <w:gridCol w:w="983"/>
        <w:gridCol w:w="984"/>
      </w:tblGrid>
      <w:tr>
        <w:trPr>
          <w:trHeight w:val="397" w:hRule="atLeast"/>
          <w:jc w:val="center"/>
        </w:trPr>
        <w:tc>
          <w:tcPr>
            <w:tcW w:w="105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一级指标</w:t>
            </w:r>
          </w:p>
        </w:tc>
        <w:tc>
          <w:tcPr>
            <w:tcW w:w="105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二级指标</w:t>
            </w:r>
          </w:p>
        </w:tc>
        <w:tc>
          <w:tcPr>
            <w:tcW w:w="1810"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三级指标</w:t>
            </w:r>
          </w:p>
        </w:tc>
        <w:tc>
          <w:tcPr>
            <w:tcW w:w="54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分值</w:t>
            </w:r>
          </w:p>
        </w:tc>
        <w:tc>
          <w:tcPr>
            <w:tcW w:w="542" w:type="pct"/>
            <w:tcBorders>
              <w:top w:val="single" w:color="000000" w:sz="4" w:space="0"/>
              <w:left w:val="single" w:color="000000" w:sz="4" w:space="0"/>
              <w:bottom w:val="single" w:color="000000" w:sz="4" w:space="0"/>
              <w:right w:val="single" w:color="000000" w:sz="4" w:space="0"/>
            </w:tcBorders>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得分</w:t>
            </w:r>
          </w:p>
        </w:tc>
      </w:tr>
      <w:tr>
        <w:tblPrEx>
          <w:tblCellMar>
            <w:top w:w="0" w:type="dxa"/>
            <w:left w:w="0" w:type="dxa"/>
            <w:bottom w:w="0" w:type="dxa"/>
            <w:right w:w="0" w:type="dxa"/>
          </w:tblCellMar>
        </w:tblPrEx>
        <w:trPr>
          <w:trHeight w:val="397" w:hRule="atLeast"/>
          <w:jc w:val="center"/>
        </w:trPr>
        <w:tc>
          <w:tcPr>
            <w:tcW w:w="105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eastAsia="zh-CN"/>
              </w:rPr>
            </w:pPr>
            <w:r>
              <w:rPr>
                <w:rFonts w:hint="eastAsia" w:ascii="宋体" w:hAnsi="宋体" w:eastAsia="宋体" w:cs="宋体"/>
                <w:b w:val="0"/>
                <w:bCs/>
                <w:kern w:val="0"/>
                <w:sz w:val="24"/>
                <w:szCs w:val="24"/>
              </w:rPr>
              <w:t>过程类</w:t>
            </w:r>
            <w:r>
              <w:rPr>
                <w:rFonts w:hint="eastAsia" w:ascii="宋体" w:hAnsi="宋体" w:eastAsia="宋体" w:cs="宋体"/>
                <w:b w:val="0"/>
                <w:bCs/>
                <w:kern w:val="0"/>
                <w:sz w:val="24"/>
                <w:szCs w:val="24"/>
                <w:lang w:eastAsia="zh-CN"/>
              </w:rPr>
              <w:t>（</w:t>
            </w:r>
            <w:r>
              <w:rPr>
                <w:rFonts w:hint="eastAsia" w:ascii="宋体" w:hAnsi="宋体" w:eastAsia="宋体" w:cs="宋体"/>
                <w:b w:val="0"/>
                <w:bCs/>
                <w:kern w:val="0"/>
                <w:sz w:val="24"/>
                <w:szCs w:val="24"/>
                <w:lang w:val="en-US" w:eastAsia="zh-CN"/>
              </w:rPr>
              <w:t>B</w:t>
            </w:r>
            <w:r>
              <w:rPr>
                <w:rFonts w:hint="eastAsia" w:ascii="宋体" w:hAnsi="宋体" w:eastAsia="宋体" w:cs="宋体"/>
                <w:b w:val="0"/>
                <w:bCs/>
                <w:kern w:val="0"/>
                <w:sz w:val="24"/>
                <w:szCs w:val="24"/>
                <w:lang w:eastAsia="zh-CN"/>
              </w:rPr>
              <w:t>）</w:t>
            </w:r>
          </w:p>
        </w:tc>
        <w:tc>
          <w:tcPr>
            <w:tcW w:w="1052" w:type="pct"/>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eastAsia="zh-CN"/>
              </w:rPr>
            </w:pPr>
            <w:r>
              <w:rPr>
                <w:rFonts w:hint="eastAsia" w:ascii="宋体" w:hAnsi="宋体" w:eastAsia="宋体" w:cs="宋体"/>
                <w:b w:val="0"/>
                <w:bCs/>
                <w:kern w:val="0"/>
                <w:sz w:val="24"/>
                <w:szCs w:val="24"/>
              </w:rPr>
              <w:t>组织实施</w:t>
            </w:r>
            <w:r>
              <w:rPr>
                <w:rFonts w:hint="eastAsia" w:ascii="宋体" w:hAnsi="宋体" w:eastAsia="宋体" w:cs="宋体"/>
                <w:b w:val="0"/>
                <w:bCs/>
                <w:kern w:val="0"/>
                <w:sz w:val="24"/>
                <w:szCs w:val="24"/>
                <w:lang w:eastAsia="zh-CN"/>
              </w:rPr>
              <w:t>（</w:t>
            </w:r>
            <w:r>
              <w:rPr>
                <w:rFonts w:hint="eastAsia" w:ascii="宋体" w:hAnsi="宋体" w:eastAsia="宋体" w:cs="宋体"/>
                <w:b w:val="0"/>
                <w:bCs/>
                <w:kern w:val="0"/>
                <w:sz w:val="24"/>
                <w:szCs w:val="24"/>
                <w:lang w:val="en-US" w:eastAsia="zh-CN"/>
              </w:rPr>
              <w:t>B2</w:t>
            </w:r>
            <w:r>
              <w:rPr>
                <w:rFonts w:hint="eastAsia" w:ascii="宋体" w:hAnsi="宋体" w:eastAsia="宋体" w:cs="宋体"/>
                <w:b w:val="0"/>
                <w:bCs/>
                <w:kern w:val="0"/>
                <w:sz w:val="24"/>
                <w:szCs w:val="24"/>
                <w:lang w:eastAsia="zh-CN"/>
              </w:rPr>
              <w:t>）</w:t>
            </w:r>
          </w:p>
        </w:tc>
        <w:tc>
          <w:tcPr>
            <w:tcW w:w="18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管理制度健全性</w:t>
            </w:r>
            <w:r>
              <w:rPr>
                <w:rFonts w:hint="eastAsia" w:ascii="宋体" w:hAnsi="宋体" w:eastAsia="宋体" w:cs="宋体"/>
                <w:b w:val="0"/>
                <w:bCs/>
                <w:kern w:val="0"/>
                <w:sz w:val="24"/>
                <w:szCs w:val="24"/>
                <w:lang w:eastAsia="zh-CN"/>
              </w:rPr>
              <w:t>（</w:t>
            </w:r>
            <w:r>
              <w:rPr>
                <w:rFonts w:hint="eastAsia" w:ascii="宋体" w:hAnsi="宋体" w:eastAsia="宋体" w:cs="宋体"/>
                <w:b w:val="0"/>
                <w:bCs/>
                <w:kern w:val="0"/>
                <w:sz w:val="24"/>
                <w:szCs w:val="24"/>
                <w:lang w:val="en-US" w:eastAsia="zh-CN"/>
              </w:rPr>
              <w:t>B201</w:t>
            </w:r>
            <w:r>
              <w:rPr>
                <w:rFonts w:hint="eastAsia" w:ascii="宋体" w:hAnsi="宋体" w:eastAsia="宋体" w:cs="宋体"/>
                <w:b w:val="0"/>
                <w:bCs/>
                <w:kern w:val="0"/>
                <w:sz w:val="24"/>
                <w:szCs w:val="24"/>
                <w:lang w:eastAsia="zh-CN"/>
              </w:rPr>
              <w:t>）</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4</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4</w:t>
            </w:r>
          </w:p>
        </w:tc>
      </w:tr>
      <w:tr>
        <w:tblPrEx>
          <w:tblCellMar>
            <w:top w:w="0" w:type="dxa"/>
            <w:left w:w="0" w:type="dxa"/>
            <w:bottom w:w="0" w:type="dxa"/>
            <w:right w:w="0" w:type="dxa"/>
          </w:tblCellMar>
        </w:tblPrEx>
        <w:trPr>
          <w:trHeight w:val="397" w:hRule="atLeast"/>
          <w:jc w:val="center"/>
        </w:trPr>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int="eastAsia" w:ascii="宋体" w:hAnsi="宋体" w:eastAsia="宋体" w:cs="宋体"/>
                <w:b w:val="0"/>
                <w:bCs/>
                <w:sz w:val="24"/>
                <w:szCs w:val="24"/>
              </w:rPr>
            </w:pPr>
          </w:p>
        </w:tc>
        <w:tc>
          <w:tcPr>
            <w:tcW w:w="1052" w:type="pct"/>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b w:val="0"/>
                <w:bCs/>
                <w:sz w:val="24"/>
                <w:szCs w:val="24"/>
              </w:rPr>
            </w:pPr>
          </w:p>
        </w:tc>
        <w:tc>
          <w:tcPr>
            <w:tcW w:w="18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制度执行有效性</w:t>
            </w:r>
            <w:r>
              <w:rPr>
                <w:rFonts w:hint="eastAsia" w:ascii="宋体" w:hAnsi="宋体" w:eastAsia="宋体" w:cs="宋体"/>
                <w:b w:val="0"/>
                <w:bCs/>
                <w:kern w:val="0"/>
                <w:sz w:val="24"/>
                <w:szCs w:val="24"/>
                <w:lang w:eastAsia="zh-CN"/>
              </w:rPr>
              <w:t>（</w:t>
            </w:r>
            <w:r>
              <w:rPr>
                <w:rFonts w:hint="eastAsia" w:ascii="宋体" w:hAnsi="宋体" w:eastAsia="宋体" w:cs="宋体"/>
                <w:b w:val="0"/>
                <w:bCs/>
                <w:kern w:val="0"/>
                <w:sz w:val="24"/>
                <w:szCs w:val="24"/>
                <w:lang w:val="en-US" w:eastAsia="zh-CN"/>
              </w:rPr>
              <w:t>B202</w:t>
            </w:r>
            <w:r>
              <w:rPr>
                <w:rFonts w:hint="eastAsia" w:ascii="宋体" w:hAnsi="宋体" w:eastAsia="宋体" w:cs="宋体"/>
                <w:b w:val="0"/>
                <w:bCs/>
                <w:kern w:val="0"/>
                <w:sz w:val="24"/>
                <w:szCs w:val="24"/>
                <w:lang w:eastAsia="zh-CN"/>
              </w:rPr>
              <w:t>）</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6</w:t>
            </w:r>
          </w:p>
        </w:tc>
        <w:tc>
          <w:tcPr>
            <w:tcW w:w="54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w:t>
            </w:r>
          </w:p>
        </w:tc>
      </w:tr>
    </w:tbl>
    <w:p>
      <w:pPr>
        <w:spacing w:line="360" w:lineRule="auto"/>
        <w:ind w:firstLine="560" w:firstLineChars="200"/>
        <w:rPr>
          <w:rFonts w:hint="eastAsia" w:ascii="宋体" w:hAnsi="宋体" w:eastAsia="宋体" w:cs="宋体"/>
          <w:sz w:val="28"/>
          <w:szCs w:val="28"/>
        </w:rPr>
      </w:pPr>
      <w:bookmarkStart w:id="169" w:name="_Toc7336"/>
      <w:r>
        <w:rPr>
          <w:rFonts w:hint="eastAsia" w:ascii="宋体" w:hAnsi="宋体" w:eastAsia="宋体" w:cs="宋体"/>
          <w:sz w:val="28"/>
          <w:szCs w:val="28"/>
        </w:rPr>
        <w:t>（1）管理制度健全性</w:t>
      </w:r>
      <w:r>
        <w:rPr>
          <w:rFonts w:hint="eastAsia" w:ascii="宋体" w:hAnsi="宋体" w:eastAsia="宋体" w:cs="宋体"/>
          <w:b w:val="0"/>
          <w:bCs/>
          <w:kern w:val="0"/>
          <w:sz w:val="24"/>
          <w:szCs w:val="24"/>
          <w:lang w:eastAsia="zh-CN"/>
        </w:rPr>
        <w:t>（</w:t>
      </w:r>
      <w:r>
        <w:rPr>
          <w:rFonts w:hint="eastAsia" w:ascii="宋体" w:hAnsi="宋体" w:eastAsia="宋体" w:cs="宋体"/>
          <w:b w:val="0"/>
          <w:bCs/>
          <w:kern w:val="0"/>
          <w:sz w:val="24"/>
          <w:szCs w:val="24"/>
          <w:lang w:val="en-US" w:eastAsia="zh-CN"/>
        </w:rPr>
        <w:t>B201</w:t>
      </w:r>
      <w:r>
        <w:rPr>
          <w:rFonts w:hint="eastAsia" w:ascii="宋体" w:hAnsi="宋体" w:eastAsia="宋体" w:cs="宋体"/>
          <w:b w:val="0"/>
          <w:bCs/>
          <w:kern w:val="0"/>
          <w:sz w:val="24"/>
          <w:szCs w:val="24"/>
          <w:lang w:eastAsia="zh-CN"/>
        </w:rPr>
        <w:t>）</w:t>
      </w:r>
      <w:r>
        <w:rPr>
          <w:rFonts w:hint="eastAsia" w:ascii="宋体" w:hAnsi="宋体" w:eastAsia="宋体" w:cs="宋体"/>
          <w:sz w:val="28"/>
          <w:szCs w:val="28"/>
        </w:rPr>
        <w:t>：分值4分，得分4分。</w:t>
      </w:r>
      <w:bookmarkEnd w:id="169"/>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管理制度健全性指标，评价项目实施单位的财务和业务管理制度是否健全。用以反映和考核财务和业务管理制度对项目顺利实施的保障情况。</w:t>
      </w:r>
    </w:p>
    <w:p>
      <w:pPr>
        <w:spacing w:line="360" w:lineRule="auto"/>
        <w:ind w:firstLine="560" w:firstLineChars="200"/>
        <w:rPr>
          <w:rFonts w:hint="eastAsia" w:ascii="宋体" w:hAnsi="宋体" w:eastAsia="宋体" w:cs="宋体"/>
          <w:color w:val="000000"/>
          <w:kern w:val="0"/>
          <w:sz w:val="28"/>
          <w:szCs w:val="28"/>
        </w:rPr>
      </w:pPr>
      <w:r>
        <w:rPr>
          <w:rFonts w:hint="eastAsia" w:ascii="宋体" w:hAnsi="宋体" w:eastAsia="宋体" w:cs="宋体"/>
          <w:sz w:val="28"/>
          <w:szCs w:val="28"/>
        </w:rPr>
        <w:t>运城市地方粮食战略储备库制定了财务管理制度、会计制度、差旅费管理办法、费用报销制度、巡逻值班制度、储备库消防安全管理制度、安保工作制度等相关财务及业务制度，且制度合法、合规、完整。根据评分标准，本指标得4分</w:t>
      </w:r>
    </w:p>
    <w:p>
      <w:pPr>
        <w:spacing w:line="360" w:lineRule="auto"/>
        <w:ind w:firstLine="560" w:firstLineChars="200"/>
        <w:rPr>
          <w:rFonts w:hint="eastAsia" w:ascii="宋体" w:hAnsi="宋体" w:eastAsia="宋体" w:cs="宋体"/>
          <w:kern w:val="0"/>
          <w:sz w:val="28"/>
          <w:szCs w:val="28"/>
        </w:rPr>
      </w:pPr>
      <w:bookmarkStart w:id="170" w:name="_Toc24580"/>
      <w:r>
        <w:rPr>
          <w:rFonts w:hint="eastAsia" w:ascii="宋体" w:hAnsi="宋体" w:eastAsia="宋体" w:cs="宋体"/>
          <w:sz w:val="28"/>
          <w:szCs w:val="28"/>
        </w:rPr>
        <w:t>（2）</w:t>
      </w:r>
      <w:r>
        <w:rPr>
          <w:rFonts w:hint="eastAsia" w:ascii="宋体" w:hAnsi="宋体" w:eastAsia="宋体" w:cs="宋体"/>
          <w:kern w:val="0"/>
          <w:sz w:val="28"/>
          <w:szCs w:val="28"/>
        </w:rPr>
        <w:t>制度执行有效性</w:t>
      </w:r>
      <w:r>
        <w:rPr>
          <w:rFonts w:hint="eastAsia" w:ascii="宋体" w:hAnsi="宋体" w:eastAsia="宋体" w:cs="宋体"/>
          <w:b w:val="0"/>
          <w:bCs/>
          <w:kern w:val="0"/>
          <w:sz w:val="24"/>
          <w:szCs w:val="24"/>
          <w:lang w:eastAsia="zh-CN"/>
        </w:rPr>
        <w:t>（</w:t>
      </w:r>
      <w:r>
        <w:rPr>
          <w:rFonts w:hint="eastAsia" w:ascii="宋体" w:hAnsi="宋体" w:eastAsia="宋体" w:cs="宋体"/>
          <w:b w:val="0"/>
          <w:bCs/>
          <w:kern w:val="0"/>
          <w:sz w:val="24"/>
          <w:szCs w:val="24"/>
          <w:lang w:val="en-US" w:eastAsia="zh-CN"/>
        </w:rPr>
        <w:t>B202</w:t>
      </w:r>
      <w:r>
        <w:rPr>
          <w:rFonts w:hint="eastAsia" w:ascii="宋体" w:hAnsi="宋体" w:eastAsia="宋体" w:cs="宋体"/>
          <w:b w:val="0"/>
          <w:bCs/>
          <w:kern w:val="0"/>
          <w:sz w:val="24"/>
          <w:szCs w:val="24"/>
          <w:lang w:eastAsia="zh-CN"/>
        </w:rPr>
        <w:t>）</w:t>
      </w:r>
      <w:r>
        <w:rPr>
          <w:rFonts w:hint="eastAsia" w:ascii="宋体" w:hAnsi="宋体" w:eastAsia="宋体" w:cs="宋体"/>
          <w:kern w:val="0"/>
          <w:sz w:val="28"/>
          <w:szCs w:val="28"/>
        </w:rPr>
        <w:t>：分值</w:t>
      </w:r>
      <w:r>
        <w:rPr>
          <w:rFonts w:hint="eastAsia" w:ascii="宋体" w:hAnsi="宋体" w:eastAsia="宋体" w:cs="宋体"/>
          <w:kern w:val="0"/>
          <w:sz w:val="28"/>
          <w:szCs w:val="28"/>
          <w:lang w:val="en-US" w:eastAsia="zh-CN"/>
        </w:rPr>
        <w:t>6</w:t>
      </w:r>
      <w:r>
        <w:rPr>
          <w:rFonts w:hint="eastAsia" w:ascii="宋体" w:hAnsi="宋体" w:eastAsia="宋体" w:cs="宋体"/>
          <w:kern w:val="0"/>
          <w:sz w:val="28"/>
          <w:szCs w:val="28"/>
        </w:rPr>
        <w:t>分，得分</w:t>
      </w:r>
      <w:r>
        <w:rPr>
          <w:rFonts w:hint="eastAsia" w:ascii="宋体" w:hAnsi="宋体" w:eastAsia="宋体" w:cs="宋体"/>
          <w:kern w:val="0"/>
          <w:sz w:val="28"/>
          <w:szCs w:val="28"/>
          <w:lang w:val="en-US" w:eastAsia="zh-CN"/>
        </w:rPr>
        <w:t>4</w:t>
      </w:r>
      <w:r>
        <w:rPr>
          <w:rFonts w:hint="eastAsia" w:ascii="宋体" w:hAnsi="宋体" w:eastAsia="宋体" w:cs="宋体"/>
          <w:kern w:val="0"/>
          <w:sz w:val="28"/>
          <w:szCs w:val="28"/>
        </w:rPr>
        <w:t>分。</w:t>
      </w:r>
      <w:bookmarkEnd w:id="170"/>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本指标用以反映和考核项目实施是否符合相关业务管理规定，用以反映和考核相关管理制度的有效执行情况。</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此次评价中，评价组人员通过查阅相关文件、与工作人员访谈，了解根据《运城市储备粮油库存管理办法》第四章第二十八条规定：粮库负责人每月至少检查一次粮情，并在粮情检查记录本上签署意见。评价小组通过检查粮情记录簿，储备库负责人每季度检查一次粮情，并在粮情检查记录本上签署意见，与《运城市储备粮油库存管理办法》不符</w:t>
      </w:r>
      <w:r>
        <w:rPr>
          <w:rFonts w:hint="eastAsia" w:ascii="宋体" w:hAnsi="宋体" w:eastAsia="宋体" w:cs="宋体"/>
          <w:sz w:val="28"/>
          <w:szCs w:val="28"/>
          <w:lang w:eastAsia="zh-CN"/>
        </w:rPr>
        <w:t>，</w:t>
      </w:r>
      <w:r>
        <w:rPr>
          <w:rFonts w:hint="eastAsia" w:ascii="宋体" w:hAnsi="宋体" w:eastAsia="宋体" w:cs="宋体"/>
          <w:sz w:val="28"/>
          <w:szCs w:val="28"/>
        </w:rPr>
        <w:t>扣1分。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储备库承担运城市市级储备粮油的管理与轮换，在没有经过运城市人民政府和运城市发改委批准情况下，把市级储备油的轮换任务交由其下属单位运城市粮丰物贸公司负责；扣1分。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除以上情况外，储备库其他方面按照相关部门及单位制定的制度执行，项目资料齐全，会计核算规范。本指标扣2分，得分</w:t>
      </w:r>
      <w:r>
        <w:rPr>
          <w:rFonts w:hint="eastAsia" w:ascii="宋体" w:hAnsi="宋体" w:eastAsia="宋体" w:cs="宋体"/>
          <w:sz w:val="28"/>
          <w:szCs w:val="28"/>
          <w:lang w:val="en-US" w:eastAsia="zh-CN"/>
        </w:rPr>
        <w:t>4</w:t>
      </w:r>
      <w:r>
        <w:rPr>
          <w:rFonts w:hint="eastAsia" w:ascii="宋体" w:hAnsi="宋体" w:eastAsia="宋体" w:cs="宋体"/>
          <w:sz w:val="28"/>
          <w:szCs w:val="28"/>
        </w:rPr>
        <w:t>分。</w:t>
      </w:r>
    </w:p>
    <w:bookmarkEnd w:id="159"/>
    <w:p>
      <w:pPr>
        <w:spacing w:line="360" w:lineRule="auto"/>
        <w:ind w:firstLine="560" w:firstLineChars="200"/>
        <w:outlineLvl w:val="1"/>
        <w:rPr>
          <w:rFonts w:hint="eastAsia" w:ascii="宋体" w:hAnsi="宋体" w:eastAsia="宋体" w:cs="宋体"/>
          <w:b w:val="0"/>
          <w:bCs/>
          <w:sz w:val="28"/>
          <w:szCs w:val="28"/>
        </w:rPr>
      </w:pPr>
      <w:bookmarkStart w:id="171" w:name="_Toc30292"/>
      <w:bookmarkStart w:id="172" w:name="_Toc26338"/>
      <w:r>
        <w:rPr>
          <w:rFonts w:hint="eastAsia" w:ascii="宋体" w:hAnsi="宋体" w:eastAsia="宋体" w:cs="宋体"/>
          <w:b w:val="0"/>
          <w:bCs/>
          <w:sz w:val="28"/>
          <w:szCs w:val="28"/>
        </w:rPr>
        <w:t>（三）项目产出情况分析</w:t>
      </w:r>
      <w:bookmarkEnd w:id="171"/>
      <w:bookmarkEnd w:id="172"/>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产出类指标从项目产出进行考察。</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b w:val="0"/>
          <w:bCs/>
          <w:sz w:val="28"/>
          <w:szCs w:val="28"/>
        </w:rPr>
        <w:t>项目产出：分</w:t>
      </w:r>
      <w:r>
        <w:rPr>
          <w:rFonts w:hint="eastAsia" w:ascii="宋体" w:hAnsi="宋体" w:eastAsia="宋体" w:cs="宋体"/>
          <w:sz w:val="28"/>
          <w:szCs w:val="28"/>
        </w:rPr>
        <w:t>值共计</w:t>
      </w:r>
      <w:r>
        <w:rPr>
          <w:rFonts w:hint="eastAsia" w:ascii="宋体" w:hAnsi="宋体" w:eastAsia="宋体" w:cs="宋体"/>
          <w:sz w:val="28"/>
          <w:szCs w:val="28"/>
          <w:lang w:val="en-US" w:eastAsia="zh-CN"/>
        </w:rPr>
        <w:t>30</w:t>
      </w:r>
      <w:r>
        <w:rPr>
          <w:rFonts w:hint="eastAsia" w:ascii="宋体" w:hAnsi="宋体" w:eastAsia="宋体" w:cs="宋体"/>
          <w:sz w:val="28"/>
          <w:szCs w:val="28"/>
        </w:rPr>
        <w:t>分，本项目实际得分为</w:t>
      </w:r>
      <w:r>
        <w:rPr>
          <w:rFonts w:hint="eastAsia" w:ascii="宋体" w:hAnsi="宋体" w:eastAsia="宋体" w:cs="宋体"/>
          <w:sz w:val="28"/>
          <w:szCs w:val="28"/>
          <w:lang w:val="en-US" w:eastAsia="zh-CN"/>
        </w:rPr>
        <w:t>27</w:t>
      </w:r>
      <w:r>
        <w:rPr>
          <w:rFonts w:hint="eastAsia" w:ascii="宋体" w:hAnsi="宋体" w:eastAsia="宋体" w:cs="宋体"/>
          <w:sz w:val="28"/>
          <w:szCs w:val="28"/>
        </w:rPr>
        <w:t>分。各项考评指标得分情况见下表：</w:t>
      </w:r>
    </w:p>
    <w:p>
      <w:pPr>
        <w:spacing w:line="360" w:lineRule="auto"/>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产出类-项目产出得分情况</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2"/>
        <w:gridCol w:w="1565"/>
        <w:gridCol w:w="4934"/>
        <w:gridCol w:w="651"/>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696" w:type="pct"/>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一级指标</w:t>
            </w:r>
          </w:p>
        </w:tc>
        <w:tc>
          <w:tcPr>
            <w:tcW w:w="863" w:type="pct"/>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二级指标</w:t>
            </w:r>
          </w:p>
        </w:tc>
        <w:tc>
          <w:tcPr>
            <w:tcW w:w="2721" w:type="pct"/>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三级指标</w:t>
            </w:r>
          </w:p>
        </w:tc>
        <w:tc>
          <w:tcPr>
            <w:tcW w:w="359" w:type="pct"/>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分值</w:t>
            </w:r>
          </w:p>
        </w:tc>
        <w:tc>
          <w:tcPr>
            <w:tcW w:w="360" w:type="pct"/>
            <w:shd w:val="clear" w:color="auto" w:fill="C8C8C8"/>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kern w:val="0"/>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vMerge w:val="restar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kern w:val="0"/>
                <w:sz w:val="24"/>
                <w:szCs w:val="24"/>
              </w:rPr>
              <w:t>产出</w:t>
            </w:r>
            <w:r>
              <w:rPr>
                <w:rFonts w:hint="eastAsia" w:ascii="宋体" w:hAnsi="宋体" w:eastAsia="宋体" w:cs="宋体"/>
                <w:b w:val="0"/>
                <w:bCs/>
                <w:kern w:val="0"/>
                <w:sz w:val="24"/>
                <w:szCs w:val="24"/>
                <w:lang w:eastAsia="zh-CN"/>
              </w:rPr>
              <w:t>（</w:t>
            </w:r>
            <w:r>
              <w:rPr>
                <w:rFonts w:hint="eastAsia" w:ascii="宋体" w:hAnsi="宋体" w:eastAsia="宋体" w:cs="宋体"/>
                <w:b w:val="0"/>
                <w:bCs/>
                <w:kern w:val="0"/>
                <w:sz w:val="24"/>
                <w:szCs w:val="24"/>
                <w:lang w:val="en-US" w:eastAsia="zh-CN"/>
              </w:rPr>
              <w:t>C</w:t>
            </w:r>
            <w:r>
              <w:rPr>
                <w:rFonts w:hint="eastAsia" w:ascii="宋体" w:hAnsi="宋体" w:eastAsia="宋体" w:cs="宋体"/>
                <w:b w:val="0"/>
                <w:bCs/>
                <w:kern w:val="0"/>
                <w:sz w:val="24"/>
                <w:szCs w:val="24"/>
                <w:lang w:eastAsia="zh-CN"/>
              </w:rPr>
              <w:t>）</w:t>
            </w:r>
          </w:p>
        </w:tc>
        <w:tc>
          <w:tcPr>
            <w:tcW w:w="863" w:type="pct"/>
            <w:vMerge w:val="restar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库存管理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w:t>
            </w:r>
            <w:r>
              <w:rPr>
                <w:rFonts w:hint="eastAsia" w:ascii="宋体" w:hAnsi="宋体" w:eastAsia="宋体" w:cs="宋体"/>
                <w:b w:val="0"/>
                <w:bCs/>
                <w:sz w:val="24"/>
                <w:szCs w:val="24"/>
                <w:lang w:eastAsia="zh-CN"/>
              </w:rPr>
              <w:t>）</w:t>
            </w: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达到“一符”标准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C101</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达到“三专”标准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C102</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达到“四落实”标准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C103</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达到“六无”标准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C104</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restart"/>
            <w:tcMar>
              <w:top w:w="15" w:type="dxa"/>
              <w:left w:w="15" w:type="dxa"/>
              <w:right w:w="15" w:type="dxa"/>
            </w:tcMar>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安全储粮</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C2</w:t>
            </w:r>
            <w:r>
              <w:rPr>
                <w:rFonts w:hint="eastAsia" w:ascii="宋体" w:hAnsi="宋体" w:eastAsia="宋体" w:cs="宋体"/>
                <w:b w:val="0"/>
                <w:bCs/>
                <w:sz w:val="24"/>
                <w:szCs w:val="24"/>
                <w:lang w:eastAsia="zh-CN"/>
              </w:rPr>
              <w:t>）</w:t>
            </w: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粮油安全存储</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C201</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粮油安全生产培训</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C202</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restart"/>
            <w:tcMar>
              <w:top w:w="15" w:type="dxa"/>
              <w:left w:w="15" w:type="dxa"/>
              <w:right w:w="15" w:type="dxa"/>
            </w:tcMar>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轮换管理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C3</w:t>
            </w:r>
            <w:r>
              <w:rPr>
                <w:rFonts w:hint="eastAsia" w:ascii="宋体" w:hAnsi="宋体" w:eastAsia="宋体" w:cs="宋体"/>
                <w:b w:val="0"/>
                <w:bCs/>
                <w:sz w:val="24"/>
                <w:szCs w:val="24"/>
                <w:lang w:eastAsia="zh-CN"/>
              </w:rPr>
              <w:t>）</w:t>
            </w: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严格执行粮食出入管理制度</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C301</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3</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按时完成粮食轮换任务</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C302</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restart"/>
            <w:tcMar>
              <w:top w:w="15" w:type="dxa"/>
              <w:left w:w="15" w:type="dxa"/>
              <w:right w:w="15" w:type="dxa"/>
            </w:tcMar>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产出数量</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C4</w:t>
            </w:r>
            <w:r>
              <w:rPr>
                <w:rFonts w:hint="eastAsia" w:ascii="宋体" w:hAnsi="宋体" w:eastAsia="宋体" w:cs="宋体"/>
                <w:b w:val="0"/>
                <w:bCs/>
                <w:sz w:val="24"/>
                <w:szCs w:val="24"/>
                <w:lang w:eastAsia="zh-CN"/>
              </w:rPr>
              <w:t>）</w:t>
            </w:r>
          </w:p>
        </w:tc>
        <w:tc>
          <w:tcPr>
            <w:tcW w:w="2721" w:type="pct"/>
            <w:tcMar>
              <w:top w:w="15" w:type="dxa"/>
              <w:left w:w="15" w:type="dxa"/>
              <w:right w:w="15" w:type="dxa"/>
            </w:tcMar>
            <w:vAlign w:val="center"/>
          </w:tcPr>
          <w:p>
            <w:pPr>
              <w:widowControl/>
              <w:jc w:val="center"/>
              <w:textAlignment w:val="center"/>
              <w:rPr>
                <w:rFonts w:hint="default" w:ascii="宋体" w:hAnsi="宋体" w:eastAsia="宋体" w:cs="宋体"/>
                <w:b w:val="0"/>
                <w:bCs/>
                <w:sz w:val="24"/>
                <w:szCs w:val="24"/>
                <w:lang w:val="en-US" w:eastAsia="zh-CN"/>
              </w:rPr>
            </w:pPr>
            <w:r>
              <w:rPr>
                <w:rFonts w:hint="eastAsia" w:ascii="宋体" w:hAnsi="宋体" w:eastAsia="宋体" w:cs="宋体"/>
                <w:b w:val="0"/>
                <w:bCs/>
                <w:kern w:val="0"/>
                <w:sz w:val="24"/>
                <w:szCs w:val="24"/>
              </w:rPr>
              <w:t>存储小麦21500万斤</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C401</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存储食用油200万斤</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C402</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vMerge w:val="continue"/>
            <w:tcMar>
              <w:top w:w="15" w:type="dxa"/>
              <w:left w:w="15" w:type="dxa"/>
              <w:right w:w="15" w:type="dxa"/>
            </w:tcMar>
            <w:vAlign w:val="center"/>
          </w:tcPr>
          <w:p>
            <w:pPr>
              <w:jc w:val="center"/>
              <w:rPr>
                <w:rFonts w:hint="eastAsia" w:ascii="宋体" w:hAnsi="宋体" w:eastAsia="宋体" w:cs="宋体"/>
                <w:b w:val="0"/>
                <w:bCs/>
                <w:sz w:val="24"/>
                <w:szCs w:val="24"/>
              </w:rPr>
            </w:pP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存储小包装油100万斤</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C403</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pct"/>
            <w:tcMar>
              <w:top w:w="15" w:type="dxa"/>
              <w:left w:w="15" w:type="dxa"/>
              <w:right w:w="15" w:type="dxa"/>
            </w:tcMar>
            <w:vAlign w:val="center"/>
          </w:tcPr>
          <w:p>
            <w:pPr>
              <w:jc w:val="center"/>
              <w:rPr>
                <w:rFonts w:hint="eastAsia" w:ascii="宋体" w:hAnsi="宋体" w:eastAsia="宋体" w:cs="宋体"/>
                <w:b w:val="0"/>
                <w:bCs/>
                <w:sz w:val="24"/>
                <w:szCs w:val="24"/>
              </w:rPr>
            </w:pPr>
          </w:p>
        </w:tc>
        <w:tc>
          <w:tcPr>
            <w:tcW w:w="863" w:type="pct"/>
            <w:tcMar>
              <w:top w:w="15" w:type="dxa"/>
              <w:left w:w="15" w:type="dxa"/>
              <w:right w:w="15" w:type="dxa"/>
            </w:tcMar>
            <w:vAlign w:val="center"/>
          </w:tcPr>
          <w:p>
            <w:pPr>
              <w:jc w:val="center"/>
              <w:rPr>
                <w:rFonts w:hint="eastAsia" w:ascii="宋体" w:hAnsi="宋体" w:eastAsia="宋体" w:cs="宋体"/>
                <w:b w:val="0"/>
                <w:bCs/>
                <w:sz w:val="24"/>
                <w:szCs w:val="24"/>
              </w:rPr>
            </w:pPr>
            <w:r>
              <w:rPr>
                <w:rFonts w:hint="eastAsia" w:ascii="宋体" w:hAnsi="宋体" w:eastAsia="宋体" w:cs="宋体"/>
                <w:b w:val="0"/>
                <w:bCs/>
                <w:sz w:val="24"/>
                <w:szCs w:val="24"/>
              </w:rPr>
              <w:t>产出质量</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C5</w:t>
            </w:r>
            <w:r>
              <w:rPr>
                <w:rFonts w:hint="eastAsia" w:ascii="宋体" w:hAnsi="宋体" w:eastAsia="宋体" w:cs="宋体"/>
                <w:b w:val="0"/>
                <w:bCs/>
                <w:sz w:val="24"/>
                <w:szCs w:val="24"/>
                <w:lang w:eastAsia="zh-CN"/>
              </w:rPr>
              <w:t>）</w:t>
            </w:r>
          </w:p>
        </w:tc>
        <w:tc>
          <w:tcPr>
            <w:tcW w:w="2721"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轮换购入新粮质量达到100%</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C501</w:t>
            </w:r>
            <w:r>
              <w:rPr>
                <w:rFonts w:hint="eastAsia" w:ascii="宋体" w:hAnsi="宋体" w:eastAsia="宋体" w:cs="宋体"/>
                <w:b w:val="0"/>
                <w:bCs/>
                <w:sz w:val="24"/>
                <w:szCs w:val="24"/>
                <w:lang w:eastAsia="zh-CN"/>
              </w:rPr>
              <w:t>）</w:t>
            </w:r>
          </w:p>
        </w:tc>
        <w:tc>
          <w:tcPr>
            <w:tcW w:w="359"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w:t>
            </w:r>
          </w:p>
        </w:tc>
        <w:tc>
          <w:tcPr>
            <w:tcW w:w="360" w:type="pct"/>
            <w:tcMar>
              <w:top w:w="15" w:type="dxa"/>
              <w:left w:w="15" w:type="dxa"/>
              <w:right w:w="15" w:type="dxa"/>
            </w:tcMar>
            <w:vAlign w:val="center"/>
          </w:tcPr>
          <w:p>
            <w:pPr>
              <w:widowControl/>
              <w:jc w:val="center"/>
              <w:textAlignment w:val="center"/>
              <w:rPr>
                <w:rFonts w:hint="eastAsia" w:ascii="宋体" w:hAnsi="宋体" w:eastAsia="宋体" w:cs="宋体"/>
                <w:b w:val="0"/>
                <w:bCs/>
                <w:kern w:val="0"/>
                <w:sz w:val="24"/>
                <w:szCs w:val="24"/>
                <w:lang w:val="en-US" w:eastAsia="zh-CN" w:bidi="ar"/>
              </w:rPr>
            </w:pPr>
            <w:r>
              <w:rPr>
                <w:rFonts w:hint="eastAsia" w:ascii="宋体" w:hAnsi="宋体" w:eastAsia="宋体" w:cs="宋体"/>
                <w:b w:val="0"/>
                <w:bCs/>
                <w:kern w:val="0"/>
                <w:sz w:val="24"/>
                <w:szCs w:val="24"/>
                <w:lang w:val="en-US" w:eastAsia="zh-CN" w:bidi="ar"/>
              </w:rPr>
              <w:t>4</w:t>
            </w:r>
          </w:p>
        </w:tc>
      </w:tr>
    </w:tbl>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1、库存管理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w:t>
      </w:r>
      <w:r>
        <w:rPr>
          <w:rFonts w:hint="eastAsia" w:ascii="宋体" w:hAnsi="宋体" w:eastAsia="宋体" w:cs="宋体"/>
          <w:b w:val="0"/>
          <w:bCs/>
          <w:sz w:val="24"/>
          <w:szCs w:val="24"/>
          <w:lang w:eastAsia="zh-CN"/>
        </w:rPr>
        <w:t>）</w:t>
      </w:r>
      <w:r>
        <w:rPr>
          <w:rFonts w:hint="eastAsia" w:ascii="宋体" w:hAnsi="宋体" w:eastAsia="宋体" w:cs="宋体"/>
          <w:bCs/>
          <w:color w:val="auto"/>
          <w:sz w:val="28"/>
          <w:szCs w:val="28"/>
        </w:rPr>
        <w:t>：分值</w:t>
      </w:r>
      <w:r>
        <w:rPr>
          <w:rFonts w:hint="eastAsia" w:ascii="宋体" w:hAnsi="宋体" w:eastAsia="宋体" w:cs="宋体"/>
          <w:bCs/>
          <w:color w:val="auto"/>
          <w:sz w:val="28"/>
          <w:szCs w:val="28"/>
          <w:lang w:val="en-US" w:eastAsia="zh-CN"/>
        </w:rPr>
        <w:t>8</w:t>
      </w:r>
      <w:r>
        <w:rPr>
          <w:rFonts w:hint="eastAsia" w:ascii="宋体" w:hAnsi="宋体" w:eastAsia="宋体" w:cs="宋体"/>
          <w:bCs/>
          <w:color w:val="auto"/>
          <w:sz w:val="28"/>
          <w:szCs w:val="28"/>
        </w:rPr>
        <w:t>分，得分</w:t>
      </w:r>
      <w:r>
        <w:rPr>
          <w:rFonts w:hint="eastAsia" w:ascii="宋体" w:hAnsi="宋体" w:eastAsia="宋体" w:cs="宋体"/>
          <w:bCs/>
          <w:color w:val="auto"/>
          <w:sz w:val="28"/>
          <w:szCs w:val="28"/>
          <w:lang w:val="en-US" w:eastAsia="zh-CN"/>
        </w:rPr>
        <w:t>8</w:t>
      </w:r>
      <w:r>
        <w:rPr>
          <w:rFonts w:hint="eastAsia" w:ascii="宋体" w:hAnsi="宋体" w:eastAsia="宋体" w:cs="宋体"/>
          <w:bCs/>
          <w:color w:val="auto"/>
          <w:sz w:val="28"/>
          <w:szCs w:val="28"/>
        </w:rPr>
        <w:t>分</w:t>
      </w:r>
    </w:p>
    <w:p>
      <w:pPr>
        <w:pStyle w:val="2"/>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本指标用于反映粮食储备库存管理的规章制度。</w:t>
      </w:r>
    </w:p>
    <w:p>
      <w:pPr>
        <w:pStyle w:val="3"/>
        <w:numPr>
          <w:ilvl w:val="0"/>
          <w:numId w:val="2"/>
        </w:numPr>
        <w:ind w:firstLine="640"/>
        <w:rPr>
          <w:rFonts w:hint="eastAsia" w:ascii="宋体" w:hAnsi="宋体" w:eastAsia="宋体" w:cs="宋体"/>
          <w:color w:val="auto"/>
          <w:sz w:val="28"/>
          <w:szCs w:val="28"/>
        </w:rPr>
      </w:pPr>
      <w:r>
        <w:rPr>
          <w:rFonts w:hint="eastAsia" w:ascii="宋体" w:hAnsi="宋体" w:eastAsia="宋体" w:cs="宋体"/>
          <w:color w:val="auto"/>
          <w:sz w:val="28"/>
          <w:szCs w:val="28"/>
        </w:rPr>
        <w:t>达到“一符”标准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C101</w:t>
      </w:r>
      <w:r>
        <w:rPr>
          <w:rFonts w:hint="eastAsia" w:ascii="宋体" w:hAnsi="宋体" w:eastAsia="宋体" w:cs="宋体"/>
          <w:b w:val="0"/>
          <w:bCs/>
          <w:sz w:val="24"/>
          <w:szCs w:val="24"/>
          <w:lang w:eastAsia="zh-CN"/>
        </w:rPr>
        <w:t>）</w:t>
      </w:r>
      <w:r>
        <w:rPr>
          <w:rFonts w:hint="eastAsia" w:ascii="宋体" w:hAnsi="宋体" w:eastAsia="宋体" w:cs="宋体"/>
          <w:color w:val="auto"/>
          <w:sz w:val="28"/>
          <w:szCs w:val="28"/>
        </w:rPr>
        <w:t>，即账实相符，统计账、会计账与保管账相符，保管账与仓专卡相符，经核对，</w:t>
      </w:r>
      <w:r>
        <w:rPr>
          <w:rFonts w:hint="eastAsia" w:ascii="宋体" w:hAnsi="宋体" w:eastAsia="宋体" w:cs="宋体"/>
          <w:color w:val="auto"/>
          <w:sz w:val="28"/>
          <w:szCs w:val="28"/>
          <w:lang w:eastAsia="zh-CN"/>
        </w:rPr>
        <w:t>二</w:t>
      </w:r>
      <w:r>
        <w:rPr>
          <w:rFonts w:hint="eastAsia" w:ascii="宋体" w:hAnsi="宋体" w:eastAsia="宋体" w:cs="宋体"/>
          <w:color w:val="auto"/>
          <w:sz w:val="28"/>
          <w:szCs w:val="28"/>
        </w:rPr>
        <w:t>者均相符，得分</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分。</w:t>
      </w:r>
    </w:p>
    <w:p>
      <w:pPr>
        <w:numPr>
          <w:ilvl w:val="0"/>
          <w:numId w:val="2"/>
        </w:numPr>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rPr>
        <w:t>达到“三专”标准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C102</w:t>
      </w:r>
      <w:r>
        <w:rPr>
          <w:rFonts w:hint="eastAsia" w:ascii="宋体" w:hAnsi="宋体" w:eastAsia="宋体" w:cs="宋体"/>
          <w:b w:val="0"/>
          <w:bCs/>
          <w:sz w:val="24"/>
          <w:szCs w:val="24"/>
          <w:lang w:eastAsia="zh-CN"/>
        </w:rPr>
        <w:t>）</w:t>
      </w:r>
      <w:r>
        <w:rPr>
          <w:rFonts w:hint="eastAsia" w:ascii="宋体" w:hAnsi="宋体" w:eastAsia="宋体" w:cs="宋体"/>
          <w:bCs/>
          <w:color w:val="auto"/>
          <w:sz w:val="28"/>
          <w:szCs w:val="28"/>
        </w:rPr>
        <w:t>，即专仓储存，专人保管，专账记载。</w:t>
      </w:r>
      <w:r>
        <w:rPr>
          <w:rFonts w:hint="eastAsia" w:ascii="宋体" w:hAnsi="宋体" w:eastAsia="宋体" w:cs="宋体"/>
          <w:bCs/>
          <w:color w:val="auto"/>
          <w:sz w:val="28"/>
          <w:szCs w:val="28"/>
          <w:lang w:eastAsia="zh-CN"/>
        </w:rPr>
        <w:t>经过与相关人员核对，负责完善市级储备粮库实物台账的建立，定期向有关科室及上级主管部门报告库存管理情况，均相符，得分</w:t>
      </w:r>
      <w:r>
        <w:rPr>
          <w:rFonts w:hint="eastAsia" w:ascii="宋体" w:hAnsi="宋体" w:eastAsia="宋体" w:cs="宋体"/>
          <w:bCs/>
          <w:color w:val="auto"/>
          <w:sz w:val="28"/>
          <w:szCs w:val="28"/>
          <w:lang w:val="en-US" w:eastAsia="zh-CN"/>
        </w:rPr>
        <w:t>2分。</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rPr>
        <w:t>达到“四落实”</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C103</w:t>
      </w:r>
      <w:r>
        <w:rPr>
          <w:rFonts w:hint="eastAsia" w:ascii="宋体" w:hAnsi="宋体" w:eastAsia="宋体" w:cs="宋体"/>
          <w:b w:val="0"/>
          <w:bCs/>
          <w:sz w:val="24"/>
          <w:szCs w:val="24"/>
          <w:lang w:eastAsia="zh-CN"/>
        </w:rPr>
        <w:t>）</w:t>
      </w:r>
      <w:r>
        <w:rPr>
          <w:rFonts w:hint="eastAsia" w:ascii="宋体" w:hAnsi="宋体" w:eastAsia="宋体" w:cs="宋体"/>
          <w:bCs/>
          <w:color w:val="auto"/>
          <w:sz w:val="28"/>
          <w:szCs w:val="28"/>
        </w:rPr>
        <w:t>即数量落实、质量落实、品种落实、地点落实。</w:t>
      </w:r>
      <w:r>
        <w:rPr>
          <w:rFonts w:hint="eastAsia" w:ascii="宋体" w:hAnsi="宋体" w:eastAsia="宋体" w:cs="宋体"/>
          <w:bCs/>
          <w:color w:val="auto"/>
          <w:sz w:val="28"/>
          <w:szCs w:val="28"/>
          <w:lang w:eastAsia="zh-CN"/>
        </w:rPr>
        <w:t>根据《粮食仓储管理办法》中采用科学储粮技术，确保储备粮食真实、质量良好、储存安全，得分</w:t>
      </w:r>
      <w:r>
        <w:rPr>
          <w:rFonts w:hint="eastAsia" w:ascii="宋体" w:hAnsi="宋体" w:eastAsia="宋体" w:cs="宋体"/>
          <w:bCs/>
          <w:color w:val="auto"/>
          <w:sz w:val="28"/>
          <w:szCs w:val="28"/>
          <w:lang w:val="en-US" w:eastAsia="zh-CN"/>
        </w:rPr>
        <w:t>2分。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bCs/>
          <w:color w:val="auto"/>
          <w:sz w:val="28"/>
          <w:szCs w:val="28"/>
        </w:rPr>
        <w:t>（4）达到“</w:t>
      </w:r>
      <w:r>
        <w:rPr>
          <w:rFonts w:hint="eastAsia" w:ascii="宋体" w:hAnsi="宋体" w:eastAsia="宋体" w:cs="宋体"/>
          <w:bCs/>
          <w:color w:val="auto"/>
          <w:sz w:val="28"/>
          <w:szCs w:val="28"/>
          <w:lang w:eastAsia="zh-CN"/>
        </w:rPr>
        <w:t>六</w:t>
      </w:r>
      <w:r>
        <w:rPr>
          <w:rFonts w:hint="eastAsia" w:ascii="宋体" w:hAnsi="宋体" w:eastAsia="宋体" w:cs="宋体"/>
          <w:bCs/>
          <w:color w:val="auto"/>
          <w:sz w:val="28"/>
          <w:szCs w:val="28"/>
        </w:rPr>
        <w:t>无标准”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C104</w:t>
      </w:r>
      <w:r>
        <w:rPr>
          <w:rFonts w:hint="eastAsia" w:ascii="宋体" w:hAnsi="宋体" w:eastAsia="宋体" w:cs="宋体"/>
          <w:b w:val="0"/>
          <w:bCs/>
          <w:sz w:val="24"/>
          <w:szCs w:val="24"/>
          <w:lang w:eastAsia="zh-CN"/>
        </w:rPr>
        <w:t>）</w:t>
      </w:r>
      <w:r>
        <w:rPr>
          <w:rFonts w:hint="eastAsia" w:ascii="宋体" w:hAnsi="宋体" w:eastAsia="宋体" w:cs="宋体"/>
          <w:bCs/>
          <w:color w:val="auto"/>
          <w:sz w:val="28"/>
          <w:szCs w:val="28"/>
        </w:rPr>
        <w:t>是指无害虫、无鼠雀、无变质、无事故</w:t>
      </w:r>
      <w:r>
        <w:rPr>
          <w:rFonts w:hint="eastAsia" w:ascii="宋体" w:hAnsi="宋体" w:eastAsia="宋体" w:cs="宋体"/>
          <w:bCs/>
          <w:color w:val="auto"/>
          <w:sz w:val="28"/>
          <w:szCs w:val="28"/>
          <w:lang w:eastAsia="zh-CN"/>
        </w:rPr>
        <w:t>、无重度不宜存、无污染。加强储备粮的科学管理，尽量减少化学药剂用量，确保储粮品质，降低损耗，确保储粮仓房常年达到“六无粮仓”标准，对储备粮食的管理状况进行经常性检查，发现问题，及时处理，得分</w:t>
      </w:r>
      <w:r>
        <w:rPr>
          <w:rFonts w:hint="eastAsia" w:ascii="宋体" w:hAnsi="宋体" w:eastAsia="宋体" w:cs="宋体"/>
          <w:bCs/>
          <w:color w:val="auto"/>
          <w:sz w:val="28"/>
          <w:szCs w:val="28"/>
          <w:lang w:val="en-US" w:eastAsia="zh-CN"/>
        </w:rPr>
        <w:t>2分。</w:t>
      </w:r>
    </w:p>
    <w:p>
      <w:pPr>
        <w:spacing w:line="360" w:lineRule="auto"/>
        <w:ind w:firstLine="560" w:firstLineChars="200"/>
        <w:rPr>
          <w:rFonts w:hint="eastAsia" w:ascii="宋体" w:hAnsi="宋体" w:eastAsia="宋体" w:cs="宋体"/>
          <w:bCs/>
          <w:color w:val="000000"/>
          <w:sz w:val="28"/>
          <w:szCs w:val="28"/>
        </w:rPr>
      </w:pPr>
      <w:r>
        <w:rPr>
          <w:rFonts w:hint="eastAsia" w:ascii="宋体" w:hAnsi="宋体" w:eastAsia="宋体" w:cs="宋体"/>
          <w:bCs/>
          <w:color w:val="000000"/>
          <w:sz w:val="28"/>
          <w:szCs w:val="28"/>
        </w:rPr>
        <w:t>2、安全储粮</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C2</w:t>
      </w:r>
      <w:r>
        <w:rPr>
          <w:rFonts w:hint="eastAsia" w:ascii="宋体" w:hAnsi="宋体" w:eastAsia="宋体" w:cs="宋体"/>
          <w:b w:val="0"/>
          <w:bCs/>
          <w:sz w:val="24"/>
          <w:szCs w:val="24"/>
          <w:lang w:eastAsia="zh-CN"/>
        </w:rPr>
        <w:t>）</w:t>
      </w:r>
      <w:r>
        <w:rPr>
          <w:rFonts w:hint="eastAsia" w:ascii="宋体" w:hAnsi="宋体" w:eastAsia="宋体" w:cs="宋体"/>
          <w:bCs/>
          <w:color w:val="000000"/>
          <w:sz w:val="28"/>
          <w:szCs w:val="28"/>
        </w:rPr>
        <w:t>：分值</w:t>
      </w:r>
      <w:r>
        <w:rPr>
          <w:rFonts w:hint="eastAsia" w:ascii="宋体" w:hAnsi="宋体" w:eastAsia="宋体" w:cs="宋体"/>
          <w:bCs/>
          <w:color w:val="000000"/>
          <w:sz w:val="28"/>
          <w:szCs w:val="28"/>
          <w:lang w:val="en-US" w:eastAsia="zh-CN"/>
        </w:rPr>
        <w:t>7</w:t>
      </w:r>
      <w:r>
        <w:rPr>
          <w:rFonts w:hint="eastAsia" w:ascii="宋体" w:hAnsi="宋体" w:eastAsia="宋体" w:cs="宋体"/>
          <w:bCs/>
          <w:color w:val="000000"/>
          <w:sz w:val="28"/>
          <w:szCs w:val="28"/>
        </w:rPr>
        <w:t>分，得分</w:t>
      </w:r>
      <w:r>
        <w:rPr>
          <w:rFonts w:hint="eastAsia" w:ascii="宋体" w:hAnsi="宋体" w:eastAsia="宋体" w:cs="宋体"/>
          <w:bCs/>
          <w:color w:val="000000"/>
          <w:sz w:val="28"/>
          <w:szCs w:val="28"/>
          <w:lang w:val="en-US" w:eastAsia="zh-CN"/>
        </w:rPr>
        <w:t>4</w:t>
      </w:r>
      <w:r>
        <w:rPr>
          <w:rFonts w:hint="eastAsia" w:ascii="宋体" w:hAnsi="宋体" w:eastAsia="宋体" w:cs="宋体"/>
          <w:bCs/>
          <w:color w:val="000000"/>
          <w:sz w:val="28"/>
          <w:szCs w:val="28"/>
        </w:rPr>
        <w:t>分。</w:t>
      </w:r>
    </w:p>
    <w:p>
      <w:pPr>
        <w:spacing w:line="360" w:lineRule="auto"/>
        <w:ind w:firstLine="560" w:firstLineChars="200"/>
        <w:rPr>
          <w:rFonts w:hint="eastAsia" w:ascii="宋体" w:hAnsi="宋体" w:eastAsia="宋体" w:cs="宋体"/>
          <w:bCs/>
          <w:color w:val="000000"/>
          <w:sz w:val="28"/>
          <w:szCs w:val="28"/>
        </w:rPr>
      </w:pPr>
      <w:r>
        <w:rPr>
          <w:rFonts w:hint="eastAsia" w:ascii="宋体" w:hAnsi="宋体" w:eastAsia="宋体" w:cs="宋体"/>
          <w:bCs/>
          <w:sz w:val="28"/>
          <w:szCs w:val="28"/>
        </w:rPr>
        <w:t>（</w:t>
      </w:r>
      <w:r>
        <w:rPr>
          <w:rFonts w:hint="eastAsia" w:ascii="宋体" w:hAnsi="宋体" w:eastAsia="宋体" w:cs="宋体"/>
          <w:bCs/>
          <w:color w:val="000000"/>
          <w:sz w:val="28"/>
          <w:szCs w:val="28"/>
        </w:rPr>
        <w:t>1）粮油安全存储</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C201</w:t>
      </w:r>
      <w:r>
        <w:rPr>
          <w:rFonts w:hint="eastAsia" w:ascii="宋体" w:hAnsi="宋体" w:eastAsia="宋体" w:cs="宋体"/>
          <w:b w:val="0"/>
          <w:bCs/>
          <w:sz w:val="24"/>
          <w:szCs w:val="24"/>
          <w:lang w:eastAsia="zh-CN"/>
        </w:rPr>
        <w:t>）</w:t>
      </w:r>
      <w:r>
        <w:rPr>
          <w:rFonts w:hint="eastAsia" w:ascii="宋体" w:hAnsi="宋体" w:eastAsia="宋体" w:cs="宋体"/>
          <w:bCs/>
          <w:color w:val="000000"/>
          <w:sz w:val="28"/>
          <w:szCs w:val="28"/>
        </w:rPr>
        <w:t>，本指标用于反映粮食储备安全环境以及相应的措施。</w:t>
      </w:r>
    </w:p>
    <w:p>
      <w:pPr>
        <w:spacing w:line="360" w:lineRule="auto"/>
        <w:ind w:firstLine="560" w:firstLineChars="200"/>
        <w:rPr>
          <w:rFonts w:hint="eastAsia" w:ascii="宋体" w:hAnsi="宋体" w:eastAsia="宋体" w:cs="宋体"/>
          <w:bCs/>
          <w:color w:val="000000"/>
          <w:sz w:val="28"/>
          <w:szCs w:val="28"/>
        </w:rPr>
      </w:pPr>
      <w:r>
        <w:rPr>
          <w:rFonts w:hint="eastAsia" w:ascii="宋体" w:hAnsi="宋体" w:eastAsia="宋体" w:cs="宋体"/>
          <w:bCs/>
          <w:color w:val="000000"/>
          <w:sz w:val="28"/>
          <w:szCs w:val="28"/>
        </w:rPr>
        <w:t>经询问，实地抽查空港库6座，各库粮仓均为高大平房仓，能够安全承载粮堆，满足储粮的防潮、气密、隔热的要求。每个仓库都配有轴流风机，气调设备，环流熏蒸设备，电子粮情检测系统，保证每个仓的粮食能够排湿，排热，调整仓库氧气含量，控制虫害的孳生和蔓延，抑制霉菌繁殖，延化粮食品质的陈化。随时检测粮温，查看粮情，分析粮情。为了防止火灾的发生，储备库在库区配备4只推车式50KG干粉，2只推车式35KG干粉，21只手提式8KG干粉等灭火器材。评价小组认为储备库具有储备粮食相适应的设备、仓库，消防安全设施配置齐全，得分</w:t>
      </w:r>
      <w:r>
        <w:rPr>
          <w:rFonts w:hint="eastAsia" w:ascii="宋体" w:hAnsi="宋体" w:eastAsia="宋体" w:cs="宋体"/>
          <w:bCs/>
          <w:color w:val="000000"/>
          <w:sz w:val="28"/>
          <w:szCs w:val="28"/>
          <w:lang w:val="en-US" w:eastAsia="zh-CN"/>
        </w:rPr>
        <w:t>1</w:t>
      </w:r>
      <w:r>
        <w:rPr>
          <w:rFonts w:hint="eastAsia" w:ascii="宋体" w:hAnsi="宋体" w:eastAsia="宋体" w:cs="宋体"/>
          <w:bCs/>
          <w:color w:val="000000"/>
          <w:sz w:val="28"/>
          <w:szCs w:val="28"/>
        </w:rPr>
        <w:t>分。</w:t>
      </w:r>
    </w:p>
    <w:p>
      <w:pPr>
        <w:spacing w:line="360" w:lineRule="auto"/>
        <w:ind w:firstLine="560" w:firstLineChars="200"/>
        <w:rPr>
          <w:rFonts w:hint="eastAsia" w:ascii="宋体" w:hAnsi="宋体" w:eastAsia="宋体" w:cs="宋体"/>
          <w:bCs/>
          <w:color w:val="000000"/>
          <w:sz w:val="28"/>
          <w:szCs w:val="28"/>
        </w:rPr>
      </w:pPr>
      <w:r>
        <w:rPr>
          <w:rFonts w:hint="eastAsia" w:ascii="宋体" w:hAnsi="宋体" w:eastAsia="宋体" w:cs="宋体"/>
          <w:bCs/>
          <w:color w:val="000000"/>
          <w:sz w:val="28"/>
          <w:szCs w:val="28"/>
        </w:rPr>
        <w:t>根据本单位制定的安全生产应急管理制度中，规范了应急管理制度，提高应对风险和重大事故的能力，将应急管理分为“预防、准备、响应和恢复”四个过程，制定</w:t>
      </w:r>
      <w:r>
        <w:rPr>
          <w:rFonts w:hint="eastAsia" w:ascii="宋体" w:hAnsi="宋体" w:eastAsia="宋体" w:cs="宋体"/>
          <w:sz w:val="28"/>
          <w:szCs w:val="28"/>
        </w:rPr>
        <w:t>突发事件应急预案、出入库安全应急预案、防火应急工作预案、灭火和应急疏散预案、防震工作应急救援预案等，根据评分标准</w:t>
      </w:r>
      <w:r>
        <w:rPr>
          <w:rFonts w:hint="eastAsia" w:ascii="宋体" w:hAnsi="宋体" w:eastAsia="宋体" w:cs="宋体"/>
          <w:bCs/>
          <w:color w:val="000000"/>
          <w:sz w:val="28"/>
          <w:szCs w:val="28"/>
        </w:rPr>
        <w:t>得分</w:t>
      </w:r>
      <w:r>
        <w:rPr>
          <w:rFonts w:hint="eastAsia" w:ascii="宋体" w:hAnsi="宋体" w:eastAsia="宋体" w:cs="宋体"/>
          <w:bCs/>
          <w:color w:val="000000"/>
          <w:sz w:val="28"/>
          <w:szCs w:val="28"/>
          <w:lang w:val="en-US" w:eastAsia="zh-CN"/>
        </w:rPr>
        <w:t>1</w:t>
      </w:r>
      <w:r>
        <w:rPr>
          <w:rFonts w:hint="eastAsia" w:ascii="宋体" w:hAnsi="宋体" w:eastAsia="宋体" w:cs="宋体"/>
          <w:bCs/>
          <w:color w:val="000000"/>
          <w:sz w:val="28"/>
          <w:szCs w:val="28"/>
        </w:rPr>
        <w:t>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bCs/>
          <w:sz w:val="28"/>
          <w:szCs w:val="28"/>
        </w:rPr>
        <w:t>具有相当数量的经过专业培训，并取得有关部门颁发资格证书的粮油保管员、检验、防治等管理技术人员，根据资料核实，</w:t>
      </w:r>
      <w:r>
        <w:rPr>
          <w:rFonts w:hint="eastAsia" w:ascii="宋体" w:hAnsi="宋体" w:eastAsia="宋体" w:cs="宋体"/>
          <w:sz w:val="28"/>
          <w:szCs w:val="28"/>
        </w:rPr>
        <w:t>储备库现有保管人员38人，其中：中级保管员9人，初级保管员29人；检验人员19人，其中：中级5人，初级14人。以上人员都取得国家颁发的证书，能保障储备库的需求。根据评分标准，本指标得分</w:t>
      </w:r>
      <w:r>
        <w:rPr>
          <w:rFonts w:hint="eastAsia" w:ascii="宋体" w:hAnsi="宋体" w:eastAsia="宋体" w:cs="宋体"/>
          <w:sz w:val="28"/>
          <w:szCs w:val="28"/>
          <w:lang w:val="en-US" w:eastAsia="zh-CN"/>
        </w:rPr>
        <w:t>1</w:t>
      </w:r>
      <w:r>
        <w:rPr>
          <w:rFonts w:hint="eastAsia" w:ascii="宋体" w:hAnsi="宋体" w:eastAsia="宋体" w:cs="宋体"/>
          <w:sz w:val="28"/>
          <w:szCs w:val="28"/>
        </w:rPr>
        <w:t>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综上所述，本指标得分</w:t>
      </w:r>
      <w:r>
        <w:rPr>
          <w:rFonts w:hint="eastAsia" w:ascii="宋体" w:hAnsi="宋体" w:eastAsia="宋体" w:cs="宋体"/>
          <w:sz w:val="28"/>
          <w:szCs w:val="28"/>
          <w:lang w:val="en-US" w:eastAsia="zh-CN"/>
        </w:rPr>
        <w:t>3</w:t>
      </w:r>
      <w:r>
        <w:rPr>
          <w:rFonts w:hint="eastAsia" w:ascii="宋体" w:hAnsi="宋体" w:eastAsia="宋体" w:cs="宋体"/>
          <w:sz w:val="28"/>
          <w:szCs w:val="28"/>
        </w:rPr>
        <w:t>分。</w:t>
      </w:r>
    </w:p>
    <w:p>
      <w:pPr>
        <w:pStyle w:val="13"/>
        <w:spacing w:after="0"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（2）粮油安全生产培训</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C202</w:t>
      </w:r>
      <w:r>
        <w:rPr>
          <w:rFonts w:hint="eastAsia" w:ascii="宋体" w:hAnsi="宋体" w:eastAsia="宋体" w:cs="宋体"/>
          <w:b w:val="0"/>
          <w:bCs/>
          <w:sz w:val="24"/>
          <w:szCs w:val="24"/>
          <w:lang w:eastAsia="zh-CN"/>
        </w:rPr>
        <w:t>）</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运城市地方粮食战略储备库，未制定员工定期培训制度、也没有年度培训计划，根据评分标准扣除</w:t>
      </w:r>
      <w:r>
        <w:rPr>
          <w:rFonts w:hint="eastAsia" w:ascii="宋体" w:hAnsi="宋体" w:eastAsia="宋体" w:cs="宋体"/>
          <w:sz w:val="28"/>
          <w:szCs w:val="28"/>
          <w:lang w:val="en-US" w:eastAsia="zh-CN"/>
        </w:rPr>
        <w:t>2</w:t>
      </w:r>
      <w:r>
        <w:rPr>
          <w:rFonts w:hint="eastAsia" w:ascii="宋体" w:hAnsi="宋体" w:eastAsia="宋体" w:cs="宋体"/>
          <w:sz w:val="28"/>
          <w:szCs w:val="28"/>
        </w:rPr>
        <w:t>分，不得分。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有培训通知及相关内容，根据评分标准得</w:t>
      </w:r>
      <w:r>
        <w:rPr>
          <w:rFonts w:hint="eastAsia" w:ascii="宋体" w:hAnsi="宋体" w:eastAsia="宋体" w:cs="宋体"/>
          <w:sz w:val="28"/>
          <w:szCs w:val="28"/>
          <w:lang w:val="en-US" w:eastAsia="zh-CN"/>
        </w:rPr>
        <w:t>1</w:t>
      </w:r>
      <w:r>
        <w:rPr>
          <w:rFonts w:hint="eastAsia" w:ascii="宋体" w:hAnsi="宋体" w:eastAsia="宋体" w:cs="宋体"/>
          <w:sz w:val="28"/>
          <w:szCs w:val="28"/>
        </w:rPr>
        <w:t>分</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有培训人员但没有签到记录，扣除1分</w:t>
      </w:r>
      <w:r>
        <w:rPr>
          <w:rFonts w:hint="eastAsia" w:ascii="宋体" w:hAnsi="宋体" w:eastAsia="宋体" w:cs="宋体"/>
          <w:sz w:val="28"/>
          <w:szCs w:val="28"/>
          <w:lang w:eastAsia="zh-CN"/>
        </w:rPr>
        <w:t>。</w:t>
      </w:r>
    </w:p>
    <w:p>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rPr>
        <w:t>综上所述，本指标综合得分</w:t>
      </w:r>
      <w:r>
        <w:rPr>
          <w:rFonts w:hint="eastAsia" w:ascii="宋体" w:hAnsi="宋体" w:eastAsia="宋体" w:cs="宋体"/>
          <w:sz w:val="28"/>
          <w:szCs w:val="28"/>
          <w:lang w:val="en-US" w:eastAsia="zh-CN"/>
        </w:rPr>
        <w:t>1</w:t>
      </w:r>
      <w:r>
        <w:rPr>
          <w:rFonts w:hint="eastAsia" w:ascii="宋体" w:hAnsi="宋体" w:eastAsia="宋体" w:cs="宋体"/>
          <w:sz w:val="28"/>
          <w:szCs w:val="28"/>
        </w:rPr>
        <w:t>分</w:t>
      </w:r>
      <w:r>
        <w:rPr>
          <w:rFonts w:hint="eastAsia" w:ascii="宋体" w:hAnsi="宋体" w:eastAsia="宋体" w:cs="宋体"/>
          <w:sz w:val="28"/>
          <w:szCs w:val="28"/>
          <w:lang w:eastAsia="zh-CN"/>
        </w:rPr>
        <w:t>。</w:t>
      </w:r>
    </w:p>
    <w:p>
      <w:pPr>
        <w:numPr>
          <w:ilvl w:val="0"/>
          <w:numId w:val="3"/>
        </w:num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轮换管理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C3</w:t>
      </w:r>
      <w:r>
        <w:rPr>
          <w:rFonts w:hint="eastAsia" w:ascii="宋体" w:hAnsi="宋体" w:eastAsia="宋体" w:cs="宋体"/>
          <w:b w:val="0"/>
          <w:bCs/>
          <w:sz w:val="24"/>
          <w:szCs w:val="24"/>
          <w:lang w:eastAsia="zh-CN"/>
        </w:rPr>
        <w:t>）</w:t>
      </w:r>
      <w:r>
        <w:rPr>
          <w:rFonts w:hint="eastAsia" w:ascii="宋体" w:hAnsi="宋体" w:eastAsia="宋体" w:cs="宋体"/>
          <w:bCs/>
          <w:sz w:val="28"/>
          <w:szCs w:val="28"/>
        </w:rPr>
        <w:t>：分值</w:t>
      </w:r>
      <w:r>
        <w:rPr>
          <w:rFonts w:hint="eastAsia" w:ascii="宋体" w:hAnsi="宋体" w:eastAsia="宋体" w:cs="宋体"/>
          <w:bCs/>
          <w:sz w:val="28"/>
          <w:szCs w:val="28"/>
          <w:lang w:val="en-US" w:eastAsia="zh-CN"/>
        </w:rPr>
        <w:t>5</w:t>
      </w:r>
      <w:r>
        <w:rPr>
          <w:rFonts w:hint="eastAsia" w:ascii="宋体" w:hAnsi="宋体" w:eastAsia="宋体" w:cs="宋体"/>
          <w:bCs/>
          <w:sz w:val="28"/>
          <w:szCs w:val="28"/>
        </w:rPr>
        <w:t>分，得分</w:t>
      </w:r>
      <w:r>
        <w:rPr>
          <w:rFonts w:hint="eastAsia" w:ascii="宋体" w:hAnsi="宋体" w:eastAsia="宋体" w:cs="宋体"/>
          <w:bCs/>
          <w:sz w:val="28"/>
          <w:szCs w:val="28"/>
          <w:lang w:val="en-US" w:eastAsia="zh-CN"/>
        </w:rPr>
        <w:t>5</w:t>
      </w:r>
      <w:r>
        <w:rPr>
          <w:rFonts w:hint="eastAsia" w:ascii="宋体" w:hAnsi="宋体" w:eastAsia="宋体" w:cs="宋体"/>
          <w:bCs/>
          <w:sz w:val="28"/>
          <w:szCs w:val="28"/>
        </w:rPr>
        <w:t>分。</w:t>
      </w:r>
    </w:p>
    <w:p>
      <w:pPr>
        <w:pStyle w:val="13"/>
        <w:spacing w:after="0" w:line="360" w:lineRule="auto"/>
        <w:ind w:firstLine="840" w:firstLineChars="300"/>
        <w:rPr>
          <w:rFonts w:hint="eastAsia" w:ascii="宋体" w:hAnsi="宋体" w:eastAsia="宋体" w:cs="宋体"/>
          <w:bCs/>
          <w:sz w:val="28"/>
          <w:szCs w:val="28"/>
        </w:rPr>
      </w:pPr>
      <w:r>
        <w:rPr>
          <w:rFonts w:hint="eastAsia" w:ascii="宋体" w:hAnsi="宋体" w:eastAsia="宋体" w:cs="宋体"/>
          <w:bCs/>
          <w:sz w:val="28"/>
          <w:szCs w:val="28"/>
        </w:rPr>
        <w:t>严格执行粮食出入库管理制度，用于评价轮换品种、数量或比例是否按计划完成。</w:t>
      </w:r>
    </w:p>
    <w:p>
      <w:pPr>
        <w:pStyle w:val="13"/>
        <w:numPr>
          <w:ilvl w:val="0"/>
          <w:numId w:val="4"/>
        </w:numPr>
        <w:spacing w:after="0"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运城市发改委以运发改储函（2021）7号文下达2021年度市级储备粮油轮换计划,要求2021年度市级储备小麦轮换计划于2021年8月底前完成，数量32,939.426吨。</w:t>
      </w:r>
    </w:p>
    <w:p>
      <w:pPr>
        <w:pStyle w:val="13"/>
        <w:spacing w:after="0" w:line="360" w:lineRule="auto"/>
        <w:ind w:firstLine="320"/>
        <w:rPr>
          <w:rFonts w:hint="eastAsia" w:ascii="宋体" w:hAnsi="宋体" w:eastAsia="宋体" w:cs="宋体"/>
          <w:bCs/>
          <w:sz w:val="28"/>
          <w:szCs w:val="28"/>
        </w:rPr>
      </w:pPr>
      <w:r>
        <w:rPr>
          <w:rFonts w:hint="eastAsia" w:ascii="宋体" w:hAnsi="宋体" w:eastAsia="宋体" w:cs="宋体"/>
          <w:bCs/>
          <w:sz w:val="28"/>
          <w:szCs w:val="28"/>
        </w:rPr>
        <w:t>（2）通过审阅2021年度小麦轮换统计账、库存台账，2021年度小麦轮换均于本年度8月底完成。</w:t>
      </w:r>
    </w:p>
    <w:p>
      <w:pPr>
        <w:numPr>
          <w:ilvl w:val="0"/>
          <w:numId w:val="3"/>
        </w:numPr>
        <w:spacing w:line="360" w:lineRule="auto"/>
        <w:ind w:firstLine="560" w:firstLineChars="200"/>
        <w:rPr>
          <w:rFonts w:hint="eastAsia" w:ascii="宋体" w:hAnsi="宋体" w:eastAsia="宋体" w:cs="宋体"/>
          <w:bCs/>
          <w:sz w:val="28"/>
          <w:szCs w:val="28"/>
          <w:lang w:eastAsia="zh-CN"/>
        </w:rPr>
      </w:pPr>
      <w:r>
        <w:rPr>
          <w:rFonts w:hint="eastAsia" w:ascii="宋体" w:hAnsi="宋体" w:eastAsia="宋体" w:cs="宋体"/>
          <w:bCs/>
          <w:sz w:val="28"/>
          <w:szCs w:val="28"/>
        </w:rPr>
        <w:t>产出数量</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C4</w:t>
      </w:r>
      <w:r>
        <w:rPr>
          <w:rFonts w:hint="eastAsia" w:ascii="宋体" w:hAnsi="宋体" w:eastAsia="宋体" w:cs="宋体"/>
          <w:b w:val="0"/>
          <w:bCs/>
          <w:sz w:val="24"/>
          <w:szCs w:val="24"/>
          <w:lang w:eastAsia="zh-CN"/>
        </w:rPr>
        <w:t>）</w:t>
      </w:r>
      <w:r>
        <w:rPr>
          <w:rFonts w:hint="eastAsia" w:ascii="宋体" w:hAnsi="宋体" w:eastAsia="宋体" w:cs="宋体"/>
          <w:bCs/>
          <w:sz w:val="28"/>
          <w:szCs w:val="28"/>
          <w:lang w:eastAsia="zh-CN"/>
        </w:rPr>
        <w:t>：</w:t>
      </w:r>
      <w:r>
        <w:rPr>
          <w:rFonts w:hint="eastAsia" w:ascii="宋体" w:hAnsi="宋体" w:eastAsia="宋体" w:cs="宋体"/>
          <w:bCs/>
          <w:sz w:val="28"/>
          <w:szCs w:val="28"/>
        </w:rPr>
        <w:t>分值</w:t>
      </w:r>
      <w:r>
        <w:rPr>
          <w:rFonts w:hint="eastAsia" w:ascii="宋体" w:hAnsi="宋体" w:eastAsia="宋体" w:cs="宋体"/>
          <w:bCs/>
          <w:sz w:val="28"/>
          <w:szCs w:val="28"/>
          <w:lang w:val="en-US" w:eastAsia="zh-CN"/>
        </w:rPr>
        <w:t>6</w:t>
      </w:r>
      <w:r>
        <w:rPr>
          <w:rFonts w:hint="eastAsia" w:ascii="宋体" w:hAnsi="宋体" w:eastAsia="宋体" w:cs="宋体"/>
          <w:bCs/>
          <w:sz w:val="28"/>
          <w:szCs w:val="28"/>
        </w:rPr>
        <w:t>分，得分</w:t>
      </w:r>
      <w:r>
        <w:rPr>
          <w:rFonts w:hint="eastAsia" w:ascii="宋体" w:hAnsi="宋体" w:eastAsia="宋体" w:cs="宋体"/>
          <w:bCs/>
          <w:sz w:val="28"/>
          <w:szCs w:val="28"/>
          <w:lang w:val="en-US" w:eastAsia="zh-CN"/>
        </w:rPr>
        <w:t>6</w:t>
      </w:r>
      <w:r>
        <w:rPr>
          <w:rFonts w:hint="eastAsia" w:ascii="宋体" w:hAnsi="宋体" w:eastAsia="宋体" w:cs="宋体"/>
          <w:bCs/>
          <w:sz w:val="28"/>
          <w:szCs w:val="28"/>
        </w:rPr>
        <w:t>分。</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sz w:val="28"/>
          <w:szCs w:val="28"/>
        </w:rPr>
        <w:t>查阅相关资料、询问、实地抽查，市级储备粮，空港库存9036万斤、上郭库存800万斤、栲栳库存1860万斤、卿头库存1160万斤、稷山库存1484万斤、新绛库存2000万斤、闻喜库存4066万斤、礼元库存1094万斤，合计21500万斤，完成100%，得分</w:t>
      </w:r>
      <w:r>
        <w:rPr>
          <w:rFonts w:hint="eastAsia" w:ascii="宋体" w:hAnsi="宋体" w:eastAsia="宋体" w:cs="宋体"/>
          <w:sz w:val="28"/>
          <w:szCs w:val="28"/>
          <w:lang w:val="en-US" w:eastAsia="zh-CN"/>
        </w:rPr>
        <w:t>2</w:t>
      </w:r>
      <w:r>
        <w:rPr>
          <w:rFonts w:hint="eastAsia" w:ascii="宋体" w:hAnsi="宋体" w:eastAsia="宋体" w:cs="宋体"/>
          <w:sz w:val="28"/>
          <w:szCs w:val="28"/>
        </w:rPr>
        <w:t>分。200万斤散装储备油存储在盐湖区工业园晟浩粮油公司，6-3(471152Kg）、6-4(466830Kg)、6-5(62018Kg)油罐内，完成100%，得</w:t>
      </w:r>
      <w:r>
        <w:rPr>
          <w:rFonts w:hint="eastAsia" w:ascii="宋体" w:hAnsi="宋体" w:eastAsia="宋体" w:cs="宋体"/>
          <w:sz w:val="28"/>
          <w:szCs w:val="28"/>
          <w:lang w:val="en-US" w:eastAsia="zh-CN"/>
        </w:rPr>
        <w:t>2</w:t>
      </w:r>
      <w:r>
        <w:rPr>
          <w:rFonts w:hint="eastAsia" w:ascii="宋体" w:hAnsi="宋体" w:eastAsia="宋体" w:cs="宋体"/>
          <w:sz w:val="28"/>
          <w:szCs w:val="28"/>
        </w:rPr>
        <w:t>分。100万斤小包装储备油，分别存储在棉麻库1号库55万斤（15000箱），盐湖区工业园晟浩粮油公司3号库45万斤（12285桶）完成100%，得</w:t>
      </w:r>
      <w:r>
        <w:rPr>
          <w:rFonts w:hint="eastAsia" w:ascii="宋体" w:hAnsi="宋体" w:eastAsia="宋体" w:cs="宋体"/>
          <w:sz w:val="28"/>
          <w:szCs w:val="28"/>
          <w:lang w:val="en-US" w:eastAsia="zh-CN"/>
        </w:rPr>
        <w:t>2</w:t>
      </w:r>
      <w:r>
        <w:rPr>
          <w:rFonts w:hint="eastAsia" w:ascii="宋体" w:hAnsi="宋体" w:eastAsia="宋体" w:cs="宋体"/>
          <w:sz w:val="28"/>
          <w:szCs w:val="28"/>
        </w:rPr>
        <w:t>分。综上所述，</w:t>
      </w:r>
      <w:r>
        <w:rPr>
          <w:rFonts w:hint="eastAsia" w:ascii="宋体" w:hAnsi="宋体" w:eastAsia="宋体" w:cs="宋体"/>
          <w:bCs/>
          <w:sz w:val="28"/>
          <w:szCs w:val="28"/>
        </w:rPr>
        <w:t>本指标综合得分</w:t>
      </w:r>
      <w:r>
        <w:rPr>
          <w:rFonts w:hint="eastAsia" w:ascii="宋体" w:hAnsi="宋体" w:eastAsia="宋体" w:cs="宋体"/>
          <w:bCs/>
          <w:sz w:val="28"/>
          <w:szCs w:val="28"/>
          <w:lang w:val="en-US" w:eastAsia="zh-CN"/>
        </w:rPr>
        <w:t>6</w:t>
      </w:r>
      <w:r>
        <w:rPr>
          <w:rFonts w:hint="eastAsia" w:ascii="宋体" w:hAnsi="宋体" w:eastAsia="宋体" w:cs="宋体"/>
          <w:bCs/>
          <w:sz w:val="28"/>
          <w:szCs w:val="28"/>
        </w:rPr>
        <w:t>分。</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5、产出质量</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C5</w:t>
      </w:r>
      <w:r>
        <w:rPr>
          <w:rFonts w:hint="eastAsia" w:ascii="宋体" w:hAnsi="宋体" w:eastAsia="宋体" w:cs="宋体"/>
          <w:b w:val="0"/>
          <w:bCs/>
          <w:sz w:val="24"/>
          <w:szCs w:val="24"/>
          <w:lang w:eastAsia="zh-CN"/>
        </w:rPr>
        <w:t>）</w:t>
      </w:r>
      <w:r>
        <w:rPr>
          <w:rFonts w:hint="eastAsia" w:ascii="宋体" w:hAnsi="宋体" w:eastAsia="宋体" w:cs="宋体"/>
          <w:bCs/>
          <w:sz w:val="28"/>
          <w:szCs w:val="28"/>
        </w:rPr>
        <w:t>：分值</w:t>
      </w:r>
      <w:r>
        <w:rPr>
          <w:rFonts w:hint="eastAsia" w:ascii="宋体" w:hAnsi="宋体" w:eastAsia="宋体" w:cs="宋体"/>
          <w:bCs/>
          <w:sz w:val="28"/>
          <w:szCs w:val="28"/>
          <w:lang w:val="en-US" w:eastAsia="zh-CN"/>
        </w:rPr>
        <w:t>4</w:t>
      </w:r>
      <w:r>
        <w:rPr>
          <w:rFonts w:hint="eastAsia" w:ascii="宋体" w:hAnsi="宋体" w:eastAsia="宋体" w:cs="宋体"/>
          <w:bCs/>
          <w:sz w:val="28"/>
          <w:szCs w:val="28"/>
        </w:rPr>
        <w:t>分，得分</w:t>
      </w:r>
      <w:r>
        <w:rPr>
          <w:rFonts w:hint="eastAsia" w:ascii="宋体" w:hAnsi="宋体" w:eastAsia="宋体" w:cs="宋体"/>
          <w:bCs/>
          <w:sz w:val="28"/>
          <w:szCs w:val="28"/>
          <w:lang w:val="en-US" w:eastAsia="zh-CN"/>
        </w:rPr>
        <w:t>4</w:t>
      </w:r>
      <w:r>
        <w:rPr>
          <w:rFonts w:hint="eastAsia" w:ascii="宋体" w:hAnsi="宋体" w:eastAsia="宋体" w:cs="宋体"/>
          <w:bCs/>
          <w:sz w:val="28"/>
          <w:szCs w:val="28"/>
        </w:rPr>
        <w:t>分。</w:t>
      </w:r>
    </w:p>
    <w:p>
      <w:pPr>
        <w:spacing w:line="360" w:lineRule="auto"/>
        <w:ind w:firstLine="560" w:firstLineChars="200"/>
        <w:rPr>
          <w:rFonts w:hint="eastAsia" w:ascii="宋体" w:hAnsi="宋体" w:eastAsia="宋体" w:cs="宋体"/>
          <w:bCs/>
          <w:sz w:val="28"/>
          <w:szCs w:val="28"/>
        </w:rPr>
      </w:pPr>
      <w:r>
        <w:rPr>
          <w:rFonts w:hint="eastAsia" w:ascii="宋体" w:hAnsi="宋体" w:eastAsia="宋体" w:cs="宋体"/>
          <w:bCs/>
          <w:sz w:val="28"/>
          <w:szCs w:val="28"/>
        </w:rPr>
        <w:t>轮换入库和存储期间粮油达到质量等级标准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C501</w:t>
      </w:r>
      <w:r>
        <w:rPr>
          <w:rFonts w:hint="eastAsia" w:ascii="宋体" w:hAnsi="宋体" w:eastAsia="宋体" w:cs="宋体"/>
          <w:b w:val="0"/>
          <w:bCs/>
          <w:sz w:val="24"/>
          <w:szCs w:val="24"/>
          <w:lang w:eastAsia="zh-CN"/>
        </w:rPr>
        <w:t>）</w:t>
      </w:r>
      <w:r>
        <w:rPr>
          <w:rFonts w:hint="eastAsia" w:ascii="宋体" w:hAnsi="宋体" w:eastAsia="宋体" w:cs="宋体"/>
          <w:bCs/>
          <w:sz w:val="28"/>
          <w:szCs w:val="28"/>
        </w:rPr>
        <w:t>：分值</w:t>
      </w:r>
      <w:r>
        <w:rPr>
          <w:rFonts w:hint="eastAsia" w:ascii="宋体" w:hAnsi="宋体" w:eastAsia="宋体" w:cs="宋体"/>
          <w:bCs/>
          <w:sz w:val="28"/>
          <w:szCs w:val="28"/>
          <w:lang w:val="en-US" w:eastAsia="zh-CN"/>
        </w:rPr>
        <w:t>4</w:t>
      </w:r>
      <w:r>
        <w:rPr>
          <w:rFonts w:hint="eastAsia" w:ascii="宋体" w:hAnsi="宋体" w:eastAsia="宋体" w:cs="宋体"/>
          <w:bCs/>
          <w:sz w:val="28"/>
          <w:szCs w:val="28"/>
        </w:rPr>
        <w:t>分，得分</w:t>
      </w:r>
      <w:r>
        <w:rPr>
          <w:rFonts w:hint="eastAsia" w:ascii="宋体" w:hAnsi="宋体" w:eastAsia="宋体" w:cs="宋体"/>
          <w:bCs/>
          <w:sz w:val="28"/>
          <w:szCs w:val="28"/>
          <w:lang w:val="en-US" w:eastAsia="zh-CN"/>
        </w:rPr>
        <w:t>4</w:t>
      </w:r>
      <w:r>
        <w:rPr>
          <w:rFonts w:hint="eastAsia" w:ascii="宋体" w:hAnsi="宋体" w:eastAsia="宋体" w:cs="宋体"/>
          <w:bCs/>
          <w:sz w:val="28"/>
          <w:szCs w:val="28"/>
        </w:rPr>
        <w:t>分。</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经查阅2021年入库检测报告及入库检测统计表，2021年秋季库存质量检验报告及质量检验情况统计表，入库及存储的粮油都符合质量等级要求及国家卫生标准。根据评分标准，得</w:t>
      </w:r>
      <w:r>
        <w:rPr>
          <w:rFonts w:hint="eastAsia" w:ascii="宋体" w:hAnsi="宋体" w:eastAsia="宋体" w:cs="宋体"/>
          <w:sz w:val="28"/>
          <w:szCs w:val="28"/>
          <w:lang w:val="en-US" w:eastAsia="zh-CN"/>
        </w:rPr>
        <w:t>4</w:t>
      </w:r>
      <w:r>
        <w:rPr>
          <w:rFonts w:hint="eastAsia" w:ascii="宋体" w:hAnsi="宋体" w:eastAsia="宋体" w:cs="宋体"/>
          <w:sz w:val="28"/>
          <w:szCs w:val="28"/>
        </w:rPr>
        <w:t>分。</w:t>
      </w:r>
    </w:p>
    <w:p>
      <w:pPr>
        <w:spacing w:line="360" w:lineRule="auto"/>
        <w:ind w:firstLine="560" w:firstLineChars="200"/>
        <w:outlineLvl w:val="1"/>
        <w:rPr>
          <w:rFonts w:hint="eastAsia" w:ascii="宋体" w:hAnsi="宋体" w:eastAsia="宋体" w:cs="宋体"/>
          <w:b w:val="0"/>
          <w:bCs/>
          <w:sz w:val="28"/>
          <w:szCs w:val="28"/>
        </w:rPr>
      </w:pPr>
      <w:bookmarkStart w:id="173" w:name="_Toc14805"/>
      <w:bookmarkStart w:id="174" w:name="_Toc31803"/>
      <w:bookmarkStart w:id="175" w:name="_Toc8743"/>
      <w:r>
        <w:rPr>
          <w:rFonts w:hint="eastAsia" w:ascii="宋体" w:hAnsi="宋体" w:eastAsia="宋体" w:cs="宋体"/>
          <w:b w:val="0"/>
          <w:bCs/>
          <w:sz w:val="28"/>
          <w:szCs w:val="28"/>
        </w:rPr>
        <w:t>（四）项目效益情况分析</w:t>
      </w:r>
      <w:bookmarkEnd w:id="173"/>
      <w:bookmarkEnd w:id="174"/>
      <w:bookmarkEnd w:id="175"/>
    </w:p>
    <w:p>
      <w:pPr>
        <w:pStyle w:val="24"/>
        <w:spacing w:line="360" w:lineRule="auto"/>
        <w:ind w:firstLine="640"/>
        <w:rPr>
          <w:rFonts w:hint="eastAsia" w:ascii="宋体" w:hAnsi="宋体" w:eastAsia="宋体" w:cs="宋体"/>
          <w:b w:val="0"/>
          <w:bCs/>
          <w:sz w:val="28"/>
          <w:szCs w:val="28"/>
        </w:rPr>
      </w:pPr>
      <w:r>
        <w:rPr>
          <w:rFonts w:hint="eastAsia" w:ascii="宋体" w:hAnsi="宋体" w:eastAsia="宋体" w:cs="宋体"/>
          <w:b w:val="0"/>
          <w:bCs/>
          <w:sz w:val="28"/>
          <w:szCs w:val="28"/>
        </w:rPr>
        <w:t>效益类指标从项目效益进行考察。</w:t>
      </w:r>
    </w:p>
    <w:p>
      <w:pPr>
        <w:pStyle w:val="24"/>
        <w:spacing w:line="360" w:lineRule="auto"/>
        <w:ind w:firstLine="643"/>
        <w:rPr>
          <w:rFonts w:hint="eastAsia" w:ascii="宋体" w:hAnsi="宋体" w:eastAsia="宋体" w:cs="宋体"/>
          <w:sz w:val="28"/>
          <w:szCs w:val="28"/>
        </w:rPr>
      </w:pPr>
      <w:r>
        <w:rPr>
          <w:rFonts w:hint="eastAsia" w:ascii="宋体" w:hAnsi="宋体" w:eastAsia="宋体" w:cs="宋体"/>
          <w:b w:val="0"/>
          <w:bCs/>
          <w:sz w:val="28"/>
          <w:szCs w:val="28"/>
        </w:rPr>
        <w:t>项目效益：分</w:t>
      </w:r>
      <w:r>
        <w:rPr>
          <w:rFonts w:hint="eastAsia" w:ascii="宋体" w:hAnsi="宋体" w:eastAsia="宋体" w:cs="宋体"/>
          <w:sz w:val="28"/>
          <w:szCs w:val="28"/>
        </w:rPr>
        <w:t>值共计</w:t>
      </w:r>
      <w:r>
        <w:rPr>
          <w:rFonts w:hint="eastAsia" w:ascii="宋体" w:hAnsi="宋体" w:cs="宋体"/>
          <w:sz w:val="28"/>
          <w:szCs w:val="28"/>
          <w:lang w:val="en-US" w:eastAsia="zh-CN"/>
        </w:rPr>
        <w:t>30</w:t>
      </w:r>
      <w:r>
        <w:rPr>
          <w:rFonts w:hint="eastAsia" w:ascii="宋体" w:hAnsi="宋体" w:eastAsia="宋体" w:cs="宋体"/>
          <w:sz w:val="28"/>
          <w:szCs w:val="28"/>
        </w:rPr>
        <w:t>分，本项目实际得分为</w:t>
      </w:r>
      <w:r>
        <w:rPr>
          <w:rFonts w:hint="eastAsia" w:ascii="宋体" w:hAnsi="宋体" w:cs="宋体"/>
          <w:sz w:val="28"/>
          <w:szCs w:val="28"/>
          <w:lang w:val="en-US" w:eastAsia="zh-CN"/>
        </w:rPr>
        <w:t>30</w:t>
      </w:r>
      <w:r>
        <w:rPr>
          <w:rFonts w:hint="eastAsia" w:ascii="宋体" w:hAnsi="宋体" w:eastAsia="宋体" w:cs="宋体"/>
          <w:sz w:val="28"/>
          <w:szCs w:val="28"/>
        </w:rPr>
        <w:t>分，各项考评指标得分情况见下表：</w:t>
      </w:r>
    </w:p>
    <w:p>
      <w:pPr>
        <w:spacing w:line="360" w:lineRule="auto"/>
        <w:jc w:val="center"/>
        <w:rPr>
          <w:rFonts w:hint="eastAsia" w:ascii="宋体" w:hAnsi="宋体" w:eastAsia="宋体" w:cs="宋体"/>
          <w:b w:val="0"/>
          <w:bCs w:val="0"/>
          <w:sz w:val="28"/>
          <w:szCs w:val="28"/>
        </w:rPr>
      </w:pPr>
      <w:bookmarkStart w:id="176" w:name="_Toc30897"/>
      <w:r>
        <w:rPr>
          <w:rFonts w:hint="eastAsia" w:ascii="宋体" w:hAnsi="宋体" w:eastAsia="宋体" w:cs="宋体"/>
          <w:b w:val="0"/>
          <w:bCs w:val="0"/>
          <w:sz w:val="28"/>
          <w:szCs w:val="28"/>
        </w:rPr>
        <w:t>项目效益类指标得分情况</w:t>
      </w:r>
      <w:bookmarkEnd w:id="176"/>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4"/>
        <w:gridCol w:w="1962"/>
        <w:gridCol w:w="3894"/>
        <w:gridCol w:w="808"/>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874" w:type="pct"/>
            <w:shd w:val="clear" w:color="auto" w:fill="C8C8C8"/>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一级指标</w:t>
            </w:r>
          </w:p>
        </w:tc>
        <w:tc>
          <w:tcPr>
            <w:tcW w:w="1083" w:type="pct"/>
            <w:shd w:val="clear" w:color="auto" w:fill="C8C8C8"/>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二级指标</w:t>
            </w:r>
          </w:p>
        </w:tc>
        <w:tc>
          <w:tcPr>
            <w:tcW w:w="2149" w:type="pct"/>
            <w:shd w:val="clear" w:color="auto" w:fill="C8C8C8"/>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三级指标</w:t>
            </w:r>
          </w:p>
        </w:tc>
        <w:tc>
          <w:tcPr>
            <w:tcW w:w="446" w:type="pct"/>
            <w:shd w:val="clear" w:color="auto" w:fill="C8C8C8"/>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分值</w:t>
            </w:r>
          </w:p>
        </w:tc>
        <w:tc>
          <w:tcPr>
            <w:tcW w:w="446" w:type="pct"/>
            <w:shd w:val="clear" w:color="auto" w:fill="C8C8C8"/>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4" w:type="pct"/>
            <w:vMerge w:val="restart"/>
            <w:tcMar>
              <w:top w:w="10" w:type="dxa"/>
              <w:left w:w="10" w:type="dxa"/>
              <w:right w:w="10" w:type="dxa"/>
            </w:tcMar>
            <w:vAlign w:val="center"/>
          </w:tcPr>
          <w:p>
            <w:pPr>
              <w:jc w:val="center"/>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kern w:val="0"/>
                <w:sz w:val="24"/>
                <w:szCs w:val="24"/>
                <w:lang w:bidi="ar"/>
              </w:rPr>
              <w:t>效益类</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w:t>
            </w:r>
            <w:r>
              <w:rPr>
                <w:rFonts w:hint="eastAsia" w:ascii="宋体" w:hAnsi="宋体" w:eastAsia="宋体" w:cs="宋体"/>
                <w:b w:val="0"/>
                <w:bCs/>
                <w:color w:val="000000"/>
                <w:kern w:val="0"/>
                <w:sz w:val="24"/>
                <w:szCs w:val="24"/>
                <w:lang w:eastAsia="zh-CN" w:bidi="ar"/>
              </w:rPr>
              <w:t>）</w:t>
            </w:r>
          </w:p>
        </w:tc>
        <w:tc>
          <w:tcPr>
            <w:tcW w:w="1083" w:type="pct"/>
            <w:vMerge w:val="restart"/>
            <w:shd w:val="clear" w:color="auto" w:fill="auto"/>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社会效益</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D1</w:t>
            </w:r>
            <w:r>
              <w:rPr>
                <w:rFonts w:hint="eastAsia" w:ascii="宋体" w:hAnsi="宋体" w:eastAsia="宋体" w:cs="宋体"/>
                <w:b w:val="0"/>
                <w:bCs/>
                <w:color w:val="000000"/>
                <w:kern w:val="0"/>
                <w:sz w:val="24"/>
                <w:szCs w:val="24"/>
                <w:lang w:eastAsia="zh-CN" w:bidi="ar"/>
              </w:rPr>
              <w:t>）</w:t>
            </w:r>
          </w:p>
        </w:tc>
        <w:tc>
          <w:tcPr>
            <w:tcW w:w="2149" w:type="pct"/>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储备粮油数量真实、质量完好，确保满足市政府调动需求</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D101</w:t>
            </w:r>
            <w:r>
              <w:rPr>
                <w:rFonts w:hint="eastAsia" w:ascii="宋体" w:hAnsi="宋体" w:eastAsia="宋体" w:cs="宋体"/>
                <w:b w:val="0"/>
                <w:bCs/>
                <w:color w:val="000000"/>
                <w:kern w:val="0"/>
                <w:sz w:val="24"/>
                <w:szCs w:val="24"/>
                <w:lang w:eastAsia="zh-CN" w:bidi="ar"/>
              </w:rPr>
              <w:t>）</w:t>
            </w:r>
          </w:p>
        </w:tc>
        <w:tc>
          <w:tcPr>
            <w:tcW w:w="446" w:type="pct"/>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eastAsia="zh-CN"/>
              </w:rPr>
              <w:t>5</w:t>
            </w:r>
          </w:p>
        </w:tc>
        <w:tc>
          <w:tcPr>
            <w:tcW w:w="808" w:type="dxa"/>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4" w:type="pct"/>
            <w:vMerge w:val="continue"/>
            <w:tcMar>
              <w:top w:w="10" w:type="dxa"/>
              <w:left w:w="10" w:type="dxa"/>
              <w:right w:w="10" w:type="dxa"/>
            </w:tcMar>
            <w:vAlign w:val="center"/>
          </w:tcPr>
          <w:p>
            <w:pPr>
              <w:jc w:val="center"/>
              <w:rPr>
                <w:rFonts w:hint="eastAsia" w:ascii="宋体" w:hAnsi="宋体" w:eastAsia="宋体" w:cs="宋体"/>
                <w:b w:val="0"/>
                <w:bCs/>
                <w:color w:val="000000"/>
                <w:sz w:val="24"/>
                <w:szCs w:val="24"/>
              </w:rPr>
            </w:pPr>
          </w:p>
        </w:tc>
        <w:tc>
          <w:tcPr>
            <w:tcW w:w="1083" w:type="pct"/>
            <w:vMerge w:val="continue"/>
            <w:shd w:val="clear" w:color="auto" w:fill="auto"/>
            <w:tcMar>
              <w:top w:w="10" w:type="dxa"/>
              <w:left w:w="10" w:type="dxa"/>
              <w:right w:w="10" w:type="dxa"/>
            </w:tcMar>
            <w:vAlign w:val="center"/>
          </w:tcPr>
          <w:p>
            <w:pPr>
              <w:jc w:val="center"/>
              <w:rPr>
                <w:rFonts w:hint="eastAsia" w:ascii="宋体" w:hAnsi="宋体" w:eastAsia="宋体" w:cs="宋体"/>
                <w:b w:val="0"/>
                <w:bCs/>
                <w:color w:val="000000"/>
                <w:sz w:val="24"/>
                <w:szCs w:val="24"/>
              </w:rPr>
            </w:pPr>
          </w:p>
        </w:tc>
        <w:tc>
          <w:tcPr>
            <w:tcW w:w="2149" w:type="pct"/>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维护粮食市场稳定</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D102</w:t>
            </w:r>
            <w:r>
              <w:rPr>
                <w:rFonts w:hint="eastAsia" w:ascii="宋体" w:hAnsi="宋体" w:eastAsia="宋体" w:cs="宋体"/>
                <w:b w:val="0"/>
                <w:bCs/>
                <w:color w:val="000000"/>
                <w:kern w:val="0"/>
                <w:sz w:val="24"/>
                <w:szCs w:val="24"/>
                <w:lang w:eastAsia="zh-CN" w:bidi="ar"/>
              </w:rPr>
              <w:t>）</w:t>
            </w:r>
          </w:p>
        </w:tc>
        <w:tc>
          <w:tcPr>
            <w:tcW w:w="446" w:type="pct"/>
            <w:tcMar>
              <w:top w:w="10" w:type="dxa"/>
              <w:left w:w="10" w:type="dxa"/>
              <w:right w:w="10"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5</w:t>
            </w:r>
          </w:p>
        </w:tc>
        <w:tc>
          <w:tcPr>
            <w:tcW w:w="808" w:type="dxa"/>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4" w:type="pct"/>
            <w:vMerge w:val="continue"/>
            <w:tcMar>
              <w:top w:w="10" w:type="dxa"/>
              <w:left w:w="10" w:type="dxa"/>
              <w:right w:w="10" w:type="dxa"/>
            </w:tcMar>
            <w:vAlign w:val="center"/>
          </w:tcPr>
          <w:p>
            <w:pPr>
              <w:jc w:val="center"/>
              <w:rPr>
                <w:rFonts w:hint="eastAsia" w:ascii="宋体" w:hAnsi="宋体" w:eastAsia="宋体" w:cs="宋体"/>
                <w:b w:val="0"/>
                <w:bCs/>
                <w:color w:val="000000"/>
                <w:sz w:val="24"/>
                <w:szCs w:val="24"/>
              </w:rPr>
            </w:pPr>
          </w:p>
        </w:tc>
        <w:tc>
          <w:tcPr>
            <w:tcW w:w="1083" w:type="pct"/>
            <w:shd w:val="clear" w:color="auto" w:fill="auto"/>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可持续影响</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D2</w:t>
            </w:r>
            <w:r>
              <w:rPr>
                <w:rFonts w:hint="eastAsia" w:ascii="宋体" w:hAnsi="宋体" w:eastAsia="宋体" w:cs="宋体"/>
                <w:b w:val="0"/>
                <w:bCs/>
                <w:color w:val="000000"/>
                <w:kern w:val="0"/>
                <w:sz w:val="24"/>
                <w:szCs w:val="24"/>
                <w:lang w:eastAsia="zh-CN" w:bidi="ar"/>
              </w:rPr>
              <w:t>）</w:t>
            </w:r>
          </w:p>
        </w:tc>
        <w:tc>
          <w:tcPr>
            <w:tcW w:w="2149" w:type="pct"/>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可持续影响</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D201</w:t>
            </w:r>
            <w:r>
              <w:rPr>
                <w:rFonts w:hint="eastAsia" w:ascii="宋体" w:hAnsi="宋体" w:eastAsia="宋体" w:cs="宋体"/>
                <w:b w:val="0"/>
                <w:bCs/>
                <w:color w:val="000000"/>
                <w:kern w:val="0"/>
                <w:sz w:val="24"/>
                <w:szCs w:val="24"/>
                <w:lang w:eastAsia="zh-CN" w:bidi="ar"/>
              </w:rPr>
              <w:t>）</w:t>
            </w:r>
          </w:p>
        </w:tc>
        <w:tc>
          <w:tcPr>
            <w:tcW w:w="446" w:type="pct"/>
            <w:tcMar>
              <w:top w:w="10" w:type="dxa"/>
              <w:left w:w="10" w:type="dxa"/>
              <w:right w:w="10"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10</w:t>
            </w:r>
          </w:p>
        </w:tc>
        <w:tc>
          <w:tcPr>
            <w:tcW w:w="808" w:type="dxa"/>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4" w:type="pct"/>
            <w:vMerge w:val="continue"/>
            <w:tcMar>
              <w:top w:w="10" w:type="dxa"/>
              <w:left w:w="10" w:type="dxa"/>
              <w:right w:w="10" w:type="dxa"/>
            </w:tcMar>
            <w:vAlign w:val="center"/>
          </w:tcPr>
          <w:p>
            <w:pPr>
              <w:jc w:val="center"/>
              <w:rPr>
                <w:rFonts w:hint="eastAsia" w:ascii="宋体" w:hAnsi="宋体" w:eastAsia="宋体" w:cs="宋体"/>
                <w:b w:val="0"/>
                <w:bCs/>
                <w:color w:val="000000"/>
                <w:sz w:val="24"/>
                <w:szCs w:val="24"/>
              </w:rPr>
            </w:pPr>
          </w:p>
        </w:tc>
        <w:tc>
          <w:tcPr>
            <w:tcW w:w="1083" w:type="pct"/>
            <w:shd w:val="clear" w:color="auto" w:fill="auto"/>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生态效益</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D3</w:t>
            </w:r>
            <w:r>
              <w:rPr>
                <w:rFonts w:hint="eastAsia" w:ascii="宋体" w:hAnsi="宋体" w:eastAsia="宋体" w:cs="宋体"/>
                <w:b w:val="0"/>
                <w:bCs/>
                <w:color w:val="000000"/>
                <w:kern w:val="0"/>
                <w:sz w:val="24"/>
                <w:szCs w:val="24"/>
                <w:lang w:eastAsia="zh-CN" w:bidi="ar"/>
              </w:rPr>
              <w:t>）</w:t>
            </w:r>
          </w:p>
        </w:tc>
        <w:tc>
          <w:tcPr>
            <w:tcW w:w="2149" w:type="pct"/>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提高抗灾能力</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D301</w:t>
            </w:r>
            <w:r>
              <w:rPr>
                <w:rFonts w:hint="eastAsia" w:ascii="宋体" w:hAnsi="宋体" w:eastAsia="宋体" w:cs="宋体"/>
                <w:b w:val="0"/>
                <w:bCs/>
                <w:color w:val="000000"/>
                <w:kern w:val="0"/>
                <w:sz w:val="24"/>
                <w:szCs w:val="24"/>
                <w:lang w:eastAsia="zh-CN" w:bidi="ar"/>
              </w:rPr>
              <w:t>）</w:t>
            </w:r>
          </w:p>
        </w:tc>
        <w:tc>
          <w:tcPr>
            <w:tcW w:w="446" w:type="pct"/>
            <w:tcMar>
              <w:top w:w="10" w:type="dxa"/>
              <w:left w:w="10" w:type="dxa"/>
              <w:right w:w="10"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10</w:t>
            </w:r>
          </w:p>
        </w:tc>
        <w:tc>
          <w:tcPr>
            <w:tcW w:w="808" w:type="dxa"/>
            <w:tcMar>
              <w:top w:w="10" w:type="dxa"/>
              <w:left w:w="10" w:type="dxa"/>
              <w:right w:w="10"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val="en-US" w:eastAsia="zh-CN" w:bidi="ar"/>
              </w:rPr>
              <w:t>10</w:t>
            </w:r>
          </w:p>
        </w:tc>
      </w:tr>
    </w:tbl>
    <w:p>
      <w:pPr>
        <w:numPr>
          <w:ilvl w:val="0"/>
          <w:numId w:val="5"/>
        </w:numPr>
        <w:spacing w:line="360" w:lineRule="auto"/>
        <w:ind w:firstLine="640"/>
        <w:rPr>
          <w:rFonts w:hint="eastAsia" w:ascii="宋体" w:hAnsi="宋体" w:eastAsia="宋体" w:cs="宋体"/>
          <w:bCs/>
          <w:sz w:val="28"/>
          <w:szCs w:val="28"/>
        </w:rPr>
      </w:pPr>
      <w:bookmarkStart w:id="177" w:name="_Toc13370"/>
      <w:r>
        <w:rPr>
          <w:rFonts w:hint="eastAsia" w:ascii="宋体" w:hAnsi="宋体" w:eastAsia="宋体" w:cs="宋体"/>
          <w:sz w:val="28"/>
          <w:szCs w:val="28"/>
        </w:rPr>
        <w:t>社会效益</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D1</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sz w:val="28"/>
          <w:szCs w:val="28"/>
        </w:rPr>
        <w:t>：分值</w:t>
      </w:r>
      <w:r>
        <w:rPr>
          <w:rFonts w:hint="eastAsia" w:ascii="宋体" w:hAnsi="宋体" w:eastAsia="宋体" w:cs="宋体"/>
          <w:sz w:val="28"/>
          <w:szCs w:val="28"/>
          <w:lang w:val="en-US" w:eastAsia="zh-CN"/>
        </w:rPr>
        <w:t>10</w:t>
      </w:r>
      <w:r>
        <w:rPr>
          <w:rFonts w:hint="eastAsia" w:ascii="宋体" w:hAnsi="宋体" w:eastAsia="宋体" w:cs="宋体"/>
          <w:sz w:val="28"/>
          <w:szCs w:val="28"/>
        </w:rPr>
        <w:t>分，得分</w:t>
      </w:r>
      <w:r>
        <w:rPr>
          <w:rFonts w:hint="eastAsia" w:ascii="宋体" w:hAnsi="宋体" w:eastAsia="宋体" w:cs="宋体"/>
          <w:sz w:val="28"/>
          <w:szCs w:val="28"/>
          <w:lang w:val="en-US" w:eastAsia="zh-CN"/>
        </w:rPr>
        <w:t>10</w:t>
      </w:r>
      <w:r>
        <w:rPr>
          <w:rFonts w:hint="eastAsia" w:ascii="宋体" w:hAnsi="宋体" w:eastAsia="宋体" w:cs="宋体"/>
          <w:sz w:val="28"/>
          <w:szCs w:val="28"/>
        </w:rPr>
        <w:t>分。</w:t>
      </w:r>
      <w:bookmarkEnd w:id="177"/>
    </w:p>
    <w:p>
      <w:pPr>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粮食储备对调控区内粮食市场的稳定及应对特大灾害或突发事件的社会效益。</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粮食储备是市场供求的“调节器”。粮食产量受粮食价格、气候状况、粮食政策等众多因素影响, 年度之间波动幅度较大,而粮食作为生活必需品,其消费刚性较强,因而必须通过“储备”调剂年度之间的余缺。</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粮食储备是救灾应急的“蓄水池”。近年来自然灾害频繁发生,救灾应急历来是政府储备粮食的重要功能。</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粮食储备是战略安全的“保护伞”。粮食安全在我国始终是个战略问题,而储备粮则是维护我国战略安全的“保护伞”。</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通过调查问卷得知，地方粮食战略储备库有限责任公司在维护粮食价格、救灾应急等方面的引领力作用还是巨大。</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综上所述，本指标得分10分。</w:t>
      </w:r>
      <w:bookmarkStart w:id="178" w:name="_Toc31641"/>
    </w:p>
    <w:p>
      <w:pPr>
        <w:numPr>
          <w:ilvl w:val="0"/>
          <w:numId w:val="5"/>
        </w:numPr>
        <w:spacing w:line="360" w:lineRule="auto"/>
        <w:ind w:firstLine="64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可持续影响</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D2</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kern w:val="2"/>
          <w:sz w:val="28"/>
          <w:szCs w:val="28"/>
          <w:lang w:val="en-US" w:eastAsia="zh-CN" w:bidi="ar-SA"/>
        </w:rPr>
        <w:t>：分值10分，得分</w:t>
      </w:r>
      <w:bookmarkEnd w:id="178"/>
      <w:r>
        <w:rPr>
          <w:rFonts w:hint="eastAsia" w:ascii="宋体" w:hAnsi="宋体" w:eastAsia="宋体" w:cs="宋体"/>
          <w:kern w:val="2"/>
          <w:sz w:val="28"/>
          <w:szCs w:val="28"/>
          <w:lang w:val="en-US" w:eastAsia="zh-CN" w:bidi="ar-SA"/>
        </w:rPr>
        <w:t>10分。</w:t>
      </w:r>
      <w:bookmarkStart w:id="179" w:name="_Toc20794"/>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安全问题一直是全社会关注的重大问题，随着国内经济转型和经济发展，城市化、工业化的推进，开发力度不断加大和人均收入的增长及生活方式的变化，导致粮食需求增加及土地、劳力、资本、技术等生产要素的转移，使我国粮食面临严峻的挑战，粮食储备显得尤为重要，为此政府出台的粮食相关的法律法规，保证粮食企业科学储粮，政府给予经费补贴，保障粮食储备的健康发展。综上所述，本指标得分10分。</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（3）生态效益</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b w:val="0"/>
          <w:bCs/>
          <w:color w:val="000000"/>
          <w:kern w:val="0"/>
          <w:sz w:val="24"/>
          <w:szCs w:val="24"/>
          <w:lang w:val="en-US" w:eastAsia="zh-CN" w:bidi="ar"/>
        </w:rPr>
        <w:t>D3</w:t>
      </w:r>
      <w:r>
        <w:rPr>
          <w:rFonts w:hint="eastAsia" w:ascii="宋体" w:hAnsi="宋体" w:eastAsia="宋体" w:cs="宋体"/>
          <w:b w:val="0"/>
          <w:bCs/>
          <w:color w:val="000000"/>
          <w:kern w:val="0"/>
          <w:sz w:val="24"/>
          <w:szCs w:val="24"/>
          <w:lang w:eastAsia="zh-CN" w:bidi="ar"/>
        </w:rPr>
        <w:t>）</w:t>
      </w:r>
      <w:r>
        <w:rPr>
          <w:rFonts w:hint="eastAsia" w:ascii="宋体" w:hAnsi="宋体" w:eastAsia="宋体" w:cs="宋体"/>
          <w:kern w:val="2"/>
          <w:sz w:val="28"/>
          <w:szCs w:val="28"/>
          <w:lang w:val="en-US" w:eastAsia="zh-CN" w:bidi="ar-SA"/>
        </w:rPr>
        <w:t>：分值10分，得分10分。</w:t>
      </w:r>
      <w:bookmarkEnd w:id="179"/>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要不断提升粮食生产防灾减灾能力，深入落实“藏粮于地，藏粮于技”，持续推进高标准农田建设，强化农业生产气象保障服务，提升防灾减灾气象服务水平，进一步提升粮食安全保障水平。</w:t>
      </w:r>
    </w:p>
    <w:p>
      <w:pPr>
        <w:pStyle w:val="24"/>
        <w:spacing w:line="360" w:lineRule="auto"/>
        <w:ind w:firstLine="643"/>
        <w:outlineLvl w:val="0"/>
        <w:rPr>
          <w:rFonts w:hint="eastAsia" w:ascii="宋体" w:hAnsi="宋体" w:eastAsia="宋体" w:cs="宋体"/>
          <w:b/>
          <w:bCs/>
          <w:sz w:val="28"/>
          <w:szCs w:val="28"/>
        </w:rPr>
      </w:pPr>
      <w:bookmarkStart w:id="180" w:name="_Toc16391"/>
      <w:bookmarkStart w:id="181" w:name="_Toc22198"/>
      <w:bookmarkStart w:id="182" w:name="_Toc6279"/>
      <w:bookmarkStart w:id="183" w:name="_Toc24880"/>
      <w:bookmarkStart w:id="184" w:name="_Toc10621"/>
      <w:bookmarkStart w:id="185" w:name="_Toc16724"/>
      <w:bookmarkStart w:id="186" w:name="_Toc26895"/>
      <w:r>
        <w:rPr>
          <w:rFonts w:hint="eastAsia" w:ascii="宋体" w:hAnsi="宋体" w:eastAsia="宋体" w:cs="宋体"/>
          <w:b/>
          <w:bCs/>
          <w:sz w:val="28"/>
          <w:szCs w:val="28"/>
        </w:rPr>
        <w:t>四、综合评价情况及评价结论</w:t>
      </w:r>
      <w:bookmarkEnd w:id="180"/>
      <w:bookmarkEnd w:id="181"/>
      <w:bookmarkEnd w:id="182"/>
    </w:p>
    <w:bookmarkEnd w:id="183"/>
    <w:bookmarkEnd w:id="184"/>
    <w:bookmarkEnd w:id="185"/>
    <w:bookmarkEnd w:id="186"/>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通过对2021储备粮油管理费、轮换费项目财政支出资金决策类、过程类、产出类、效益类四方面进行评价，根据各项指标得分情况，2021储备粮油管理费、轮换费项目财政支出绩效评价总体得分为</w:t>
      </w:r>
      <w:r>
        <w:rPr>
          <w:rFonts w:hint="eastAsia" w:ascii="宋体" w:hAnsi="宋体" w:eastAsia="宋体" w:cs="宋体"/>
          <w:sz w:val="28"/>
          <w:szCs w:val="28"/>
          <w:lang w:val="en-US" w:eastAsia="zh-CN"/>
        </w:rPr>
        <w:t>93</w:t>
      </w:r>
      <w:r>
        <w:rPr>
          <w:rFonts w:hint="eastAsia" w:ascii="宋体" w:hAnsi="宋体" w:eastAsia="宋体" w:cs="宋体"/>
          <w:sz w:val="28"/>
          <w:szCs w:val="28"/>
        </w:rPr>
        <w:t>分，综合绩效评价等级为“优”。具体情况如下表：</w:t>
      </w:r>
    </w:p>
    <w:p>
      <w:pPr>
        <w:adjustRightInd w:val="0"/>
        <w:snapToGrid w:val="0"/>
        <w:spacing w:line="360" w:lineRule="auto"/>
        <w:jc w:val="center"/>
        <w:rPr>
          <w:rFonts w:hint="eastAsia" w:ascii="宋体" w:hAnsi="宋体" w:eastAsia="宋体" w:cs="宋体"/>
          <w:b w:val="0"/>
          <w:bCs w:val="0"/>
          <w:sz w:val="28"/>
          <w:szCs w:val="28"/>
        </w:rPr>
      </w:pPr>
      <w:bookmarkStart w:id="187" w:name="_Toc3009"/>
      <w:r>
        <w:rPr>
          <w:rFonts w:hint="eastAsia" w:ascii="宋体" w:hAnsi="宋体" w:eastAsia="宋体" w:cs="宋体"/>
          <w:b w:val="0"/>
          <w:bCs w:val="0"/>
          <w:sz w:val="28"/>
          <w:szCs w:val="28"/>
        </w:rPr>
        <w:t>绩效评价一级指标得分情况</w:t>
      </w:r>
      <w:bookmarkEnd w:id="187"/>
    </w:p>
    <w:tbl>
      <w:tblPr>
        <w:tblStyle w:val="14"/>
        <w:tblpPr w:leftFromText="180" w:rightFromText="180" w:vertAnchor="text" w:horzAnchor="page" w:tblpXSpec="center" w:tblpY="30"/>
        <w:tblOverlap w:val="never"/>
        <w:tblW w:w="4997" w:type="pct"/>
        <w:jc w:val="center"/>
        <w:tblLayout w:type="autofit"/>
        <w:tblCellMar>
          <w:top w:w="0" w:type="dxa"/>
          <w:left w:w="108" w:type="dxa"/>
          <w:bottom w:w="0" w:type="dxa"/>
          <w:right w:w="108" w:type="dxa"/>
        </w:tblCellMar>
      </w:tblPr>
      <w:tblGrid>
        <w:gridCol w:w="1857"/>
        <w:gridCol w:w="1483"/>
        <w:gridCol w:w="1483"/>
        <w:gridCol w:w="1833"/>
        <w:gridCol w:w="1483"/>
        <w:gridCol w:w="1111"/>
      </w:tblGrid>
      <w:tr>
        <w:trPr>
          <w:trHeight w:val="397" w:hRule="atLeast"/>
          <w:jc w:val="center"/>
        </w:trPr>
        <w:tc>
          <w:tcPr>
            <w:tcW w:w="1003"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adjustRightInd w:val="0"/>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评级指标</w:t>
            </w:r>
          </w:p>
        </w:tc>
        <w:tc>
          <w:tcPr>
            <w:tcW w:w="801"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adjustRightInd w:val="0"/>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决策类</w:t>
            </w:r>
          </w:p>
        </w:tc>
        <w:tc>
          <w:tcPr>
            <w:tcW w:w="801"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adjustRightInd w:val="0"/>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过程类</w:t>
            </w:r>
          </w:p>
        </w:tc>
        <w:tc>
          <w:tcPr>
            <w:tcW w:w="990"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adjustRightInd w:val="0"/>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产出类</w:t>
            </w:r>
          </w:p>
        </w:tc>
        <w:tc>
          <w:tcPr>
            <w:tcW w:w="801" w:type="pct"/>
            <w:tcBorders>
              <w:top w:val="single" w:color="auto" w:sz="4" w:space="0"/>
              <w:left w:val="nil"/>
              <w:bottom w:val="single" w:color="auto" w:sz="4" w:space="0"/>
              <w:right w:val="single" w:color="auto" w:sz="4" w:space="0"/>
            </w:tcBorders>
            <w:shd w:val="clear" w:color="auto" w:fill="BEBEBE" w:themeFill="background1" w:themeFillShade="BF"/>
            <w:vAlign w:val="center"/>
          </w:tcPr>
          <w:p>
            <w:pPr>
              <w:adjustRightInd w:val="0"/>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效益类</w:t>
            </w:r>
          </w:p>
        </w:tc>
        <w:tc>
          <w:tcPr>
            <w:tcW w:w="600" w:type="pc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pPr>
              <w:adjustRightInd w:val="0"/>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总分</w:t>
            </w:r>
          </w:p>
        </w:tc>
      </w:tr>
      <w:tr>
        <w:tblPrEx>
          <w:tblCellMar>
            <w:top w:w="0" w:type="dxa"/>
            <w:left w:w="108" w:type="dxa"/>
            <w:bottom w:w="0" w:type="dxa"/>
            <w:right w:w="108" w:type="dxa"/>
          </w:tblCellMar>
        </w:tblPrEx>
        <w:trPr>
          <w:trHeight w:val="397" w:hRule="atLeast"/>
          <w:jc w:val="center"/>
        </w:trPr>
        <w:tc>
          <w:tcPr>
            <w:tcW w:w="1003" w:type="pct"/>
            <w:tcBorders>
              <w:top w:val="nil"/>
              <w:left w:val="single" w:color="auto" w:sz="4" w:space="0"/>
              <w:bottom w:val="single" w:color="auto" w:sz="4" w:space="0"/>
              <w:right w:val="single" w:color="auto" w:sz="4" w:space="0"/>
            </w:tcBorders>
            <w:vAlign w:val="center"/>
          </w:tcPr>
          <w:p>
            <w:pPr>
              <w:adjustRightInd w:val="0"/>
              <w:spacing w:line="360" w:lineRule="auto"/>
              <w:ind w:leftChars="-1" w:hanging="2" w:hangingChars="1"/>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评价得分</w:t>
            </w:r>
          </w:p>
        </w:tc>
        <w:tc>
          <w:tcPr>
            <w:tcW w:w="801" w:type="pct"/>
            <w:tcBorders>
              <w:top w:val="nil"/>
              <w:left w:val="nil"/>
              <w:bottom w:val="single" w:color="auto" w:sz="4" w:space="0"/>
              <w:right w:val="single" w:color="auto" w:sz="4" w:space="0"/>
            </w:tcBorders>
            <w:vAlign w:val="center"/>
          </w:tcPr>
          <w:p>
            <w:pPr>
              <w:adjustRightInd w:val="0"/>
              <w:spacing w:line="360" w:lineRule="auto"/>
              <w:ind w:leftChars="-1" w:hanging="2" w:hangingChars="1"/>
              <w:jc w:val="center"/>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18</w:t>
            </w:r>
          </w:p>
        </w:tc>
        <w:tc>
          <w:tcPr>
            <w:tcW w:w="801" w:type="pct"/>
            <w:tcBorders>
              <w:top w:val="nil"/>
              <w:left w:val="nil"/>
              <w:bottom w:val="single" w:color="auto" w:sz="4" w:space="0"/>
              <w:right w:val="single" w:color="auto" w:sz="4" w:space="0"/>
            </w:tcBorders>
            <w:vAlign w:val="center"/>
          </w:tcPr>
          <w:p>
            <w:pPr>
              <w:adjustRightInd w:val="0"/>
              <w:spacing w:line="360" w:lineRule="auto"/>
              <w:ind w:leftChars="-1" w:hanging="2" w:hangingChars="1"/>
              <w:jc w:val="center"/>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18</w:t>
            </w:r>
          </w:p>
        </w:tc>
        <w:tc>
          <w:tcPr>
            <w:tcW w:w="990" w:type="pct"/>
            <w:tcBorders>
              <w:top w:val="nil"/>
              <w:left w:val="nil"/>
              <w:bottom w:val="single" w:color="auto" w:sz="4" w:space="0"/>
              <w:right w:val="single" w:color="auto" w:sz="4" w:space="0"/>
            </w:tcBorders>
            <w:vAlign w:val="center"/>
          </w:tcPr>
          <w:p>
            <w:pPr>
              <w:adjustRightInd w:val="0"/>
              <w:spacing w:line="360" w:lineRule="auto"/>
              <w:ind w:leftChars="-1" w:hanging="2" w:hangingChars="1"/>
              <w:jc w:val="center"/>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27</w:t>
            </w:r>
          </w:p>
        </w:tc>
        <w:tc>
          <w:tcPr>
            <w:tcW w:w="801" w:type="pct"/>
            <w:tcBorders>
              <w:top w:val="nil"/>
              <w:left w:val="nil"/>
              <w:bottom w:val="single" w:color="auto" w:sz="4" w:space="0"/>
              <w:right w:val="single" w:color="auto" w:sz="4" w:space="0"/>
            </w:tcBorders>
            <w:vAlign w:val="center"/>
          </w:tcPr>
          <w:p>
            <w:pPr>
              <w:adjustRightInd w:val="0"/>
              <w:spacing w:line="360" w:lineRule="auto"/>
              <w:jc w:val="center"/>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30</w:t>
            </w:r>
          </w:p>
        </w:tc>
        <w:tc>
          <w:tcPr>
            <w:tcW w:w="600" w:type="pct"/>
            <w:tcBorders>
              <w:top w:val="single" w:color="auto" w:sz="4" w:space="0"/>
              <w:left w:val="single" w:color="auto" w:sz="4" w:space="0"/>
              <w:bottom w:val="single" w:color="auto" w:sz="4" w:space="0"/>
              <w:right w:val="single" w:color="auto" w:sz="4" w:space="0"/>
            </w:tcBorders>
            <w:vAlign w:val="center"/>
          </w:tcPr>
          <w:p>
            <w:pPr>
              <w:adjustRightInd w:val="0"/>
              <w:spacing w:line="360" w:lineRule="auto"/>
              <w:ind w:leftChars="-1" w:hanging="2" w:hangingChars="1"/>
              <w:jc w:val="center"/>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rPr>
              <w:t>9</w:t>
            </w:r>
            <w:r>
              <w:rPr>
                <w:rFonts w:hint="eastAsia" w:ascii="宋体" w:hAnsi="宋体" w:eastAsia="宋体" w:cs="宋体"/>
                <w:b w:val="0"/>
                <w:bCs w:val="0"/>
                <w:kern w:val="0"/>
                <w:sz w:val="24"/>
                <w:szCs w:val="24"/>
                <w:lang w:val="en-US" w:eastAsia="zh-CN"/>
              </w:rPr>
              <w:t>3</w:t>
            </w:r>
          </w:p>
        </w:tc>
      </w:tr>
    </w:tbl>
    <w:p>
      <w:pPr>
        <w:pStyle w:val="24"/>
        <w:spacing w:line="360" w:lineRule="auto"/>
        <w:ind w:firstLine="643"/>
        <w:outlineLvl w:val="0"/>
        <w:rPr>
          <w:rFonts w:hint="eastAsia" w:ascii="宋体" w:hAnsi="宋体" w:eastAsia="宋体" w:cs="宋体"/>
          <w:b/>
          <w:bCs/>
          <w:sz w:val="28"/>
          <w:szCs w:val="28"/>
        </w:rPr>
      </w:pPr>
      <w:bookmarkStart w:id="188" w:name="_Toc13452"/>
      <w:bookmarkStart w:id="189" w:name="_Toc27298"/>
      <w:r>
        <w:rPr>
          <w:rFonts w:hint="eastAsia" w:ascii="宋体" w:hAnsi="宋体" w:eastAsia="宋体" w:cs="宋体"/>
          <w:b/>
          <w:bCs/>
          <w:sz w:val="28"/>
          <w:szCs w:val="28"/>
        </w:rPr>
        <w:t>五、主要经验及做法</w:t>
      </w:r>
      <w:bookmarkEnd w:id="188"/>
      <w:bookmarkEnd w:id="189"/>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对所有库区仓库划片分区，责任到人，从出库、入库、验收到日常管理，全面施行包仓管理，终身负责。截止目前，没有发生过一起粮食安全责任事故。“四无粮仓”达标率100%。为提高市级储备库本库和分库点科学化管理水平，对标对表中央储备粮企业的仓储管理、目标考核、保管员责任制等先进办法，学习和总结兄弟粮库工作经验，寻找差距，补齐短板，探索出了一套适合市级储备库管理的新办法、新路径、新机制，做到软件与硬件一起提高、人员与制度一起配套、工作与薪酬一起挂钩。新的一套办法在仓储一线从运行以来，仓储保管员积极性空前高涨，库区管理水平大幅提升，库容库貌焕发新颜。在全库形成了“比学赶超”的良好氛围。在此基础上，加强分库点管理，派出专人深入代储库点长期监管，推进分库点驻库管理及考核办法，进一步确保了市级储备粮的安全性。</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ascii="宋体" w:hAnsi="宋体" w:eastAsia="宋体" w:cs="宋体"/>
          <w:b/>
          <w:bCs/>
          <w:sz w:val="28"/>
          <w:szCs w:val="28"/>
        </w:rPr>
      </w:pPr>
      <w:bookmarkStart w:id="190" w:name="_Toc1966"/>
      <w:bookmarkStart w:id="191" w:name="_Toc25050"/>
      <w:r>
        <w:rPr>
          <w:rFonts w:hint="eastAsia" w:ascii="宋体" w:hAnsi="宋体" w:eastAsia="宋体" w:cs="宋体"/>
          <w:b/>
          <w:bCs/>
          <w:sz w:val="28"/>
          <w:szCs w:val="28"/>
        </w:rPr>
        <w:t>六、存在问题</w:t>
      </w:r>
    </w:p>
    <w:p>
      <w:pPr>
        <w:pStyle w:val="2"/>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.项目单位设定了项目产出、项目效益指标；</w:t>
      </w:r>
      <w:r>
        <w:rPr>
          <w:rFonts w:hint="eastAsia" w:ascii="宋体" w:hAnsi="宋体" w:eastAsia="宋体" w:cs="宋体"/>
          <w:sz w:val="28"/>
          <w:szCs w:val="28"/>
          <w:lang w:val="en-US" w:eastAsia="zh-CN"/>
        </w:rPr>
        <w:t>但</w:t>
      </w:r>
      <w:r>
        <w:rPr>
          <w:rFonts w:hint="eastAsia" w:ascii="宋体" w:hAnsi="宋体" w:eastAsia="宋体" w:cs="宋体"/>
          <w:sz w:val="28"/>
          <w:szCs w:val="28"/>
        </w:rPr>
        <w:t>没有细化分解为清晰、可衡量的具体指标。</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.未制定员工定期培训制度及年度培训计划。</w:t>
      </w:r>
    </w:p>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rPr>
        <w:t>七、改进措施</w:t>
      </w:r>
      <w:r>
        <w:rPr>
          <w:rFonts w:hint="eastAsia" w:ascii="宋体" w:hAnsi="宋体" w:eastAsia="宋体" w:cs="宋体"/>
          <w:b/>
          <w:bCs/>
          <w:sz w:val="28"/>
          <w:szCs w:val="28"/>
          <w:lang w:val="en-US" w:eastAsia="zh-CN"/>
        </w:rPr>
        <w:t>及建议</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w:t>
      </w:r>
      <w:r>
        <w:rPr>
          <w:rFonts w:hint="eastAsia" w:ascii="宋体" w:hAnsi="宋体" w:eastAsia="宋体" w:cs="宋体"/>
          <w:sz w:val="28"/>
          <w:szCs w:val="28"/>
          <w:lang w:val="en-US" w:eastAsia="zh-CN"/>
        </w:rPr>
        <w:t>完善</w:t>
      </w:r>
      <w:r>
        <w:rPr>
          <w:rFonts w:hint="eastAsia" w:ascii="宋体" w:hAnsi="宋体" w:eastAsia="宋体" w:cs="宋体"/>
          <w:sz w:val="28"/>
          <w:szCs w:val="28"/>
        </w:rPr>
        <w:t>绩效指标设计，指标要清晰、可量化。预算绩效目标的设定是完善预算绩效管理机制的基础和依据，预算单位申请资金时，应把绩效目标作为预算编制不可或缺的有机内容；财政部门在审核预算时应同时审核预算单位设定的绩效目标，批复预算资金时一并批复绩效目标，为预算绩效管理奠定基础。</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.制定完成员工定期培训制度、依据培训制度，做好年度培训计划</w:t>
      </w:r>
      <w:r>
        <w:rPr>
          <w:rFonts w:hint="eastAsia" w:ascii="宋体" w:hAnsi="宋体" w:eastAsia="宋体" w:cs="宋体"/>
          <w:sz w:val="28"/>
          <w:szCs w:val="28"/>
          <w:lang w:val="en-US" w:eastAsia="zh-CN"/>
        </w:rPr>
        <w:t>并严格执行，提高全体人员素质，</w:t>
      </w:r>
      <w:r>
        <w:rPr>
          <w:rFonts w:hint="eastAsia" w:ascii="宋体" w:hAnsi="宋体" w:eastAsia="宋体" w:cs="宋体"/>
          <w:kern w:val="0"/>
          <w:sz w:val="28"/>
          <w:szCs w:val="28"/>
          <w:lang w:val="en-US" w:eastAsia="zh-CN" w:bidi="ar-SA"/>
        </w:rPr>
        <w:t>确保储备粮安全</w:t>
      </w:r>
      <w:r>
        <w:rPr>
          <w:rFonts w:hint="eastAsia" w:ascii="宋体" w:hAnsi="宋体" w:eastAsia="宋体" w:cs="宋体"/>
          <w:sz w:val="28"/>
          <w:szCs w:val="28"/>
          <w:lang w:val="en-US" w:eastAsia="zh-CN"/>
        </w:rPr>
        <w:t>。</w:t>
      </w:r>
    </w:p>
    <w:bookmarkEnd w:id="190"/>
    <w:bookmarkEnd w:id="191"/>
    <w:p>
      <w:pPr>
        <w:pStyle w:val="4"/>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right="0" w:rightChars="0"/>
        <w:jc w:val="right"/>
        <w:textAlignment w:val="auto"/>
        <w:rPr>
          <w:rFonts w:hint="eastAsia" w:ascii="宋体" w:hAnsi="宋体" w:eastAsia="宋体" w:cs="宋体"/>
          <w:bCs/>
          <w:color w:val="000000"/>
          <w:kern w:val="0"/>
          <w:sz w:val="28"/>
          <w:szCs w:val="28"/>
        </w:rPr>
      </w:pPr>
    </w:p>
    <w:p>
      <w:pPr>
        <w:pStyle w:val="4"/>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right="0" w:rightChars="0"/>
        <w:jc w:val="right"/>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rPr>
        <w:t>运城今朝会计师事务所有限公司</w:t>
      </w:r>
    </w:p>
    <w:p>
      <w:pPr>
        <w:pStyle w:val="4"/>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right="0" w:rightChars="0"/>
        <w:jc w:val="center"/>
        <w:textAlignment w:val="auto"/>
        <w:rPr>
          <w:rFonts w:hint="eastAsia" w:ascii="宋体" w:hAnsi="宋体" w:eastAsia="宋体" w:cs="宋体"/>
          <w:bCs/>
          <w:color w:val="000000"/>
          <w:kern w:val="0"/>
          <w:sz w:val="28"/>
          <w:szCs w:val="28"/>
          <w:lang w:val="en-US" w:eastAsia="zh-CN"/>
        </w:rPr>
      </w:pPr>
      <w:r>
        <w:rPr>
          <w:rFonts w:hint="eastAsia" w:ascii="宋体" w:hAnsi="宋体" w:eastAsia="宋体" w:cs="宋体"/>
          <w:bCs/>
          <w:color w:val="000000"/>
          <w:kern w:val="0"/>
          <w:sz w:val="28"/>
          <w:szCs w:val="28"/>
          <w:lang w:val="en-US" w:eastAsia="zh-CN"/>
        </w:rPr>
        <w:t xml:space="preserve">                                 主评人：</w:t>
      </w:r>
    </w:p>
    <w:p>
      <w:pPr>
        <w:pStyle w:val="4"/>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right="536" w:rightChars="0"/>
        <w:jc w:val="center"/>
        <w:textAlignment w:val="auto"/>
        <w:rPr>
          <w:rFonts w:hint="eastAsia" w:ascii="宋体" w:hAnsi="宋体" w:eastAsia="宋体" w:cs="宋体"/>
          <w:bCs/>
          <w:color w:val="000000"/>
          <w:kern w:val="0"/>
          <w:sz w:val="28"/>
          <w:szCs w:val="28"/>
        </w:rPr>
      </w:pPr>
      <w:r>
        <w:rPr>
          <w:rFonts w:hint="eastAsia" w:ascii="宋体" w:hAnsi="宋体" w:eastAsia="宋体" w:cs="宋体"/>
          <w:bCs/>
          <w:color w:val="000000"/>
          <w:kern w:val="0"/>
          <w:sz w:val="28"/>
          <w:szCs w:val="28"/>
          <w:lang w:val="en-US" w:eastAsia="zh-CN"/>
        </w:rPr>
        <w:t xml:space="preserve">                                    </w:t>
      </w:r>
      <w:r>
        <w:rPr>
          <w:rFonts w:hint="eastAsia" w:ascii="宋体" w:hAnsi="宋体" w:eastAsia="宋体" w:cs="宋体"/>
          <w:bCs/>
          <w:color w:val="000000"/>
          <w:kern w:val="0"/>
          <w:sz w:val="28"/>
          <w:szCs w:val="28"/>
        </w:rPr>
        <w:t>二零二零年</w:t>
      </w:r>
      <w:r>
        <w:rPr>
          <w:rFonts w:hint="eastAsia" w:ascii="宋体" w:hAnsi="宋体" w:eastAsia="宋体" w:cs="宋体"/>
          <w:bCs/>
          <w:color w:val="000000"/>
          <w:kern w:val="0"/>
          <w:sz w:val="28"/>
          <w:szCs w:val="28"/>
          <w:lang w:eastAsia="zh-CN"/>
        </w:rPr>
        <w:t>九</w:t>
      </w:r>
      <w:r>
        <w:rPr>
          <w:rFonts w:hint="eastAsia" w:ascii="宋体" w:hAnsi="宋体" w:eastAsia="宋体" w:cs="宋体"/>
          <w:bCs/>
          <w:color w:val="000000"/>
          <w:kern w:val="0"/>
          <w:sz w:val="28"/>
          <w:szCs w:val="28"/>
        </w:rPr>
        <w:t>月</w:t>
      </w:r>
    </w:p>
    <w:p>
      <w:pPr>
        <w:rPr>
          <w:rFonts w:hint="eastAsia" w:ascii="宋体" w:hAnsi="宋体" w:eastAsia="宋体" w:cs="宋体"/>
          <w:sz w:val="28"/>
          <w:szCs w:val="28"/>
        </w:rPr>
      </w:pPr>
      <w:r>
        <w:rPr>
          <w:rFonts w:hint="eastAsia" w:ascii="宋体" w:hAnsi="宋体" w:eastAsia="宋体" w:cs="宋体"/>
          <w:sz w:val="28"/>
          <w:szCs w:val="28"/>
        </w:rPr>
        <w:br w:type="page"/>
      </w:r>
      <w:bookmarkStart w:id="192" w:name="_Toc23706"/>
      <w:bookmarkStart w:id="193" w:name="_Toc27114"/>
      <w:r>
        <w:rPr>
          <w:rFonts w:hint="eastAsia" w:ascii="宋体" w:hAnsi="宋体" w:eastAsia="宋体" w:cs="宋体"/>
          <w:sz w:val="28"/>
          <w:szCs w:val="28"/>
        </w:rPr>
        <w:t>附件1：财政支出绩效评价指标评分表</w:t>
      </w:r>
      <w:bookmarkEnd w:id="192"/>
      <w:bookmarkEnd w:id="193"/>
    </w:p>
    <w:p>
      <w:pPr>
        <w:widowControl/>
        <w:spacing w:line="360" w:lineRule="auto"/>
        <w:outlineLvl w:val="0"/>
        <w:rPr>
          <w:rFonts w:hint="eastAsia" w:ascii="宋体" w:hAnsi="宋体" w:eastAsia="宋体" w:cs="宋体"/>
          <w:sz w:val="28"/>
          <w:szCs w:val="28"/>
        </w:rPr>
      </w:pPr>
      <w:bookmarkStart w:id="194" w:name="_Toc10482"/>
      <w:bookmarkStart w:id="195" w:name="_Toc2077"/>
      <w:r>
        <w:rPr>
          <w:rFonts w:hint="eastAsia" w:ascii="宋体" w:hAnsi="宋体" w:eastAsia="宋体" w:cs="宋体"/>
          <w:sz w:val="28"/>
          <w:szCs w:val="28"/>
        </w:rPr>
        <w:t>附件2：财政支出绩效评价指标体系</w:t>
      </w:r>
      <w:bookmarkEnd w:id="194"/>
      <w:bookmarkEnd w:id="195"/>
    </w:p>
    <w:p>
      <w:pPr>
        <w:spacing w:line="360" w:lineRule="auto"/>
        <w:outlineLvl w:val="0"/>
        <w:rPr>
          <w:rFonts w:hint="eastAsia" w:ascii="宋体" w:hAnsi="宋体" w:eastAsia="宋体" w:cs="宋体"/>
          <w:sz w:val="28"/>
          <w:szCs w:val="28"/>
        </w:rPr>
      </w:pPr>
      <w:bookmarkStart w:id="196" w:name="_Toc8074"/>
      <w:bookmarkStart w:id="197" w:name="_Toc25156"/>
      <w:r>
        <w:rPr>
          <w:rFonts w:hint="eastAsia" w:ascii="宋体" w:hAnsi="宋体" w:eastAsia="宋体" w:cs="宋体"/>
          <w:sz w:val="28"/>
          <w:szCs w:val="28"/>
        </w:rPr>
        <w:t>附件3：项目实施单位访谈</w:t>
      </w:r>
      <w:bookmarkEnd w:id="196"/>
      <w:bookmarkEnd w:id="197"/>
    </w:p>
    <w:p>
      <w:pPr>
        <w:pStyle w:val="2"/>
        <w:spacing w:after="0" w:line="360" w:lineRule="auto"/>
        <w:outlineLvl w:val="0"/>
        <w:rPr>
          <w:rFonts w:hint="eastAsia" w:ascii="宋体" w:hAnsi="宋体" w:eastAsia="宋体" w:cs="宋体"/>
          <w:sz w:val="28"/>
          <w:szCs w:val="28"/>
        </w:rPr>
      </w:pPr>
      <w:bookmarkStart w:id="198" w:name="_Toc930"/>
      <w:bookmarkStart w:id="199" w:name="_Toc7212"/>
      <w:r>
        <w:rPr>
          <w:rFonts w:hint="eastAsia" w:ascii="宋体" w:hAnsi="宋体" w:eastAsia="宋体" w:cs="宋体"/>
          <w:sz w:val="28"/>
          <w:szCs w:val="28"/>
        </w:rPr>
        <w:t>附件4：项目支出绩效评价合规性检查</w:t>
      </w:r>
      <w:bookmarkEnd w:id="198"/>
      <w:bookmarkEnd w:id="199"/>
    </w:p>
    <w:p>
      <w:pPr>
        <w:pStyle w:val="2"/>
        <w:spacing w:after="0" w:line="360" w:lineRule="auto"/>
        <w:outlineLvl w:val="0"/>
        <w:rPr>
          <w:rFonts w:hint="eastAsia" w:ascii="宋体" w:hAnsi="宋体" w:eastAsia="宋体" w:cs="宋体"/>
          <w:sz w:val="28"/>
          <w:szCs w:val="28"/>
        </w:rPr>
      </w:pPr>
      <w:bookmarkStart w:id="200" w:name="_Toc5867"/>
      <w:bookmarkStart w:id="201" w:name="_Toc14860"/>
      <w:r>
        <w:rPr>
          <w:rFonts w:hint="eastAsia" w:ascii="宋体" w:hAnsi="宋体" w:eastAsia="宋体" w:cs="宋体"/>
          <w:sz w:val="28"/>
          <w:szCs w:val="28"/>
        </w:rPr>
        <w:t>附件5</w:t>
      </w:r>
      <w:bookmarkEnd w:id="200"/>
      <w:r>
        <w:rPr>
          <w:rFonts w:hint="eastAsia" w:ascii="宋体" w:hAnsi="宋体" w:eastAsia="宋体" w:cs="宋体"/>
          <w:sz w:val="28"/>
          <w:szCs w:val="28"/>
        </w:rPr>
        <w:t>：2021年储备粮油管理费、轮换费项目主管部门满意度调查报告</w:t>
      </w:r>
      <w:bookmarkEnd w:id="201"/>
    </w:p>
    <w:p>
      <w:pPr>
        <w:spacing w:line="360" w:lineRule="auto"/>
        <w:ind w:right="-363" w:rightChars="-173"/>
        <w:jc w:val="both"/>
        <w:rPr>
          <w:rFonts w:hint="eastAsia" w:ascii="宋体" w:hAnsi="宋体" w:eastAsia="宋体" w:cs="宋体"/>
          <w:kern w:val="2"/>
          <w:sz w:val="28"/>
          <w:szCs w:val="28"/>
          <w:lang w:val="en-US" w:eastAsia="zh-CN" w:bidi="ar-SA"/>
        </w:rPr>
      </w:pPr>
      <w:bookmarkStart w:id="202" w:name="_Toc8784"/>
      <w:bookmarkStart w:id="203" w:name="_Toc17943"/>
      <w:r>
        <w:rPr>
          <w:rFonts w:hint="eastAsia" w:ascii="宋体" w:hAnsi="宋体" w:eastAsia="宋体" w:cs="宋体"/>
          <w:sz w:val="28"/>
          <w:szCs w:val="28"/>
        </w:rPr>
        <w:t>附件6</w:t>
      </w:r>
      <w:bookmarkEnd w:id="202"/>
      <w:bookmarkEnd w:id="203"/>
      <w:bookmarkStart w:id="204" w:name="_Toc25747"/>
      <w:bookmarkStart w:id="205" w:name="_Toc22440"/>
      <w:r>
        <w:rPr>
          <w:rFonts w:hint="eastAsia" w:ascii="宋体" w:hAnsi="宋体" w:eastAsia="宋体" w:cs="宋体"/>
          <w:sz w:val="28"/>
          <w:szCs w:val="28"/>
        </w:rPr>
        <w:t>：</w:t>
      </w:r>
      <w:r>
        <w:rPr>
          <w:rFonts w:hint="eastAsia" w:ascii="宋体" w:hAnsi="宋体" w:eastAsia="宋体" w:cs="宋体"/>
          <w:kern w:val="2"/>
          <w:sz w:val="28"/>
          <w:szCs w:val="28"/>
          <w:lang w:val="en-US" w:eastAsia="zh-CN" w:bidi="ar-SA"/>
        </w:rPr>
        <w:t>2021储备粮油保管费轮换费项目绩效评价工作满意度调查问卷</w:t>
      </w:r>
    </w:p>
    <w:p>
      <w:pPr>
        <w:pStyle w:val="5"/>
        <w:spacing w:line="360" w:lineRule="auto"/>
        <w:jc w:val="both"/>
        <w:rPr>
          <w:rFonts w:hint="eastAsia" w:ascii="宋体" w:hAnsi="宋体" w:eastAsia="宋体" w:cs="宋体"/>
          <w:kern w:val="2"/>
          <w:sz w:val="28"/>
          <w:szCs w:val="28"/>
          <w:lang w:val="en-US" w:eastAsia="zh-CN" w:bidi="ar-SA"/>
        </w:rPr>
      </w:pPr>
      <w:r>
        <w:rPr>
          <w:rFonts w:hint="eastAsia" w:ascii="宋体" w:hAnsi="宋体" w:eastAsia="宋体" w:cs="宋体"/>
          <w:sz w:val="28"/>
          <w:szCs w:val="28"/>
        </w:rPr>
        <w:t>附件</w:t>
      </w:r>
      <w:r>
        <w:rPr>
          <w:rFonts w:hint="eastAsia" w:ascii="宋体" w:hAnsi="宋体" w:eastAsia="宋体" w:cs="宋体"/>
          <w:sz w:val="28"/>
          <w:szCs w:val="28"/>
          <w:lang w:val="en-US" w:eastAsia="zh-CN"/>
        </w:rPr>
        <w:t>7</w:t>
      </w:r>
      <w:r>
        <w:rPr>
          <w:rFonts w:hint="eastAsia" w:ascii="宋体" w:hAnsi="宋体" w:eastAsia="宋体" w:cs="宋体"/>
          <w:sz w:val="28"/>
          <w:szCs w:val="28"/>
        </w:rPr>
        <w:t>：</w:t>
      </w:r>
      <w:r>
        <w:rPr>
          <w:rFonts w:hint="eastAsia" w:ascii="宋体" w:hAnsi="宋体" w:eastAsia="宋体" w:cs="宋体"/>
          <w:kern w:val="2"/>
          <w:sz w:val="28"/>
          <w:szCs w:val="28"/>
          <w:lang w:val="en-US" w:eastAsia="zh-CN" w:bidi="ar-SA"/>
        </w:rPr>
        <w:t>项目基础信息表</w:t>
      </w:r>
    </w:p>
    <w:p>
      <w:pPr>
        <w:spacing w:line="360" w:lineRule="auto"/>
        <w:ind w:right="-363" w:rightChars="-173"/>
        <w:jc w:val="both"/>
        <w:rPr>
          <w:rFonts w:hint="eastAsia" w:ascii="宋体" w:hAnsi="宋体" w:eastAsia="宋体" w:cs="宋体"/>
          <w:sz w:val="28"/>
          <w:szCs w:val="28"/>
        </w:rPr>
      </w:pPr>
      <w:r>
        <w:rPr>
          <w:rFonts w:hint="eastAsia" w:ascii="宋体" w:hAnsi="宋体" w:eastAsia="宋体" w:cs="宋体"/>
          <w:sz w:val="28"/>
          <w:szCs w:val="28"/>
        </w:rPr>
        <w:t>附件</w:t>
      </w:r>
      <w:r>
        <w:rPr>
          <w:rFonts w:hint="eastAsia" w:ascii="宋体" w:hAnsi="宋体" w:eastAsia="宋体" w:cs="宋体"/>
          <w:sz w:val="28"/>
          <w:szCs w:val="28"/>
          <w:lang w:val="en-US" w:eastAsia="zh-CN"/>
        </w:rPr>
        <w:t>8</w:t>
      </w:r>
      <w:r>
        <w:rPr>
          <w:rFonts w:hint="eastAsia" w:ascii="宋体" w:hAnsi="宋体" w:eastAsia="宋体" w:cs="宋体"/>
          <w:sz w:val="28"/>
          <w:szCs w:val="28"/>
        </w:rPr>
        <w:t>：项目照片</w:t>
      </w:r>
    </w:p>
    <w:p>
      <w:pPr>
        <w:pStyle w:val="2"/>
        <w:spacing w:after="0" w:line="360" w:lineRule="auto"/>
        <w:outlineLvl w:val="0"/>
        <w:rPr>
          <w:rFonts w:hint="eastAsia" w:ascii="宋体" w:hAnsi="宋体" w:eastAsia="宋体" w:cs="宋体"/>
          <w:sz w:val="28"/>
          <w:szCs w:val="28"/>
        </w:rPr>
      </w:pPr>
      <w:r>
        <w:rPr>
          <w:rFonts w:hint="eastAsia" w:ascii="宋体" w:hAnsi="宋体" w:eastAsia="宋体" w:cs="宋体"/>
          <w:sz w:val="28"/>
          <w:szCs w:val="28"/>
        </w:rPr>
        <w:br w:type="page"/>
      </w:r>
      <w:bookmarkEnd w:id="204"/>
      <w:bookmarkEnd w:id="205"/>
    </w:p>
    <w:bookmarkEnd w:id="56"/>
    <w:bookmarkEnd w:id="57"/>
    <w:bookmarkEnd w:id="58"/>
    <w:p>
      <w:pPr>
        <w:pStyle w:val="12"/>
        <w:ind w:firstLine="0" w:firstLineChars="0"/>
        <w:rPr>
          <w:rFonts w:hint="eastAsia" w:ascii="宋体" w:hAnsi="宋体" w:eastAsia="宋体" w:cs="宋体"/>
          <w:sz w:val="28"/>
          <w:szCs w:val="28"/>
          <w:lang w:val="en-US" w:eastAsia="zh-CN"/>
        </w:rPr>
      </w:pPr>
      <w:bookmarkStart w:id="206" w:name="_Toc10234"/>
      <w:bookmarkStart w:id="207" w:name="_Toc3533"/>
      <w:bookmarkStart w:id="208" w:name="_Toc27937"/>
      <w:bookmarkStart w:id="209" w:name="_Toc17539"/>
      <w:bookmarkStart w:id="210" w:name="_Toc2903"/>
      <w:bookmarkStart w:id="211" w:name="_Toc15093"/>
      <w:bookmarkStart w:id="212" w:name="_Toc10979"/>
      <w:bookmarkStart w:id="213" w:name="_Toc14218"/>
      <w:r>
        <w:rPr>
          <w:rFonts w:hint="eastAsia" w:ascii="宋体" w:hAnsi="宋体" w:eastAsia="宋体" w:cs="宋体"/>
          <w:sz w:val="28"/>
          <w:szCs w:val="28"/>
        </w:rPr>
        <w:t>附件1</w:t>
      </w:r>
      <w:bookmarkEnd w:id="206"/>
      <w:bookmarkEnd w:id="207"/>
      <w:bookmarkEnd w:id="208"/>
      <w:bookmarkEnd w:id="209"/>
      <w:bookmarkEnd w:id="210"/>
    </w:p>
    <w:p>
      <w:pPr>
        <w:jc w:val="center"/>
        <w:rPr>
          <w:rFonts w:hint="eastAsia" w:ascii="宋体" w:hAnsi="宋体" w:eastAsia="宋体" w:cs="宋体"/>
          <w:b w:val="0"/>
          <w:bCs/>
          <w:sz w:val="28"/>
          <w:szCs w:val="28"/>
        </w:rPr>
      </w:pPr>
      <w:r>
        <w:rPr>
          <w:rFonts w:hint="eastAsia" w:ascii="宋体" w:hAnsi="宋体" w:eastAsia="宋体" w:cs="宋体"/>
          <w:b w:val="0"/>
          <w:bCs/>
          <w:sz w:val="28"/>
          <w:szCs w:val="28"/>
        </w:rPr>
        <w:t>财政支出绩效评价指标评分表</w:t>
      </w:r>
    </w:p>
    <w:tbl>
      <w:tblPr>
        <w:tblStyle w:val="14"/>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3"/>
        <w:gridCol w:w="543"/>
        <w:gridCol w:w="1680"/>
        <w:gridCol w:w="544"/>
        <w:gridCol w:w="4057"/>
        <w:gridCol w:w="544"/>
        <w:gridCol w:w="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tcBorders>
              <w:tl2br w:val="nil"/>
              <w:tr2bl w:val="nil"/>
            </w:tcBorders>
            <w:shd w:val="clear" w:color="auto" w:fill="BEBEBE" w:themeFill="background1" w:themeFillShade="BF"/>
            <w:tcMar>
              <w:top w:w="15" w:type="dxa"/>
              <w:left w:w="15" w:type="dxa"/>
              <w:right w:w="15" w:type="dxa"/>
            </w:tcMar>
            <w:vAlign w:val="center"/>
          </w:tcPr>
          <w:p>
            <w:pPr>
              <w:widowControl/>
              <w:jc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一级指标</w:t>
            </w:r>
          </w:p>
        </w:tc>
        <w:tc>
          <w:tcPr>
            <w:tcW w:w="303" w:type="pct"/>
            <w:tcBorders>
              <w:tl2br w:val="nil"/>
              <w:tr2bl w:val="nil"/>
            </w:tcBorders>
            <w:shd w:val="clear" w:color="auto" w:fill="BEBEBE" w:themeFill="background1" w:themeFillShade="BF"/>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分值</w:t>
            </w:r>
          </w:p>
        </w:tc>
        <w:tc>
          <w:tcPr>
            <w:tcW w:w="938" w:type="pct"/>
            <w:tcBorders>
              <w:tl2br w:val="nil"/>
              <w:tr2bl w:val="nil"/>
            </w:tcBorders>
            <w:shd w:val="clear" w:color="auto" w:fill="BEBEBE" w:themeFill="background1" w:themeFillShade="BF"/>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二级指标</w:t>
            </w:r>
          </w:p>
        </w:tc>
        <w:tc>
          <w:tcPr>
            <w:tcW w:w="304" w:type="pct"/>
            <w:tcBorders>
              <w:tl2br w:val="nil"/>
              <w:tr2bl w:val="nil"/>
            </w:tcBorders>
            <w:shd w:val="clear" w:color="auto" w:fill="BEBEBE" w:themeFill="background1" w:themeFillShade="BF"/>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分值</w:t>
            </w:r>
          </w:p>
        </w:tc>
        <w:tc>
          <w:tcPr>
            <w:tcW w:w="2266" w:type="pct"/>
            <w:tcBorders>
              <w:tl2br w:val="nil"/>
              <w:tr2bl w:val="nil"/>
            </w:tcBorders>
            <w:shd w:val="clear" w:color="auto" w:fill="BEBEBE" w:themeFill="background1" w:themeFillShade="BF"/>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三级指标</w:t>
            </w:r>
          </w:p>
        </w:tc>
        <w:tc>
          <w:tcPr>
            <w:tcW w:w="304" w:type="pct"/>
            <w:tcBorders>
              <w:tl2br w:val="nil"/>
              <w:tr2bl w:val="nil"/>
            </w:tcBorders>
            <w:shd w:val="clear" w:color="auto" w:fill="BEBEBE" w:themeFill="background1" w:themeFillShade="BF"/>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分值</w:t>
            </w:r>
          </w:p>
        </w:tc>
        <w:tc>
          <w:tcPr>
            <w:tcW w:w="294" w:type="pct"/>
            <w:tcBorders>
              <w:tl2br w:val="nil"/>
              <w:tr2bl w:val="nil"/>
            </w:tcBorders>
            <w:shd w:val="clear" w:color="auto" w:fill="BEBEBE" w:themeFill="background1" w:themeFillShade="BF"/>
          </w:tcPr>
          <w:p>
            <w:pPr>
              <w:widowControl/>
              <w:jc w:val="center"/>
              <w:textAlignment w:val="center"/>
              <w:rPr>
                <w:rFonts w:hint="eastAsia" w:ascii="宋体" w:hAnsi="宋体" w:eastAsia="宋体" w:cs="宋体"/>
                <w:b w:val="0"/>
                <w:bCs/>
                <w:color w:val="000000"/>
                <w:kern w:val="0"/>
                <w:sz w:val="24"/>
                <w:szCs w:val="24"/>
                <w:lang w:bidi="ar"/>
              </w:rPr>
            </w:pPr>
            <w:r>
              <w:rPr>
                <w:rFonts w:hint="eastAsia" w:ascii="宋体" w:hAnsi="宋体" w:eastAsia="宋体" w:cs="宋体"/>
                <w:b w:val="0"/>
                <w:bCs/>
                <w:color w:val="000000"/>
                <w:kern w:val="0"/>
                <w:sz w:val="24"/>
                <w:szCs w:val="24"/>
                <w:lang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restar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决策</w:t>
            </w:r>
          </w:p>
        </w:tc>
        <w:tc>
          <w:tcPr>
            <w:tcW w:w="303" w:type="pct"/>
            <w:vMerge w:val="restart"/>
            <w:tcBorders>
              <w:tl2br w:val="nil"/>
              <w:tr2bl w:val="nil"/>
            </w:tcBorders>
            <w:tcMar>
              <w:top w:w="15" w:type="dxa"/>
              <w:left w:w="15" w:type="dxa"/>
              <w:right w:w="15" w:type="dxa"/>
            </w:tcMar>
            <w:vAlign w:val="center"/>
          </w:tcPr>
          <w:p>
            <w:pPr>
              <w:widowControl/>
              <w:jc w:val="center"/>
              <w:textAlignment w:val="center"/>
              <w:rPr>
                <w:rFonts w:hint="eastAsia"/>
                <w:lang w:val="en-US" w:eastAsia="zh-CN"/>
              </w:rPr>
            </w:pPr>
            <w:r>
              <w:rPr>
                <w:rFonts w:hint="eastAsia"/>
                <w:lang w:val="en-US" w:eastAsia="zh-CN"/>
              </w:rPr>
              <w:t>20</w:t>
            </w:r>
          </w:p>
          <w:p>
            <w:pPr>
              <w:pStyle w:val="2"/>
              <w:jc w:val="center"/>
              <w:rPr>
                <w:rFonts w:hint="default"/>
                <w:lang w:val="en-US" w:eastAsia="zh-CN"/>
              </w:rPr>
            </w:pPr>
            <w:r>
              <w:rPr>
                <w:rFonts w:hint="eastAsia" w:ascii="宋体" w:hAnsi="宋体" w:eastAsia="宋体" w:cs="宋体"/>
                <w:b w:val="0"/>
                <w:bCs/>
                <w:color w:val="000000"/>
                <w:kern w:val="0"/>
                <w:sz w:val="24"/>
                <w:szCs w:val="24"/>
                <w:lang w:val="en-US" w:eastAsia="zh-CN" w:bidi="ar"/>
              </w:rPr>
              <w:t>(A)</w:t>
            </w:r>
          </w:p>
        </w:tc>
        <w:tc>
          <w:tcPr>
            <w:tcW w:w="938"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项目立项</w:t>
            </w:r>
            <w:r>
              <w:rPr>
                <w:rFonts w:hint="eastAsia" w:ascii="宋体" w:hAnsi="宋体" w:eastAsia="宋体" w:cs="宋体"/>
                <w:b w:val="0"/>
                <w:bCs/>
                <w:color w:val="000000"/>
                <w:kern w:val="0"/>
                <w:sz w:val="24"/>
                <w:szCs w:val="24"/>
                <w:lang w:val="en-US" w:eastAsia="zh-CN" w:bidi="ar"/>
              </w:rPr>
              <w:t>(A1)</w:t>
            </w:r>
          </w:p>
        </w:tc>
        <w:tc>
          <w:tcPr>
            <w:tcW w:w="304"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val="en-US" w:eastAsia="zh-CN" w:bidi="ar"/>
              </w:rPr>
              <w:t>10</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立项依据充分性</w:t>
            </w:r>
            <w:r>
              <w:rPr>
                <w:rFonts w:hint="eastAsia" w:ascii="宋体" w:hAnsi="宋体" w:eastAsia="宋体" w:cs="宋体"/>
                <w:b w:val="0"/>
                <w:bCs/>
                <w:color w:val="000000"/>
                <w:kern w:val="0"/>
                <w:sz w:val="24"/>
                <w:szCs w:val="24"/>
                <w:lang w:val="en-US" w:eastAsia="zh-CN" w:bidi="ar"/>
              </w:rPr>
              <w:t>(A101)</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kern w:val="0"/>
                <w:sz w:val="24"/>
                <w:szCs w:val="24"/>
                <w:lang w:val="en-US" w:eastAsia="zh-CN" w:bidi="ar"/>
              </w:rPr>
              <w:t>4</w:t>
            </w:r>
          </w:p>
        </w:tc>
        <w:tc>
          <w:tcPr>
            <w:tcW w:w="294" w:type="pct"/>
            <w:tcBorders>
              <w:tl2br w:val="nil"/>
              <w:tr2bl w:val="nil"/>
            </w:tcBorders>
            <w:vAlign w:val="center"/>
          </w:tcPr>
          <w:p>
            <w:pPr>
              <w:widowControl/>
              <w:jc w:val="center"/>
              <w:textAlignment w:val="center"/>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立项程序规范性</w:t>
            </w:r>
            <w:r>
              <w:rPr>
                <w:rFonts w:hint="eastAsia" w:ascii="宋体" w:hAnsi="宋体" w:eastAsia="宋体" w:cs="宋体"/>
                <w:b w:val="0"/>
                <w:bCs/>
                <w:color w:val="000000"/>
                <w:kern w:val="0"/>
                <w:sz w:val="24"/>
                <w:szCs w:val="24"/>
                <w:lang w:val="en-US" w:eastAsia="zh-CN" w:bidi="ar"/>
              </w:rPr>
              <w:t>(A102)</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kern w:val="0"/>
                <w:sz w:val="24"/>
                <w:szCs w:val="24"/>
                <w:lang w:val="en-US" w:eastAsia="zh-CN" w:bidi="ar"/>
              </w:rPr>
              <w:t>6</w:t>
            </w:r>
          </w:p>
        </w:tc>
        <w:tc>
          <w:tcPr>
            <w:tcW w:w="294" w:type="pct"/>
            <w:tcBorders>
              <w:tl2br w:val="nil"/>
              <w:tr2bl w:val="nil"/>
            </w:tcBorders>
            <w:vAlign w:val="center"/>
          </w:tcPr>
          <w:p>
            <w:pPr>
              <w:widowControl/>
              <w:jc w:val="center"/>
              <w:textAlignment w:val="center"/>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0"/>
                <w:sz w:val="24"/>
                <w:szCs w:val="24"/>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绩效目标</w:t>
            </w:r>
            <w:r>
              <w:rPr>
                <w:rFonts w:hint="eastAsia" w:ascii="宋体" w:hAnsi="宋体" w:eastAsia="宋体" w:cs="宋体"/>
                <w:b w:val="0"/>
                <w:bCs/>
                <w:color w:val="000000"/>
                <w:kern w:val="0"/>
                <w:sz w:val="24"/>
                <w:szCs w:val="24"/>
                <w:lang w:val="en-US" w:eastAsia="zh-CN" w:bidi="ar"/>
              </w:rPr>
              <w:t>(A2)</w:t>
            </w:r>
          </w:p>
        </w:tc>
        <w:tc>
          <w:tcPr>
            <w:tcW w:w="304"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val="en-US" w:eastAsia="zh-CN" w:bidi="ar"/>
              </w:rPr>
              <w:t>10</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绩效目标合理性</w:t>
            </w:r>
            <w:r>
              <w:rPr>
                <w:rFonts w:hint="eastAsia" w:ascii="宋体" w:hAnsi="宋体" w:eastAsia="宋体" w:cs="宋体"/>
                <w:b w:val="0"/>
                <w:bCs/>
                <w:color w:val="000000"/>
                <w:kern w:val="0"/>
                <w:sz w:val="24"/>
                <w:szCs w:val="24"/>
                <w:lang w:val="en-US" w:eastAsia="zh-CN" w:bidi="ar"/>
              </w:rPr>
              <w:t>(A201)</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kern w:val="0"/>
                <w:sz w:val="24"/>
                <w:szCs w:val="24"/>
                <w:lang w:val="en-US" w:eastAsia="zh-CN" w:bidi="ar"/>
              </w:rPr>
              <w:t>6</w:t>
            </w:r>
          </w:p>
        </w:tc>
        <w:tc>
          <w:tcPr>
            <w:tcW w:w="294" w:type="pct"/>
            <w:tcBorders>
              <w:tl2br w:val="nil"/>
              <w:tr2bl w:val="nil"/>
            </w:tcBorders>
            <w:vAlign w:val="center"/>
          </w:tcPr>
          <w:p>
            <w:pPr>
              <w:widowControl/>
              <w:jc w:val="center"/>
              <w:textAlignment w:val="center"/>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0"/>
                <w:sz w:val="24"/>
                <w:szCs w:val="24"/>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绩效指标明确性</w:t>
            </w:r>
            <w:r>
              <w:rPr>
                <w:rFonts w:hint="eastAsia" w:ascii="宋体" w:hAnsi="宋体" w:eastAsia="宋体" w:cs="宋体"/>
                <w:b w:val="0"/>
                <w:bCs/>
                <w:color w:val="000000"/>
                <w:kern w:val="0"/>
                <w:sz w:val="24"/>
                <w:szCs w:val="24"/>
                <w:lang w:val="en-US" w:eastAsia="zh-CN" w:bidi="ar"/>
              </w:rPr>
              <w:t>(A202)</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kern w:val="0"/>
                <w:sz w:val="24"/>
                <w:szCs w:val="24"/>
                <w:lang w:val="en-US" w:eastAsia="zh-CN" w:bidi="ar"/>
              </w:rPr>
              <w:t>4</w:t>
            </w:r>
          </w:p>
        </w:tc>
        <w:tc>
          <w:tcPr>
            <w:tcW w:w="294" w:type="pct"/>
            <w:tcBorders>
              <w:tl2br w:val="nil"/>
              <w:tr2bl w:val="nil"/>
            </w:tcBorders>
            <w:vAlign w:val="center"/>
          </w:tcPr>
          <w:p>
            <w:pPr>
              <w:widowControl/>
              <w:jc w:val="center"/>
              <w:textAlignment w:val="center"/>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0"/>
                <w:sz w:val="24"/>
                <w:szCs w:val="24"/>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restar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过程</w:t>
            </w:r>
          </w:p>
        </w:tc>
        <w:tc>
          <w:tcPr>
            <w:tcW w:w="303" w:type="pct"/>
            <w:vMerge w:val="restart"/>
            <w:tcBorders>
              <w:tl2br w:val="nil"/>
              <w:tr2bl w:val="nil"/>
            </w:tcBorders>
            <w:tcMar>
              <w:top w:w="15" w:type="dxa"/>
              <w:left w:w="15" w:type="dxa"/>
              <w:right w:w="15" w:type="dxa"/>
            </w:tcMar>
            <w:vAlign w:val="center"/>
          </w:tcPr>
          <w:p>
            <w:pPr>
              <w:widowControl/>
              <w:jc w:val="center"/>
              <w:textAlignment w:val="center"/>
              <w:rPr>
                <w:rFonts w:hint="eastAsia"/>
                <w:lang w:val="en-US" w:eastAsia="zh-CN"/>
              </w:rPr>
            </w:pPr>
            <w:r>
              <w:rPr>
                <w:rFonts w:hint="eastAsia"/>
                <w:lang w:val="en-US" w:eastAsia="zh-CN"/>
              </w:rPr>
              <w:t>20</w:t>
            </w:r>
          </w:p>
          <w:p>
            <w:pPr>
              <w:pStyle w:val="2"/>
              <w:jc w:val="center"/>
              <w:rPr>
                <w:rFonts w:hint="default"/>
                <w:lang w:val="en-US" w:eastAsia="zh-CN"/>
              </w:rPr>
            </w:pPr>
            <w:r>
              <w:rPr>
                <w:rFonts w:hint="eastAsia" w:ascii="宋体" w:hAnsi="宋体" w:eastAsia="宋体" w:cs="宋体"/>
                <w:b w:val="0"/>
                <w:bCs/>
                <w:color w:val="000000"/>
                <w:kern w:val="0"/>
                <w:sz w:val="24"/>
                <w:szCs w:val="24"/>
                <w:lang w:val="en-US" w:eastAsia="zh-CN" w:bidi="ar"/>
              </w:rPr>
              <w:t>(B)</w:t>
            </w:r>
          </w:p>
        </w:tc>
        <w:tc>
          <w:tcPr>
            <w:tcW w:w="938"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bidi="ar"/>
              </w:rPr>
              <w:t>资金管理</w:t>
            </w:r>
            <w:r>
              <w:rPr>
                <w:rFonts w:hint="eastAsia" w:ascii="宋体" w:hAnsi="宋体" w:eastAsia="宋体" w:cs="宋体"/>
                <w:b w:val="0"/>
                <w:bCs/>
                <w:color w:val="000000"/>
                <w:kern w:val="0"/>
                <w:sz w:val="24"/>
                <w:szCs w:val="24"/>
                <w:lang w:val="en-US" w:eastAsia="zh-CN" w:bidi="ar"/>
              </w:rPr>
              <w:t>(B1)</w:t>
            </w:r>
          </w:p>
        </w:tc>
        <w:tc>
          <w:tcPr>
            <w:tcW w:w="304"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10</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bidi="ar"/>
              </w:rPr>
              <w:t>资金到位率</w:t>
            </w:r>
            <w:r>
              <w:rPr>
                <w:rFonts w:hint="eastAsia" w:ascii="宋体" w:hAnsi="宋体" w:eastAsia="宋体" w:cs="宋体"/>
                <w:b w:val="0"/>
                <w:bCs/>
                <w:color w:val="000000"/>
                <w:kern w:val="0"/>
                <w:sz w:val="24"/>
                <w:szCs w:val="24"/>
                <w:lang w:val="en-US" w:eastAsia="zh-CN" w:bidi="ar"/>
              </w:rPr>
              <w:t>(B101)</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kern w:val="0"/>
                <w:sz w:val="24"/>
                <w:szCs w:val="24"/>
                <w:lang w:eastAsia="zh-CN" w:bidi="ar"/>
              </w:rPr>
            </w:pPr>
            <w:r>
              <w:rPr>
                <w:rFonts w:hint="eastAsia" w:ascii="宋体" w:hAnsi="宋体" w:eastAsia="宋体" w:cs="宋体"/>
                <w:b w:val="0"/>
                <w:bCs/>
                <w:color w:val="000000"/>
                <w:kern w:val="0"/>
                <w:sz w:val="24"/>
                <w:szCs w:val="24"/>
                <w:lang w:eastAsia="zh-CN" w:bidi="ar"/>
              </w:rPr>
              <w:t>3</w:t>
            </w:r>
          </w:p>
        </w:tc>
        <w:tc>
          <w:tcPr>
            <w:tcW w:w="294" w:type="pct"/>
            <w:tcBorders>
              <w:tl2br w:val="nil"/>
              <w:tr2bl w:val="nil"/>
            </w:tcBorders>
            <w:vAlign w:val="center"/>
          </w:tcPr>
          <w:p>
            <w:pPr>
              <w:widowControl/>
              <w:jc w:val="center"/>
              <w:textAlignment w:val="center"/>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bidi="ar"/>
              </w:rPr>
              <w:t>预算执行率</w:t>
            </w:r>
            <w:r>
              <w:rPr>
                <w:rFonts w:hint="eastAsia" w:ascii="宋体" w:hAnsi="宋体" w:eastAsia="宋体" w:cs="宋体"/>
                <w:b w:val="0"/>
                <w:bCs/>
                <w:color w:val="000000"/>
                <w:kern w:val="0"/>
                <w:sz w:val="24"/>
                <w:szCs w:val="24"/>
                <w:lang w:val="en-US" w:eastAsia="zh-CN" w:bidi="ar"/>
              </w:rPr>
              <w:t>(B102)</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3</w:t>
            </w:r>
          </w:p>
        </w:tc>
        <w:tc>
          <w:tcPr>
            <w:tcW w:w="294" w:type="pct"/>
            <w:tcBorders>
              <w:tl2br w:val="nil"/>
              <w:tr2bl w:val="nil"/>
            </w:tcBorders>
            <w:vAlign w:val="center"/>
          </w:tcPr>
          <w:p>
            <w:pPr>
              <w:widowControl/>
              <w:jc w:val="center"/>
              <w:textAlignment w:val="center"/>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bidi="ar"/>
              </w:rPr>
              <w:t>资金使用合规性</w:t>
            </w:r>
            <w:r>
              <w:rPr>
                <w:rFonts w:hint="eastAsia" w:ascii="宋体" w:hAnsi="宋体" w:eastAsia="宋体" w:cs="宋体"/>
                <w:b w:val="0"/>
                <w:bCs/>
                <w:color w:val="000000"/>
                <w:kern w:val="0"/>
                <w:sz w:val="24"/>
                <w:szCs w:val="24"/>
                <w:lang w:val="en-US" w:eastAsia="zh-CN" w:bidi="ar"/>
              </w:rPr>
              <w:t>(B103)</w:t>
            </w:r>
          </w:p>
        </w:tc>
        <w:tc>
          <w:tcPr>
            <w:tcW w:w="304"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4</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组织实施</w:t>
            </w:r>
            <w:r>
              <w:rPr>
                <w:rFonts w:hint="eastAsia" w:ascii="宋体" w:hAnsi="宋体" w:eastAsia="宋体" w:cs="宋体"/>
                <w:b w:val="0"/>
                <w:bCs/>
                <w:color w:val="000000"/>
                <w:kern w:val="0"/>
                <w:sz w:val="24"/>
                <w:szCs w:val="24"/>
                <w:lang w:val="en-US" w:eastAsia="zh-CN" w:bidi="ar"/>
              </w:rPr>
              <w:t>(B2)</w:t>
            </w:r>
          </w:p>
        </w:tc>
        <w:tc>
          <w:tcPr>
            <w:tcW w:w="304"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val="en-US" w:eastAsia="zh-CN" w:bidi="ar"/>
              </w:rPr>
              <w:t>10</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管理制度健全性</w:t>
            </w:r>
            <w:r>
              <w:rPr>
                <w:rFonts w:hint="eastAsia" w:ascii="宋体" w:hAnsi="宋体" w:eastAsia="宋体" w:cs="宋体"/>
                <w:b w:val="0"/>
                <w:bCs/>
                <w:color w:val="000000"/>
                <w:kern w:val="0"/>
                <w:sz w:val="24"/>
                <w:szCs w:val="24"/>
                <w:lang w:val="en-US" w:eastAsia="zh-CN" w:bidi="ar"/>
              </w:rPr>
              <w:t>(B201)</w:t>
            </w:r>
          </w:p>
        </w:tc>
        <w:tc>
          <w:tcPr>
            <w:tcW w:w="304"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4</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制度执行有效性</w:t>
            </w:r>
            <w:r>
              <w:rPr>
                <w:rFonts w:hint="eastAsia" w:ascii="宋体" w:hAnsi="宋体" w:eastAsia="宋体" w:cs="宋体"/>
                <w:b w:val="0"/>
                <w:bCs/>
                <w:color w:val="000000"/>
                <w:kern w:val="0"/>
                <w:sz w:val="24"/>
                <w:szCs w:val="24"/>
                <w:lang w:val="en-US" w:eastAsia="zh-CN" w:bidi="ar"/>
              </w:rPr>
              <w:t>(B202)</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6</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restar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产出</w:t>
            </w:r>
          </w:p>
        </w:tc>
        <w:tc>
          <w:tcPr>
            <w:tcW w:w="303" w:type="pct"/>
            <w:vMerge w:val="restart"/>
            <w:tcBorders>
              <w:tl2br w:val="nil"/>
              <w:tr2bl w:val="nil"/>
            </w:tcBorders>
            <w:tcMar>
              <w:top w:w="15" w:type="dxa"/>
              <w:left w:w="15" w:type="dxa"/>
              <w:right w:w="15" w:type="dxa"/>
            </w:tcMar>
            <w:vAlign w:val="center"/>
          </w:tcPr>
          <w:p>
            <w:pPr>
              <w:widowControl/>
              <w:jc w:val="center"/>
              <w:textAlignment w:val="center"/>
              <w:rPr>
                <w:rFonts w:hint="eastAsia"/>
                <w:lang w:val="en-US" w:eastAsia="zh-CN"/>
              </w:rPr>
            </w:pPr>
            <w:r>
              <w:rPr>
                <w:rFonts w:hint="eastAsia"/>
                <w:lang w:val="en-US" w:eastAsia="zh-CN"/>
              </w:rPr>
              <w:t>30</w:t>
            </w:r>
          </w:p>
          <w:p>
            <w:pPr>
              <w:pStyle w:val="2"/>
              <w:jc w:val="center"/>
              <w:rPr>
                <w:rFonts w:hint="default"/>
                <w:lang w:val="en-US" w:eastAsia="zh-CN"/>
              </w:rPr>
            </w:pPr>
            <w:r>
              <w:rPr>
                <w:rFonts w:hint="eastAsia" w:ascii="宋体" w:hAnsi="宋体" w:eastAsia="宋体" w:cs="宋体"/>
                <w:b w:val="0"/>
                <w:bCs/>
                <w:color w:val="000000"/>
                <w:kern w:val="0"/>
                <w:sz w:val="24"/>
                <w:szCs w:val="24"/>
                <w:lang w:val="en-US" w:eastAsia="zh-CN" w:bidi="ar"/>
              </w:rPr>
              <w:t>(C)</w:t>
            </w:r>
          </w:p>
        </w:tc>
        <w:tc>
          <w:tcPr>
            <w:tcW w:w="938"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库存管理</w:t>
            </w:r>
            <w:r>
              <w:rPr>
                <w:rFonts w:hint="eastAsia" w:ascii="宋体" w:hAnsi="宋体" w:eastAsia="宋体" w:cs="宋体"/>
                <w:b w:val="0"/>
                <w:bCs/>
                <w:color w:val="000000"/>
                <w:kern w:val="0"/>
                <w:sz w:val="24"/>
                <w:szCs w:val="24"/>
                <w:lang w:val="en-US" w:eastAsia="zh-CN" w:bidi="ar"/>
              </w:rPr>
              <w:t>(C1)</w:t>
            </w:r>
          </w:p>
        </w:tc>
        <w:tc>
          <w:tcPr>
            <w:tcW w:w="304" w:type="pct"/>
            <w:vMerge w:val="restar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8</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rPr>
              <w:t>达到“一符”标准</w:t>
            </w:r>
            <w:r>
              <w:rPr>
                <w:rFonts w:hint="eastAsia" w:ascii="宋体" w:hAnsi="宋体" w:eastAsia="宋体" w:cs="宋体"/>
                <w:b w:val="0"/>
                <w:bCs/>
                <w:color w:val="000000"/>
                <w:sz w:val="24"/>
                <w:szCs w:val="24"/>
                <w:lang w:val="en-US" w:eastAsia="zh-CN"/>
              </w:rPr>
              <w:t>(C101)</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2</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rPr>
              <w:t>达到“三专”标准</w:t>
            </w:r>
            <w:r>
              <w:rPr>
                <w:rFonts w:hint="eastAsia" w:ascii="宋体" w:hAnsi="宋体" w:eastAsia="宋体" w:cs="宋体"/>
                <w:b w:val="0"/>
                <w:bCs/>
                <w:color w:val="000000"/>
                <w:sz w:val="24"/>
                <w:szCs w:val="24"/>
                <w:lang w:val="en-US" w:eastAsia="zh-CN"/>
              </w:rPr>
              <w:t>(C102)</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2</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rPr>
              <w:t>达到“四落实”标准</w:t>
            </w:r>
            <w:r>
              <w:rPr>
                <w:rFonts w:hint="eastAsia" w:ascii="宋体" w:hAnsi="宋体" w:eastAsia="宋体" w:cs="宋体"/>
                <w:b w:val="0"/>
                <w:bCs/>
                <w:color w:val="000000"/>
                <w:sz w:val="24"/>
                <w:szCs w:val="24"/>
                <w:lang w:val="en-US" w:eastAsia="zh-CN"/>
              </w:rPr>
              <w:t>(C103)</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2</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sz w:val="24"/>
                <w:szCs w:val="24"/>
              </w:rPr>
              <w:t>达到“六无”标准</w:t>
            </w:r>
            <w:r>
              <w:rPr>
                <w:rFonts w:hint="eastAsia" w:ascii="宋体" w:hAnsi="宋体" w:eastAsia="宋体" w:cs="宋体"/>
                <w:b w:val="0"/>
                <w:bCs/>
                <w:color w:val="000000"/>
                <w:sz w:val="24"/>
                <w:szCs w:val="24"/>
                <w:lang w:val="en-US" w:eastAsia="zh-CN"/>
              </w:rPr>
              <w:t>(C104)</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2</w:t>
            </w:r>
          </w:p>
        </w:tc>
        <w:tc>
          <w:tcPr>
            <w:tcW w:w="294" w:type="pct"/>
            <w:tcBorders>
              <w:tl2br w:val="nil"/>
              <w:tr2bl w:val="nil"/>
            </w:tcBorders>
            <w:vAlign w:val="center"/>
          </w:tcPr>
          <w:p>
            <w:pPr>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安全储粮</w:t>
            </w:r>
            <w:r>
              <w:rPr>
                <w:rFonts w:hint="eastAsia" w:ascii="宋体" w:hAnsi="宋体" w:eastAsia="宋体" w:cs="宋体"/>
                <w:b w:val="0"/>
                <w:bCs/>
                <w:color w:val="000000"/>
                <w:kern w:val="0"/>
                <w:sz w:val="24"/>
                <w:szCs w:val="24"/>
                <w:lang w:val="en-US" w:eastAsia="zh-CN" w:bidi="ar"/>
              </w:rPr>
              <w:t>(C2)</w:t>
            </w:r>
          </w:p>
        </w:tc>
        <w:tc>
          <w:tcPr>
            <w:tcW w:w="304" w:type="pct"/>
            <w:vMerge w:val="restar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kern w:val="0"/>
                <w:sz w:val="24"/>
                <w:szCs w:val="24"/>
                <w:lang w:val="en-US" w:eastAsia="zh-CN" w:bidi="ar"/>
              </w:rPr>
              <w:t>7</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粮油安全存储</w:t>
            </w:r>
            <w:r>
              <w:rPr>
                <w:rFonts w:hint="eastAsia" w:ascii="宋体" w:hAnsi="宋体" w:eastAsia="宋体" w:cs="宋体"/>
                <w:b w:val="0"/>
                <w:bCs/>
                <w:color w:val="000000"/>
                <w:kern w:val="0"/>
                <w:sz w:val="24"/>
                <w:szCs w:val="24"/>
                <w:lang w:val="en-US" w:eastAsia="zh-CN" w:bidi="ar"/>
              </w:rPr>
              <w:t>(C201)</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3</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p>
        </w:tc>
        <w:tc>
          <w:tcPr>
            <w:tcW w:w="304" w:type="pct"/>
            <w:vMerge w:val="continue"/>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粮库安全生产培训</w:t>
            </w:r>
            <w:r>
              <w:rPr>
                <w:rFonts w:hint="eastAsia" w:ascii="宋体" w:hAnsi="宋体" w:eastAsia="宋体" w:cs="宋体"/>
                <w:b w:val="0"/>
                <w:bCs/>
                <w:color w:val="000000"/>
                <w:kern w:val="0"/>
                <w:sz w:val="24"/>
                <w:szCs w:val="24"/>
                <w:lang w:val="en-US" w:eastAsia="zh-CN" w:bidi="ar"/>
              </w:rPr>
              <w:t>(C202)</w:t>
            </w:r>
          </w:p>
        </w:tc>
        <w:tc>
          <w:tcPr>
            <w:tcW w:w="304"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4</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轮换管理</w:t>
            </w:r>
            <w:r>
              <w:rPr>
                <w:rFonts w:hint="eastAsia" w:ascii="宋体" w:hAnsi="宋体" w:eastAsia="宋体" w:cs="宋体"/>
                <w:b w:val="0"/>
                <w:bCs/>
                <w:color w:val="000000"/>
                <w:kern w:val="0"/>
                <w:sz w:val="24"/>
                <w:szCs w:val="24"/>
                <w:lang w:val="en-US" w:eastAsia="zh-CN" w:bidi="ar"/>
              </w:rPr>
              <w:t>(C3)</w:t>
            </w:r>
          </w:p>
        </w:tc>
        <w:tc>
          <w:tcPr>
            <w:tcW w:w="304" w:type="pct"/>
            <w:vMerge w:val="restar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kern w:val="0"/>
                <w:sz w:val="24"/>
                <w:szCs w:val="24"/>
                <w:lang w:val="en-US" w:eastAsia="zh-CN" w:bidi="ar"/>
              </w:rPr>
              <w:t>5</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严格执行粮食出入库管理制度</w:t>
            </w:r>
            <w:r>
              <w:rPr>
                <w:rFonts w:hint="eastAsia" w:ascii="宋体" w:hAnsi="宋体" w:eastAsia="宋体" w:cs="宋体"/>
                <w:b w:val="0"/>
                <w:bCs/>
                <w:color w:val="000000"/>
                <w:kern w:val="0"/>
                <w:sz w:val="24"/>
                <w:szCs w:val="24"/>
                <w:lang w:val="en-US" w:eastAsia="zh-CN" w:bidi="ar"/>
              </w:rPr>
              <w:t>(C301)</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3</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p>
        </w:tc>
        <w:tc>
          <w:tcPr>
            <w:tcW w:w="304" w:type="pct"/>
            <w:vMerge w:val="continue"/>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按时完成粮食轮换任务</w:t>
            </w:r>
            <w:r>
              <w:rPr>
                <w:rFonts w:hint="eastAsia" w:ascii="宋体" w:hAnsi="宋体" w:eastAsia="宋体" w:cs="宋体"/>
                <w:b w:val="0"/>
                <w:bCs/>
                <w:color w:val="000000"/>
                <w:kern w:val="0"/>
                <w:sz w:val="24"/>
                <w:szCs w:val="24"/>
                <w:lang w:val="en-US" w:eastAsia="zh-CN" w:bidi="ar"/>
              </w:rPr>
              <w:t>(C302)</w:t>
            </w:r>
          </w:p>
        </w:tc>
        <w:tc>
          <w:tcPr>
            <w:tcW w:w="304"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2</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产出数量</w:t>
            </w:r>
            <w:r>
              <w:rPr>
                <w:rFonts w:hint="eastAsia" w:ascii="宋体" w:hAnsi="宋体" w:eastAsia="宋体" w:cs="宋体"/>
                <w:b w:val="0"/>
                <w:bCs/>
                <w:color w:val="000000"/>
                <w:kern w:val="0"/>
                <w:sz w:val="24"/>
                <w:szCs w:val="24"/>
                <w:lang w:val="en-US" w:eastAsia="zh-CN" w:bidi="ar"/>
              </w:rPr>
              <w:t>(C4)</w:t>
            </w:r>
          </w:p>
        </w:tc>
        <w:tc>
          <w:tcPr>
            <w:tcW w:w="304" w:type="pct"/>
            <w:vMerge w:val="restar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6</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存储小麦21500万斤</w:t>
            </w:r>
            <w:r>
              <w:rPr>
                <w:rFonts w:hint="eastAsia" w:ascii="宋体" w:hAnsi="宋体" w:eastAsia="宋体" w:cs="宋体"/>
                <w:b w:val="0"/>
                <w:bCs/>
                <w:color w:val="000000"/>
                <w:kern w:val="0"/>
                <w:sz w:val="24"/>
                <w:szCs w:val="24"/>
                <w:lang w:val="en-US" w:eastAsia="zh-CN" w:bidi="ar"/>
              </w:rPr>
              <w:t>(C401)</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2</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kern w:val="0"/>
                <w:sz w:val="24"/>
                <w:szCs w:val="24"/>
                <w:lang w:bidi="ar"/>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kern w:val="0"/>
                <w:sz w:val="24"/>
                <w:szCs w:val="24"/>
                <w:lang w:bidi="ar"/>
              </w:rPr>
            </w:pPr>
            <w:r>
              <w:rPr>
                <w:rFonts w:hint="eastAsia" w:ascii="宋体" w:hAnsi="宋体" w:eastAsia="宋体" w:cs="宋体"/>
                <w:b w:val="0"/>
                <w:bCs/>
                <w:color w:val="000000"/>
                <w:kern w:val="0"/>
                <w:sz w:val="24"/>
                <w:szCs w:val="24"/>
                <w:lang w:bidi="ar"/>
              </w:rPr>
              <w:t>存储食用油200万斤</w:t>
            </w:r>
            <w:r>
              <w:rPr>
                <w:rFonts w:hint="eastAsia" w:ascii="宋体" w:hAnsi="宋体" w:eastAsia="宋体" w:cs="宋体"/>
                <w:b w:val="0"/>
                <w:bCs/>
                <w:color w:val="000000"/>
                <w:kern w:val="0"/>
                <w:sz w:val="24"/>
                <w:szCs w:val="24"/>
                <w:lang w:val="en-US" w:eastAsia="zh-CN" w:bidi="ar"/>
              </w:rPr>
              <w:t>(C402)</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2</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存储小包装油100万斤</w:t>
            </w:r>
            <w:r>
              <w:rPr>
                <w:rFonts w:hint="eastAsia" w:ascii="宋体" w:hAnsi="宋体" w:eastAsia="宋体" w:cs="宋体"/>
                <w:b w:val="0"/>
                <w:bCs/>
                <w:color w:val="000000"/>
                <w:kern w:val="0"/>
                <w:sz w:val="24"/>
                <w:szCs w:val="24"/>
                <w:lang w:val="en-US" w:eastAsia="zh-CN" w:bidi="ar"/>
              </w:rPr>
              <w:t>(C403)</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2</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产出质量</w:t>
            </w:r>
            <w:r>
              <w:rPr>
                <w:rFonts w:hint="eastAsia" w:ascii="宋体" w:hAnsi="宋体" w:eastAsia="宋体" w:cs="宋体"/>
                <w:b w:val="0"/>
                <w:bCs/>
                <w:color w:val="000000"/>
                <w:kern w:val="0"/>
                <w:sz w:val="24"/>
                <w:szCs w:val="24"/>
                <w:lang w:val="en-US" w:eastAsia="zh-CN" w:bidi="ar"/>
              </w:rPr>
              <w:t>(C5)</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4</w:t>
            </w:r>
          </w:p>
        </w:tc>
        <w:tc>
          <w:tcPr>
            <w:tcW w:w="2266"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kern w:val="0"/>
                <w:sz w:val="24"/>
                <w:szCs w:val="24"/>
                <w:lang w:bidi="ar"/>
              </w:rPr>
            </w:pPr>
            <w:r>
              <w:rPr>
                <w:rFonts w:hint="eastAsia" w:ascii="宋体" w:hAnsi="宋体" w:eastAsia="宋体" w:cs="宋体"/>
                <w:b w:val="0"/>
                <w:bCs/>
                <w:color w:val="000000"/>
                <w:kern w:val="0"/>
                <w:sz w:val="24"/>
                <w:szCs w:val="24"/>
                <w:lang w:bidi="ar"/>
              </w:rPr>
              <w:t>轮换购入新粮质量达到100%</w:t>
            </w:r>
            <w:r>
              <w:rPr>
                <w:rFonts w:hint="eastAsia" w:ascii="宋体" w:hAnsi="宋体" w:eastAsia="宋体" w:cs="宋体"/>
                <w:b w:val="0"/>
                <w:bCs/>
                <w:color w:val="000000"/>
                <w:kern w:val="0"/>
                <w:sz w:val="24"/>
                <w:szCs w:val="24"/>
                <w:lang w:val="en-US" w:eastAsia="zh-CN" w:bidi="ar"/>
              </w:rPr>
              <w:t>(C501)</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4</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restar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kern w:val="0"/>
                <w:sz w:val="24"/>
                <w:szCs w:val="24"/>
                <w:lang w:bidi="ar"/>
              </w:rPr>
            </w:pPr>
            <w:r>
              <w:rPr>
                <w:rFonts w:hint="eastAsia" w:ascii="宋体" w:hAnsi="宋体" w:eastAsia="宋体" w:cs="宋体"/>
                <w:b w:val="0"/>
                <w:bCs/>
                <w:color w:val="000000"/>
                <w:kern w:val="0"/>
                <w:sz w:val="24"/>
                <w:szCs w:val="24"/>
                <w:lang w:bidi="ar"/>
              </w:rPr>
              <w:t>效益</w:t>
            </w:r>
          </w:p>
        </w:tc>
        <w:tc>
          <w:tcPr>
            <w:tcW w:w="303" w:type="pct"/>
            <w:vMerge w:val="restart"/>
            <w:tcBorders>
              <w:tl2br w:val="nil"/>
              <w:tr2bl w:val="nil"/>
            </w:tcBorders>
            <w:tcMar>
              <w:top w:w="15" w:type="dxa"/>
              <w:left w:w="15" w:type="dxa"/>
              <w:right w:w="15" w:type="dxa"/>
            </w:tcMar>
            <w:vAlign w:val="center"/>
          </w:tcPr>
          <w:p>
            <w:pPr>
              <w:widowControl/>
              <w:jc w:val="center"/>
              <w:textAlignment w:val="center"/>
              <w:rPr>
                <w:rFonts w:hint="eastAsia"/>
                <w:lang w:val="en-US" w:eastAsia="zh-CN"/>
              </w:rPr>
            </w:pPr>
            <w:r>
              <w:rPr>
                <w:rFonts w:hint="eastAsia"/>
                <w:lang w:val="en-US" w:eastAsia="zh-CN"/>
              </w:rPr>
              <w:t>30</w:t>
            </w:r>
          </w:p>
          <w:p>
            <w:pPr>
              <w:pStyle w:val="2"/>
              <w:jc w:val="center"/>
              <w:rPr>
                <w:rFonts w:hint="default"/>
                <w:lang w:val="en-US" w:eastAsia="zh-CN"/>
              </w:rPr>
            </w:pPr>
            <w:r>
              <w:rPr>
                <w:rFonts w:hint="eastAsia" w:ascii="宋体" w:hAnsi="宋体" w:eastAsia="宋体" w:cs="宋体"/>
                <w:b w:val="0"/>
                <w:bCs/>
                <w:color w:val="000000"/>
                <w:kern w:val="0"/>
                <w:sz w:val="24"/>
                <w:szCs w:val="24"/>
                <w:lang w:val="en-US" w:eastAsia="zh-CN" w:bidi="ar"/>
              </w:rPr>
              <w:t>(D)</w:t>
            </w:r>
          </w:p>
        </w:tc>
        <w:tc>
          <w:tcPr>
            <w:tcW w:w="938"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社会效益指标</w:t>
            </w:r>
            <w:r>
              <w:rPr>
                <w:rFonts w:hint="eastAsia" w:ascii="宋体" w:hAnsi="宋体" w:eastAsia="宋体" w:cs="宋体"/>
                <w:b w:val="0"/>
                <w:bCs/>
                <w:color w:val="000000"/>
                <w:kern w:val="0"/>
                <w:sz w:val="24"/>
                <w:szCs w:val="24"/>
                <w:lang w:val="en-US" w:eastAsia="zh-CN" w:bidi="ar"/>
              </w:rPr>
              <w:t>(D1)</w:t>
            </w:r>
          </w:p>
        </w:tc>
        <w:tc>
          <w:tcPr>
            <w:tcW w:w="304" w:type="pct"/>
            <w:vMerge w:val="restar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10</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储备粮油数量真实、质量完好，确保满足市政府调动需求</w:t>
            </w:r>
            <w:r>
              <w:rPr>
                <w:rFonts w:hint="eastAsia" w:ascii="宋体" w:hAnsi="宋体" w:eastAsia="宋体" w:cs="宋体"/>
                <w:b w:val="0"/>
                <w:bCs/>
                <w:color w:val="000000"/>
                <w:kern w:val="0"/>
                <w:sz w:val="24"/>
                <w:szCs w:val="24"/>
                <w:lang w:val="en-US" w:eastAsia="zh-CN" w:bidi="ar"/>
              </w:rPr>
              <w:t>(D101)</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kern w:val="0"/>
                <w:sz w:val="24"/>
                <w:szCs w:val="24"/>
                <w:lang w:eastAsia="zh-CN" w:bidi="ar"/>
              </w:rPr>
            </w:pPr>
            <w:r>
              <w:rPr>
                <w:rFonts w:hint="eastAsia" w:ascii="宋体" w:hAnsi="宋体" w:eastAsia="宋体" w:cs="宋体"/>
                <w:b w:val="0"/>
                <w:bCs/>
                <w:color w:val="000000"/>
                <w:kern w:val="0"/>
                <w:sz w:val="24"/>
                <w:szCs w:val="24"/>
                <w:lang w:eastAsia="zh-CN" w:bidi="ar"/>
              </w:rPr>
              <w:t>5</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4"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维护粮食市场稳定</w:t>
            </w:r>
            <w:r>
              <w:rPr>
                <w:rFonts w:hint="eastAsia" w:ascii="宋体" w:hAnsi="宋体" w:eastAsia="宋体" w:cs="宋体"/>
                <w:b w:val="0"/>
                <w:bCs/>
                <w:color w:val="000000"/>
                <w:kern w:val="0"/>
                <w:sz w:val="24"/>
                <w:szCs w:val="24"/>
                <w:lang w:val="en-US" w:eastAsia="zh-CN" w:bidi="ar"/>
              </w:rPr>
              <w:t>(D102)</w:t>
            </w: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val="en-US" w:eastAsia="zh-CN" w:bidi="ar"/>
              </w:rPr>
              <w:t>5</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可持续影响指标</w:t>
            </w:r>
            <w:r>
              <w:rPr>
                <w:rFonts w:hint="eastAsia" w:ascii="宋体" w:hAnsi="宋体" w:eastAsia="宋体" w:cs="宋体"/>
                <w:b w:val="0"/>
                <w:bCs/>
                <w:color w:val="000000"/>
                <w:kern w:val="0"/>
                <w:sz w:val="24"/>
                <w:szCs w:val="24"/>
                <w:lang w:val="en-US" w:eastAsia="zh-CN" w:bidi="ar"/>
              </w:rPr>
              <w:t>(D2)</w:t>
            </w:r>
          </w:p>
        </w:tc>
        <w:tc>
          <w:tcPr>
            <w:tcW w:w="304"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val="en-US" w:eastAsia="zh-CN" w:bidi="ar"/>
              </w:rPr>
              <w:t>10</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bidi="ar"/>
              </w:rPr>
              <w:t>可持续影响</w:t>
            </w:r>
            <w:r>
              <w:rPr>
                <w:rFonts w:hint="eastAsia" w:ascii="宋体" w:hAnsi="宋体" w:eastAsia="宋体" w:cs="宋体"/>
                <w:b w:val="0"/>
                <w:bCs/>
                <w:color w:val="000000"/>
                <w:kern w:val="0"/>
                <w:sz w:val="24"/>
                <w:szCs w:val="24"/>
                <w:lang w:val="en-US" w:eastAsia="zh-CN" w:bidi="ar"/>
              </w:rPr>
              <w:t>(D201)</w:t>
            </w:r>
          </w:p>
        </w:tc>
        <w:tc>
          <w:tcPr>
            <w:tcW w:w="304"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10</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303" w:type="pct"/>
            <w:vMerge w:val="continue"/>
            <w:tcBorders>
              <w:tl2br w:val="nil"/>
              <w:tr2bl w:val="nil"/>
            </w:tcBorders>
            <w:tcMar>
              <w:top w:w="15" w:type="dxa"/>
              <w:left w:w="15" w:type="dxa"/>
              <w:right w:w="15" w:type="dxa"/>
            </w:tcMar>
            <w:vAlign w:val="center"/>
          </w:tcPr>
          <w:p>
            <w:pPr>
              <w:jc w:val="center"/>
              <w:rPr>
                <w:rFonts w:hint="eastAsia" w:ascii="宋体" w:hAnsi="宋体" w:eastAsia="宋体" w:cs="宋体"/>
                <w:b w:val="0"/>
                <w:bCs/>
                <w:color w:val="000000"/>
                <w:sz w:val="24"/>
                <w:szCs w:val="24"/>
              </w:rPr>
            </w:pPr>
          </w:p>
        </w:tc>
        <w:tc>
          <w:tcPr>
            <w:tcW w:w="938"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生态效益</w:t>
            </w:r>
            <w:r>
              <w:rPr>
                <w:rFonts w:hint="eastAsia" w:ascii="宋体" w:hAnsi="宋体" w:eastAsia="宋体" w:cs="宋体"/>
                <w:b w:val="0"/>
                <w:bCs/>
                <w:color w:val="000000"/>
                <w:kern w:val="0"/>
                <w:sz w:val="24"/>
                <w:szCs w:val="24"/>
                <w:lang w:val="en-US" w:eastAsia="zh-CN" w:bidi="ar"/>
              </w:rPr>
              <w:t>(D3)</w:t>
            </w:r>
          </w:p>
        </w:tc>
        <w:tc>
          <w:tcPr>
            <w:tcW w:w="304"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sz w:val="24"/>
                <w:szCs w:val="24"/>
                <w:lang w:val="en-US" w:eastAsia="zh-CN"/>
              </w:rPr>
              <w:t>10</w:t>
            </w:r>
          </w:p>
        </w:tc>
        <w:tc>
          <w:tcPr>
            <w:tcW w:w="2266"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bidi="ar"/>
              </w:rPr>
              <w:t>提高抗灾能力</w:t>
            </w:r>
            <w:r>
              <w:rPr>
                <w:rFonts w:hint="eastAsia" w:ascii="宋体" w:hAnsi="宋体" w:eastAsia="宋体" w:cs="宋体"/>
                <w:b w:val="0"/>
                <w:bCs/>
                <w:color w:val="000000"/>
                <w:kern w:val="0"/>
                <w:sz w:val="24"/>
                <w:szCs w:val="24"/>
                <w:lang w:val="en-US" w:eastAsia="zh-CN" w:bidi="ar"/>
              </w:rPr>
              <w:t>(D301)</w:t>
            </w:r>
          </w:p>
        </w:tc>
        <w:tc>
          <w:tcPr>
            <w:tcW w:w="304" w:type="pct"/>
            <w:tcBorders>
              <w:tl2br w:val="nil"/>
              <w:tr2bl w:val="nil"/>
            </w:tcBorders>
            <w:tcMar>
              <w:top w:w="15" w:type="dxa"/>
              <w:left w:w="15" w:type="dxa"/>
              <w:right w:w="15" w:type="dxa"/>
            </w:tcMar>
            <w:vAlign w:val="center"/>
          </w:tcPr>
          <w:p>
            <w:pPr>
              <w:widowControl/>
              <w:jc w:val="center"/>
              <w:textAlignment w:val="center"/>
              <w:rPr>
                <w:rFonts w:hint="default" w:ascii="宋体" w:hAnsi="宋体" w:eastAsia="宋体" w:cs="宋体"/>
                <w:b w:val="0"/>
                <w:bCs/>
                <w:color w:val="000000"/>
                <w:sz w:val="24"/>
                <w:szCs w:val="24"/>
                <w:lang w:val="en-US" w:eastAsia="zh-CN"/>
              </w:rPr>
            </w:pPr>
            <w:r>
              <w:rPr>
                <w:rFonts w:hint="eastAsia" w:ascii="宋体" w:hAnsi="宋体" w:eastAsia="宋体" w:cs="宋体"/>
                <w:b w:val="0"/>
                <w:bCs/>
                <w:color w:val="000000"/>
                <w:kern w:val="0"/>
                <w:sz w:val="24"/>
                <w:szCs w:val="24"/>
                <w:lang w:val="en-US" w:eastAsia="zh-CN" w:bidi="ar"/>
              </w:rPr>
              <w:t>10</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8"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合计</w:t>
            </w:r>
          </w:p>
        </w:tc>
        <w:tc>
          <w:tcPr>
            <w:tcW w:w="303"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100</w:t>
            </w:r>
          </w:p>
        </w:tc>
        <w:tc>
          <w:tcPr>
            <w:tcW w:w="938"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100</w:t>
            </w:r>
          </w:p>
        </w:tc>
        <w:tc>
          <w:tcPr>
            <w:tcW w:w="2266"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p>
        </w:tc>
        <w:tc>
          <w:tcPr>
            <w:tcW w:w="304" w:type="pct"/>
            <w:tcBorders>
              <w:tl2br w:val="nil"/>
              <w:tr2bl w:val="nil"/>
            </w:tcBorders>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100</w:t>
            </w:r>
          </w:p>
        </w:tc>
        <w:tc>
          <w:tcPr>
            <w:tcW w:w="294" w:type="pct"/>
            <w:tcBorders>
              <w:tl2br w:val="nil"/>
              <w:tr2bl w:val="nil"/>
            </w:tcBorders>
            <w:vAlign w:val="center"/>
          </w:tcPr>
          <w:p>
            <w:pPr>
              <w:widowControl/>
              <w:jc w:val="center"/>
              <w:textAlignment w:val="center"/>
              <w:rPr>
                <w:rFonts w:hint="default"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93</w:t>
            </w:r>
          </w:p>
        </w:tc>
      </w:tr>
    </w:tbl>
    <w:p>
      <w:pPr>
        <w:rPr>
          <w:rFonts w:hint="eastAsia" w:ascii="宋体" w:hAnsi="宋体" w:eastAsia="宋体" w:cs="宋体"/>
          <w:sz w:val="28"/>
          <w:szCs w:val="28"/>
        </w:rPr>
        <w:sectPr>
          <w:footerReference r:id="rId7" w:type="default"/>
          <w:pgSz w:w="11850" w:h="16783"/>
          <w:pgMar w:top="1440" w:right="1013" w:bottom="1440" w:left="1797" w:header="851" w:footer="992" w:gutter="0"/>
          <w:pgNumType w:fmt="decimal" w:start="1"/>
          <w:cols w:space="720" w:num="1"/>
          <w:docGrid w:type="lines" w:linePitch="317" w:charSpace="0"/>
        </w:sectPr>
      </w:pPr>
    </w:p>
    <w:bookmarkEnd w:id="211"/>
    <w:bookmarkEnd w:id="212"/>
    <w:bookmarkEnd w:id="213"/>
    <w:p>
      <w:pPr>
        <w:pStyle w:val="12"/>
        <w:ind w:firstLine="0" w:firstLineChars="0"/>
        <w:rPr>
          <w:rFonts w:hint="eastAsia" w:ascii="宋体" w:hAnsi="宋体" w:eastAsia="宋体" w:cs="宋体"/>
          <w:sz w:val="28"/>
          <w:szCs w:val="28"/>
        </w:rPr>
      </w:pPr>
      <w:bookmarkStart w:id="214" w:name="_Toc5824"/>
      <w:bookmarkStart w:id="215" w:name="_Toc18178"/>
      <w:bookmarkStart w:id="216" w:name="_Toc5921"/>
      <w:bookmarkStart w:id="217" w:name="_Toc25419"/>
      <w:bookmarkStart w:id="218" w:name="_Toc17093"/>
      <w:bookmarkStart w:id="219" w:name="_Toc12743"/>
      <w:bookmarkStart w:id="220" w:name="_Toc7755"/>
      <w:bookmarkStart w:id="221" w:name="_Toc1642"/>
      <w:r>
        <w:rPr>
          <w:rFonts w:hint="eastAsia" w:ascii="宋体" w:hAnsi="宋体" w:eastAsia="宋体" w:cs="宋体"/>
          <w:sz w:val="28"/>
          <w:szCs w:val="28"/>
        </w:rPr>
        <w:t>附件2</w:t>
      </w:r>
      <w:bookmarkEnd w:id="214"/>
      <w:bookmarkEnd w:id="215"/>
      <w:bookmarkEnd w:id="216"/>
      <w:bookmarkEnd w:id="217"/>
    </w:p>
    <w:p>
      <w:pPr>
        <w:pStyle w:val="12"/>
        <w:ind w:firstLine="0" w:firstLineChars="0"/>
        <w:jc w:val="center"/>
        <w:outlineLvl w:val="9"/>
        <w:rPr>
          <w:rFonts w:hint="eastAsia" w:ascii="宋体" w:hAnsi="宋体" w:eastAsia="宋体" w:cs="宋体"/>
          <w:b w:val="0"/>
          <w:bCs/>
          <w:sz w:val="28"/>
          <w:szCs w:val="28"/>
        </w:rPr>
      </w:pPr>
      <w:bookmarkStart w:id="222" w:name="_Toc30123"/>
      <w:bookmarkStart w:id="223" w:name="_Toc20148"/>
      <w:bookmarkStart w:id="224" w:name="_Toc14488"/>
      <w:bookmarkStart w:id="225" w:name="_Toc25870"/>
      <w:bookmarkStart w:id="226" w:name="_Toc16180"/>
      <w:bookmarkStart w:id="227" w:name="_Toc22129"/>
      <w:r>
        <w:rPr>
          <w:rFonts w:hint="eastAsia" w:ascii="宋体" w:hAnsi="宋体" w:eastAsia="宋体" w:cs="宋体"/>
          <w:b w:val="0"/>
          <w:bCs/>
          <w:sz w:val="28"/>
          <w:szCs w:val="28"/>
        </w:rPr>
        <w:t>财政支出绩效评价指标体系</w:t>
      </w:r>
      <w:bookmarkEnd w:id="222"/>
      <w:bookmarkEnd w:id="223"/>
      <w:bookmarkEnd w:id="224"/>
      <w:bookmarkEnd w:id="225"/>
      <w:bookmarkEnd w:id="226"/>
      <w:bookmarkEnd w:id="227"/>
    </w:p>
    <w:tbl>
      <w:tblPr>
        <w:tblStyle w:val="14"/>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390"/>
        <w:gridCol w:w="390"/>
        <w:gridCol w:w="1021"/>
        <w:gridCol w:w="390"/>
        <w:gridCol w:w="1568"/>
        <w:gridCol w:w="390"/>
        <w:gridCol w:w="2782"/>
        <w:gridCol w:w="70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blHeader/>
          <w:jc w:val="center"/>
        </w:trPr>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一级指标</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分值</w:t>
            </w:r>
          </w:p>
        </w:tc>
        <w:tc>
          <w:tcPr>
            <w:tcW w:w="367"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二级指标</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分值</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三级指标</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分值</w:t>
            </w:r>
          </w:p>
        </w:tc>
        <w:tc>
          <w:tcPr>
            <w:tcW w:w="998"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指标解释</w:t>
            </w:r>
          </w:p>
        </w:tc>
        <w:tc>
          <w:tcPr>
            <w:tcW w:w="2511"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color w:val="000000"/>
                <w:sz w:val="24"/>
                <w:szCs w:val="24"/>
              </w:rPr>
            </w:pPr>
            <w:r>
              <w:rPr>
                <w:rFonts w:hint="eastAsia" w:ascii="宋体" w:hAnsi="宋体" w:eastAsia="宋体" w:cs="宋体"/>
                <w:b w:val="0"/>
                <w:bCs/>
                <w:color w:val="000000"/>
                <w:kern w:val="0"/>
                <w:sz w:val="24"/>
                <w:szCs w:val="24"/>
                <w:lang w:bidi="ar"/>
              </w:rPr>
              <w:t>评价标准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80" w:hRule="atLeast"/>
          <w:jc w:val="center"/>
        </w:trPr>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决策</w:t>
            </w:r>
          </w:p>
          <w:p>
            <w:pPr>
              <w:pStyle w:val="2"/>
              <w:rPr>
                <w:rFonts w:hint="default" w:eastAsia="宋体"/>
                <w:lang w:val="en-US" w:eastAsia="zh-CN"/>
              </w:rPr>
            </w:pPr>
            <w:r>
              <w:rPr>
                <w:rFonts w:hint="eastAsia" w:ascii="宋体" w:hAnsi="宋体" w:eastAsia="宋体" w:cs="宋体"/>
                <w:color w:val="000000"/>
                <w:kern w:val="0"/>
                <w:sz w:val="24"/>
                <w:szCs w:val="24"/>
                <w:lang w:val="en-US" w:eastAsia="zh-CN" w:bidi="ar"/>
              </w:rPr>
              <w:t>(A)</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367"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项目立项</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(A1)</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立项依据充分性</w:t>
            </w:r>
            <w:r>
              <w:rPr>
                <w:rFonts w:hint="eastAsia" w:ascii="宋体" w:hAnsi="宋体" w:eastAsia="宋体" w:cs="宋体"/>
                <w:color w:val="000000"/>
                <w:kern w:val="0"/>
                <w:sz w:val="24"/>
                <w:szCs w:val="24"/>
                <w:lang w:val="en-US" w:eastAsia="zh-CN" w:bidi="ar"/>
              </w:rPr>
              <w:t>(A101)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4</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项目立项是否符合法律法规、相关政策、发展规划以及部门职责，用以反映和考核项目立项依据情况。</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评价要点：①项目立项是否符合国家法律法规、国民经济发展规划和相关政策，得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分；②项目立项是否符合行业发展规划和政策要求，得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分；③项目立项是否与部门职责范围相符，属于部门履职所需，得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分。④项目是否属于公共财政支持范围，是否符合中央、地方事权支出责任划分原则，得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立项程序规范性</w:t>
            </w:r>
            <w:r>
              <w:rPr>
                <w:rFonts w:hint="eastAsia" w:ascii="宋体" w:hAnsi="宋体" w:eastAsia="宋体" w:cs="宋体"/>
                <w:color w:val="000000"/>
                <w:kern w:val="0"/>
                <w:sz w:val="24"/>
                <w:szCs w:val="24"/>
                <w:lang w:val="en-US" w:eastAsia="zh-CN" w:bidi="ar"/>
              </w:rPr>
              <w:t>(A102)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6</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项目申请、设立过程是否符合相关要求，用以反映和考核项目立项的规范情况。</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评价要点：①项目是否按照规定的程序申请设立，得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分；②审批文件、材料是否符合相关要求，得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分；③事前是否已经过必要的可行性研究、专家论证、风险评估、绩效评估、集体决策等，得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绩效目标</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(A2)</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绩效目标合理性</w:t>
            </w:r>
            <w:r>
              <w:rPr>
                <w:rFonts w:hint="eastAsia" w:ascii="宋体" w:hAnsi="宋体" w:eastAsia="宋体" w:cs="宋体"/>
                <w:color w:val="000000"/>
                <w:kern w:val="0"/>
                <w:sz w:val="24"/>
                <w:szCs w:val="24"/>
                <w:lang w:val="en-US" w:eastAsia="zh-CN" w:bidi="ar"/>
              </w:rPr>
              <w:t>(A201)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6</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项目所设定的绩效目标是否依据充分，是否符合客观实际，用以反映和考核项目绩效目标与项目实施的相符情况。</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评价要点：（如未设定预算绩效目标，也可考核其他工作任务目标）①项目是否有绩效目标，得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分；②项目绩效目标与实际工作内容是否具有相关性，得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分；③项目预期产出效益和效果是否符合正常的业绩水平，得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绩效指标明确性</w:t>
            </w:r>
            <w:r>
              <w:rPr>
                <w:rFonts w:hint="eastAsia" w:ascii="宋体" w:hAnsi="宋体" w:eastAsia="宋体" w:cs="宋体"/>
                <w:color w:val="000000"/>
                <w:kern w:val="0"/>
                <w:sz w:val="24"/>
                <w:szCs w:val="24"/>
                <w:lang w:val="en-US" w:eastAsia="zh-CN" w:bidi="ar"/>
              </w:rPr>
              <w:t>(A202)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依据绩效目标设定的绩效指标是否清晰、细化、可衡量等，用以反映和考核项目绩效目标的明细化情况。</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评价要点：①是否将项目绩效目标细化分解为具体的绩效指标，得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分；②是否通过清晰、可衡量的指标值予以体现，得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分；③是否与项目目标任务数或计划数相对应.得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过程</w:t>
            </w:r>
          </w:p>
          <w:p>
            <w:pPr>
              <w:pStyle w:val="2"/>
              <w:rPr>
                <w:rFonts w:hint="default" w:eastAsia="宋体"/>
                <w:lang w:val="en-US" w:eastAsia="zh-CN"/>
              </w:rPr>
            </w:pPr>
            <w:r>
              <w:rPr>
                <w:rFonts w:hint="eastAsia" w:ascii="宋体" w:hAnsi="宋体" w:eastAsia="宋体" w:cs="宋体"/>
                <w:color w:val="000000"/>
                <w:kern w:val="0"/>
                <w:sz w:val="24"/>
                <w:szCs w:val="24"/>
                <w:lang w:val="en-US" w:eastAsia="zh-CN" w:bidi="ar"/>
              </w:rPr>
              <w:t>(B)</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val="en-US" w:eastAsia="zh-CN" w:bidi="ar"/>
              </w:rPr>
              <w:t>20</w:t>
            </w:r>
          </w:p>
        </w:tc>
        <w:tc>
          <w:tcPr>
            <w:tcW w:w="367"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资金管理</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(B1)</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资金到位率</w:t>
            </w:r>
            <w:r>
              <w:rPr>
                <w:rFonts w:hint="eastAsia" w:ascii="宋体" w:hAnsi="宋体" w:eastAsia="宋体" w:cs="宋体"/>
                <w:color w:val="000000"/>
                <w:kern w:val="0"/>
                <w:sz w:val="24"/>
                <w:szCs w:val="24"/>
                <w:lang w:val="en-US" w:eastAsia="zh-CN" w:bidi="ar"/>
              </w:rPr>
              <w:t>(B101)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3</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实际到位资金与预算资金的比率，用以反映和考核资金落实情况对项目实施的总体保障程度。</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资金到位率=实际到位资金/预算资金*100%*2。实际到位资金：一定时期（本年度或项目期）内落实到具体项目的资金；预算资金：一定时期（本年度或项目期）内预算安排到具体项目的资金。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预算执行率</w:t>
            </w:r>
            <w:r>
              <w:rPr>
                <w:rFonts w:hint="eastAsia" w:ascii="宋体" w:hAnsi="宋体" w:eastAsia="宋体" w:cs="宋体"/>
                <w:color w:val="000000"/>
                <w:kern w:val="0"/>
                <w:sz w:val="24"/>
                <w:szCs w:val="24"/>
                <w:lang w:val="en-US" w:eastAsia="zh-CN" w:bidi="ar"/>
              </w:rPr>
              <w:t>(B102)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3</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项目预算资金是否按照计划执行，用以反映或考核项目预算执行情况。</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预算执行率=（实际支出资金/实际到位资金）×100%。实际支出资金：一定时期（本年度或项目期）内项目实际拨付的资金。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资金使用合规性</w:t>
            </w:r>
            <w:r>
              <w:rPr>
                <w:rFonts w:hint="eastAsia" w:ascii="宋体" w:hAnsi="宋体" w:eastAsia="宋体" w:cs="宋体"/>
                <w:color w:val="000000"/>
                <w:kern w:val="0"/>
                <w:sz w:val="24"/>
                <w:szCs w:val="24"/>
                <w:lang w:val="en-US" w:eastAsia="zh-CN" w:bidi="ar"/>
              </w:rPr>
              <w:t>(B103)</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4</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项目资金使用是否符合相关的财务管理制度规定，用以反映和考核项目资金的规范运行情况。</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评价要点：①是否符合国家财经法规和财务管理制度以及有关专项资金管理办法的规定，得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分；②资金的拨付是否有完整的审批程序和手续，得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分；③是否符合项目预算批复或合同规定的用途，得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分；④是否存在截留、挤占、挪用、虚列支出等情况，得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组织实施</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(B2)</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管理制度健全性</w:t>
            </w:r>
            <w:r>
              <w:rPr>
                <w:rFonts w:hint="eastAsia" w:ascii="宋体" w:hAnsi="宋体" w:eastAsia="宋体" w:cs="宋体"/>
                <w:color w:val="000000"/>
                <w:kern w:val="0"/>
                <w:sz w:val="24"/>
                <w:szCs w:val="24"/>
                <w:lang w:val="en-US" w:eastAsia="zh-CN" w:bidi="ar"/>
              </w:rPr>
              <w:t>(B201)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项目实施范围的财务和业务管理制度是否健全，用以反映和考核财务和业务管理制度对项目顺利实施的保障情况。</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评价要点：①是否已制定或具有相应的财务和业务管理制度，得2分；②财务和业务管理制度是否合法、合规、完整，得2分。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制度执行有效性</w:t>
            </w:r>
            <w:r>
              <w:rPr>
                <w:rFonts w:hint="eastAsia" w:ascii="宋体" w:hAnsi="宋体" w:eastAsia="宋体" w:cs="宋体"/>
                <w:color w:val="000000"/>
                <w:kern w:val="0"/>
                <w:sz w:val="24"/>
                <w:szCs w:val="24"/>
                <w:lang w:val="en-US" w:eastAsia="zh-CN" w:bidi="ar"/>
              </w:rPr>
              <w:t>(B202)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6</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项目实施是否符合相关管理规定，用以反映和考核相关管理制度的有效执行情况。</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评价要点：①是否遵守相关法律法规和相关管理规定，得2分；②项目调整及支出调整手续是否完备，得</w:t>
            </w:r>
            <w:r>
              <w:rPr>
                <w:rFonts w:hint="eastAsia"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bidi="ar"/>
              </w:rPr>
              <w:t>分；③项目合同书、验收报告、技术鉴定等资料是否齐全并及时归档，得1分；④项目实施的人员条件、场地设备、信息支撑等是否落实到位，得1分。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产出</w:t>
            </w:r>
          </w:p>
          <w:p>
            <w:pPr>
              <w:pStyle w:val="2"/>
              <w:rPr>
                <w:rFonts w:hint="default" w:eastAsia="宋体"/>
                <w:lang w:val="en-US" w:eastAsia="zh-CN"/>
              </w:rPr>
            </w:pPr>
            <w:r>
              <w:rPr>
                <w:rFonts w:hint="eastAsia" w:ascii="宋体" w:hAnsi="宋体" w:eastAsia="宋体" w:cs="宋体"/>
                <w:color w:val="000000"/>
                <w:kern w:val="0"/>
                <w:sz w:val="24"/>
                <w:szCs w:val="24"/>
                <w:lang w:val="en-US" w:eastAsia="zh-CN" w:bidi="ar"/>
              </w:rPr>
              <w:t>(C)</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60</w:t>
            </w:r>
          </w:p>
        </w:tc>
        <w:tc>
          <w:tcPr>
            <w:tcW w:w="367"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库存管理</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(C1)</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both"/>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达到“一符”标准</w:t>
            </w:r>
            <w:r>
              <w:rPr>
                <w:rFonts w:hint="eastAsia" w:ascii="宋体" w:hAnsi="宋体" w:eastAsia="宋体" w:cs="宋体"/>
                <w:color w:val="000000"/>
                <w:kern w:val="0"/>
                <w:sz w:val="24"/>
                <w:szCs w:val="24"/>
                <w:lang w:val="en-US" w:eastAsia="zh-CN" w:bidi="ar"/>
              </w:rPr>
              <w:t>(C101)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2</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是指账实相符、即统计帐、会计账与保管帐相符，保管帐与仓（垛）专卡相符，专卡与库存相符</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评价要点：①统计帐、会计账与保管帐相符得1分；②保管帐与仓（垛）专卡相符得1分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达到“三专”标准</w:t>
            </w:r>
            <w:r>
              <w:rPr>
                <w:rFonts w:hint="eastAsia" w:ascii="宋体" w:hAnsi="宋体" w:eastAsia="宋体" w:cs="宋体"/>
                <w:color w:val="000000"/>
                <w:kern w:val="0"/>
                <w:sz w:val="24"/>
                <w:szCs w:val="24"/>
                <w:lang w:val="en-US" w:eastAsia="zh-CN" w:bidi="ar"/>
              </w:rPr>
              <w:t>(C102)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2</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是指专仓储存、专人保管、专帐记账。</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评价要点：①专仓储存，得1分；②专人保管</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专帐记载得1分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达到“四落实”标准</w:t>
            </w:r>
            <w:r>
              <w:rPr>
                <w:rFonts w:hint="eastAsia" w:ascii="宋体" w:hAnsi="宋体" w:eastAsia="宋体" w:cs="宋体"/>
                <w:color w:val="000000"/>
                <w:kern w:val="0"/>
                <w:sz w:val="24"/>
                <w:szCs w:val="24"/>
                <w:lang w:val="en-US" w:eastAsia="zh-CN" w:bidi="ar"/>
              </w:rPr>
              <w:t>(C103)</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2</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是指数量落实、质量落实、品种落实、地点落实。</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评价要点：①数量落实得</w:t>
            </w:r>
            <w:r>
              <w:rPr>
                <w:rFonts w:hint="eastAsia" w:ascii="宋体" w:hAnsi="宋体" w:eastAsia="宋体" w:cs="宋体"/>
                <w:color w:val="000000"/>
                <w:kern w:val="0"/>
                <w:sz w:val="24"/>
                <w:szCs w:val="24"/>
                <w:lang w:val="en-US" w:eastAsia="zh-CN" w:bidi="ar"/>
              </w:rPr>
              <w:t>0.5</w:t>
            </w:r>
            <w:r>
              <w:rPr>
                <w:rFonts w:hint="eastAsia" w:ascii="宋体" w:hAnsi="宋体" w:eastAsia="宋体" w:cs="宋体"/>
                <w:color w:val="000000"/>
                <w:kern w:val="0"/>
                <w:sz w:val="24"/>
                <w:szCs w:val="24"/>
                <w:lang w:bidi="ar"/>
              </w:rPr>
              <w:t>分；②质量落实得</w:t>
            </w:r>
            <w:r>
              <w:rPr>
                <w:rFonts w:hint="eastAsia" w:ascii="宋体" w:hAnsi="宋体" w:eastAsia="宋体" w:cs="宋体"/>
                <w:color w:val="000000"/>
                <w:kern w:val="0"/>
                <w:sz w:val="24"/>
                <w:szCs w:val="24"/>
                <w:lang w:val="en-US" w:eastAsia="zh-CN" w:bidi="ar"/>
              </w:rPr>
              <w:t>0.5</w:t>
            </w:r>
            <w:r>
              <w:rPr>
                <w:rFonts w:hint="eastAsia" w:ascii="宋体" w:hAnsi="宋体" w:eastAsia="宋体" w:cs="宋体"/>
                <w:color w:val="000000"/>
                <w:kern w:val="0"/>
                <w:sz w:val="24"/>
                <w:szCs w:val="24"/>
                <w:lang w:bidi="ar"/>
              </w:rPr>
              <w:t>分；③品种落实</w:t>
            </w:r>
            <w:r>
              <w:rPr>
                <w:rFonts w:hint="eastAsia" w:ascii="宋体" w:hAnsi="宋体" w:eastAsia="宋体" w:cs="宋体"/>
                <w:color w:val="000000"/>
                <w:kern w:val="0"/>
                <w:sz w:val="24"/>
                <w:szCs w:val="24"/>
                <w:lang w:val="en-US" w:eastAsia="zh-CN" w:bidi="ar"/>
              </w:rPr>
              <w:t>0.5</w:t>
            </w:r>
            <w:r>
              <w:rPr>
                <w:rFonts w:hint="eastAsia" w:ascii="宋体" w:hAnsi="宋体" w:eastAsia="宋体" w:cs="宋体"/>
                <w:color w:val="000000"/>
                <w:kern w:val="0"/>
                <w:sz w:val="24"/>
                <w:szCs w:val="24"/>
                <w:lang w:bidi="ar"/>
              </w:rPr>
              <w:t>分；④地点落实得</w:t>
            </w:r>
            <w:r>
              <w:rPr>
                <w:rFonts w:hint="eastAsia" w:ascii="宋体" w:hAnsi="宋体" w:eastAsia="宋体" w:cs="宋体"/>
                <w:color w:val="000000"/>
                <w:kern w:val="0"/>
                <w:sz w:val="24"/>
                <w:szCs w:val="24"/>
                <w:lang w:val="en-US" w:eastAsia="zh-CN" w:bidi="ar"/>
              </w:rPr>
              <w:t>0.5</w:t>
            </w:r>
            <w:r>
              <w:rPr>
                <w:rFonts w:hint="eastAsia" w:ascii="宋体" w:hAnsi="宋体" w:eastAsia="宋体" w:cs="宋体"/>
                <w:color w:val="000000"/>
                <w:kern w:val="0"/>
                <w:sz w:val="24"/>
                <w:szCs w:val="24"/>
                <w:lang w:bidi="ar"/>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达到“六无”标准</w:t>
            </w:r>
            <w:r>
              <w:rPr>
                <w:rFonts w:hint="eastAsia" w:ascii="宋体" w:hAnsi="宋体" w:eastAsia="宋体" w:cs="宋体"/>
                <w:color w:val="000000"/>
                <w:kern w:val="0"/>
                <w:sz w:val="24"/>
                <w:szCs w:val="24"/>
                <w:lang w:val="en-US" w:eastAsia="zh-CN" w:bidi="ar"/>
              </w:rPr>
              <w:t>(C104)</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2</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是指无害虫、无鼠雀、无变质、无事故、无重度不宜存、无污染。</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评价要点①无害虫得</w:t>
            </w:r>
            <w:r>
              <w:rPr>
                <w:rFonts w:hint="eastAsia" w:ascii="宋体" w:hAnsi="宋体" w:eastAsia="宋体" w:cs="宋体"/>
                <w:color w:val="000000"/>
                <w:kern w:val="0"/>
                <w:sz w:val="24"/>
                <w:szCs w:val="24"/>
                <w:lang w:val="en-US" w:eastAsia="zh-CN" w:bidi="ar"/>
              </w:rPr>
              <w:t>0.5</w:t>
            </w:r>
            <w:r>
              <w:rPr>
                <w:rFonts w:hint="eastAsia" w:ascii="宋体" w:hAnsi="宋体" w:eastAsia="宋体" w:cs="宋体"/>
                <w:color w:val="000000"/>
                <w:kern w:val="0"/>
                <w:sz w:val="24"/>
                <w:szCs w:val="24"/>
                <w:lang w:bidi="ar"/>
              </w:rPr>
              <w:t>分；②无变质得</w:t>
            </w:r>
            <w:r>
              <w:rPr>
                <w:rFonts w:hint="eastAsia" w:ascii="宋体" w:hAnsi="宋体" w:eastAsia="宋体" w:cs="宋体"/>
                <w:color w:val="000000"/>
                <w:kern w:val="0"/>
                <w:sz w:val="24"/>
                <w:szCs w:val="24"/>
                <w:lang w:val="en-US" w:eastAsia="zh-CN" w:bidi="ar"/>
              </w:rPr>
              <w:t>0.5</w:t>
            </w:r>
            <w:r>
              <w:rPr>
                <w:rFonts w:hint="eastAsia" w:ascii="宋体" w:hAnsi="宋体" w:eastAsia="宋体" w:cs="宋体"/>
                <w:color w:val="000000"/>
                <w:kern w:val="0"/>
                <w:sz w:val="24"/>
                <w:szCs w:val="24"/>
                <w:lang w:bidi="ar"/>
              </w:rPr>
              <w:t>分；③无事故得</w:t>
            </w:r>
            <w:r>
              <w:rPr>
                <w:rFonts w:hint="eastAsia" w:ascii="宋体" w:hAnsi="宋体" w:eastAsia="宋体" w:cs="宋体"/>
                <w:color w:val="000000"/>
                <w:kern w:val="0"/>
                <w:sz w:val="24"/>
                <w:szCs w:val="24"/>
                <w:lang w:val="en-US" w:eastAsia="zh-CN" w:bidi="ar"/>
              </w:rPr>
              <w:t>0.5</w:t>
            </w:r>
            <w:r>
              <w:rPr>
                <w:rFonts w:hint="eastAsia" w:ascii="宋体" w:hAnsi="宋体" w:eastAsia="宋体" w:cs="宋体"/>
                <w:color w:val="000000"/>
                <w:kern w:val="0"/>
                <w:sz w:val="24"/>
                <w:szCs w:val="24"/>
                <w:lang w:bidi="ar"/>
              </w:rPr>
              <w:t>分；④无重度不宜存得</w:t>
            </w:r>
            <w:r>
              <w:rPr>
                <w:rFonts w:hint="eastAsia" w:ascii="宋体" w:hAnsi="宋体" w:eastAsia="宋体" w:cs="宋体"/>
                <w:color w:val="000000"/>
                <w:kern w:val="0"/>
                <w:sz w:val="24"/>
                <w:szCs w:val="24"/>
                <w:lang w:val="en-US" w:eastAsia="zh-CN" w:bidi="ar"/>
              </w:rPr>
              <w:t>0.5</w:t>
            </w:r>
            <w:r>
              <w:rPr>
                <w:rFonts w:hint="eastAsia" w:ascii="宋体" w:hAnsi="宋体" w:eastAsia="宋体" w:cs="宋体"/>
                <w:color w:val="000000"/>
                <w:kern w:val="0"/>
                <w:sz w:val="24"/>
                <w:szCs w:val="24"/>
                <w:lang w:bidi="ar"/>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restart"/>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rPr>
            </w:pPr>
            <w:r>
              <w:rPr>
                <w:rFonts w:hint="eastAsia"/>
              </w:rPr>
              <w:t>安全储粮</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(C2)</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7</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粮油安全存储</w:t>
            </w:r>
            <w:r>
              <w:rPr>
                <w:rFonts w:hint="eastAsia" w:ascii="宋体" w:hAnsi="宋体" w:eastAsia="宋体" w:cs="宋体"/>
                <w:color w:val="000000"/>
                <w:kern w:val="0"/>
                <w:sz w:val="24"/>
                <w:szCs w:val="24"/>
                <w:lang w:val="en-US" w:eastAsia="zh-CN" w:bidi="ar"/>
              </w:rPr>
              <w:t>(C201)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3</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粮油必须储存在质量完好的标准仓库，不允许在简易厂棚和露天存放</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评价要点：①具有储备粮油相适应的设备、仓库得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分；②制定了突发事件及重大事故应急预案得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分③具有相当数量的经过专业培训，并取得有关部门颁发资格证书的粮油保管员、检验、防治等管理技术人员得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分，有无证上岗者，扣1分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粮库安全生产培训</w:t>
            </w:r>
            <w:r>
              <w:rPr>
                <w:rFonts w:hint="eastAsia" w:ascii="宋体" w:hAnsi="宋体" w:eastAsia="宋体" w:cs="宋体"/>
                <w:color w:val="000000"/>
                <w:kern w:val="0"/>
                <w:sz w:val="24"/>
                <w:szCs w:val="24"/>
                <w:lang w:val="en-US" w:eastAsia="zh-CN" w:bidi="ar"/>
              </w:rPr>
              <w:t>(C202)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4</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每年定期组织员工安全、业务培训</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评价要点：①有员工定期培训制度得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分；②有年度培训计划得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分；③有每次培训通知及相关内容得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分；④有培训签到记录得1分。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轮换管理</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(C3)</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5</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严格执行粮食出入库管理制度</w:t>
            </w:r>
            <w:r>
              <w:rPr>
                <w:rFonts w:hint="eastAsia" w:ascii="宋体" w:hAnsi="宋体" w:eastAsia="宋体" w:cs="宋体"/>
                <w:color w:val="000000"/>
                <w:kern w:val="0"/>
                <w:sz w:val="24"/>
                <w:szCs w:val="24"/>
                <w:lang w:val="en-US" w:eastAsia="zh-CN" w:bidi="ar"/>
              </w:rPr>
              <w:t>(C301)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3</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按照年度轮换计划品种、数量或比例完成</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评价要点：①轮换品种符合计划得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.5分；②轮换数量或比例符合计划得</w:t>
            </w: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bidi="ar"/>
              </w:rPr>
              <w:t>.5分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按时完成粮食轮换任务</w:t>
            </w:r>
            <w:r>
              <w:rPr>
                <w:rFonts w:hint="eastAsia" w:ascii="宋体" w:hAnsi="宋体" w:eastAsia="宋体" w:cs="宋体"/>
                <w:color w:val="000000"/>
                <w:kern w:val="0"/>
                <w:sz w:val="24"/>
                <w:szCs w:val="24"/>
                <w:lang w:val="en-US" w:eastAsia="zh-CN" w:bidi="ar"/>
              </w:rPr>
              <w:t>(C302)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2</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按计划日期完成或提前完成轮换任务</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评价要点：是否按计划时间完成轮换任务，推迟完成本指标不得分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产出数量</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(C4)</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存储小麦21500万斤</w:t>
            </w:r>
            <w:r>
              <w:rPr>
                <w:rFonts w:hint="eastAsia" w:ascii="宋体" w:hAnsi="宋体" w:eastAsia="宋体" w:cs="宋体"/>
                <w:color w:val="000000"/>
                <w:kern w:val="0"/>
                <w:sz w:val="24"/>
                <w:szCs w:val="24"/>
                <w:lang w:val="en-US" w:eastAsia="zh-CN" w:bidi="ar"/>
              </w:rPr>
              <w:t>(C401)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2</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2019年仓库市级储备粮数量</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评价要点：市级储备粮达到数量标准得满分,未达到标准按比例得分分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存储食用油200万斤</w:t>
            </w:r>
            <w:r>
              <w:rPr>
                <w:rFonts w:hint="eastAsia" w:ascii="宋体" w:hAnsi="宋体" w:eastAsia="宋体" w:cs="宋体"/>
                <w:color w:val="000000"/>
                <w:kern w:val="0"/>
                <w:sz w:val="24"/>
                <w:szCs w:val="24"/>
                <w:lang w:val="en-US" w:eastAsia="zh-CN" w:bidi="ar"/>
              </w:rPr>
              <w:t>(C402)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2</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2019年仓库市级储备油数量</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评价要点：市级储备油达到数量标准得满分,未达到标准按比例得分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存储小包装油100万斤</w:t>
            </w:r>
            <w:r>
              <w:rPr>
                <w:rFonts w:hint="eastAsia" w:ascii="宋体" w:hAnsi="宋体" w:eastAsia="宋体" w:cs="宋体"/>
                <w:color w:val="000000"/>
                <w:kern w:val="0"/>
                <w:sz w:val="24"/>
                <w:szCs w:val="24"/>
                <w:lang w:val="en-US" w:eastAsia="zh-CN" w:bidi="ar"/>
              </w:rPr>
              <w:t>(C403)</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2</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2019年仓库市级小包装油数量</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评价要点：市级储备小包装油达到数量标准得满分,未达到标准按比例得分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产出质量</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(C5)</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4</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轮换购入新粮质量达到100%</w:t>
            </w:r>
          </w:p>
          <w:p>
            <w:pPr>
              <w:pStyle w:val="2"/>
              <w:jc w:val="center"/>
              <w:rPr>
                <w:rFonts w:hint="default" w:eastAsia="宋体"/>
                <w:lang w:val="en-US" w:eastAsia="zh-CN"/>
              </w:rPr>
            </w:pPr>
            <w:r>
              <w:rPr>
                <w:rFonts w:hint="eastAsia" w:ascii="宋体" w:hAnsi="宋体" w:eastAsia="宋体" w:cs="宋体"/>
                <w:color w:val="000000"/>
                <w:kern w:val="0"/>
                <w:sz w:val="24"/>
                <w:szCs w:val="24"/>
                <w:lang w:val="en-US" w:eastAsia="zh-CN" w:bidi="ar"/>
              </w:rPr>
              <w:t>(C501)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4</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轮换入库的新粮、油质量达到100%</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评价要点：①轮换购入新粮质量达到100%得2分；②轮换购入新油质量到达100%得2分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0" w:hRule="atLeast"/>
          <w:jc w:val="center"/>
        </w:trPr>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rPr>
            </w:pPr>
            <w:r>
              <w:rPr>
                <w:rFonts w:hint="eastAsia"/>
              </w:rPr>
              <w:t>效益</w:t>
            </w:r>
          </w:p>
          <w:p>
            <w:pPr>
              <w:pStyle w:val="2"/>
              <w:rPr>
                <w:rFonts w:hint="default" w:eastAsia="宋体"/>
                <w:lang w:val="en-US" w:eastAsia="zh-CN"/>
              </w:rPr>
            </w:pPr>
            <w:r>
              <w:rPr>
                <w:rFonts w:hint="eastAsia" w:ascii="宋体" w:hAnsi="宋体" w:eastAsia="宋体" w:cs="宋体"/>
                <w:color w:val="000000"/>
                <w:kern w:val="0"/>
                <w:sz w:val="24"/>
                <w:szCs w:val="24"/>
                <w:lang w:val="en-US" w:eastAsia="zh-CN" w:bidi="ar"/>
              </w:rPr>
              <w:t>(D)</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both"/>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30</w:t>
            </w:r>
          </w:p>
        </w:tc>
        <w:tc>
          <w:tcPr>
            <w:tcW w:w="367"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社会效益指标</w:t>
            </w:r>
            <w:r>
              <w:rPr>
                <w:rFonts w:hint="eastAsia" w:ascii="宋体" w:hAnsi="宋体" w:eastAsia="宋体" w:cs="宋体"/>
                <w:color w:val="000000"/>
                <w:kern w:val="0"/>
                <w:sz w:val="24"/>
                <w:szCs w:val="24"/>
                <w:lang w:val="en-US" w:eastAsia="zh-CN" w:bidi="ar"/>
              </w:rPr>
              <w:t>(D1)</w:t>
            </w:r>
          </w:p>
        </w:tc>
        <w:tc>
          <w:tcPr>
            <w:tcW w:w="139" w:type="pct"/>
            <w:vMerge w:val="restar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储备粮油数量真实、质量完好，确保满足市政府调动需求</w:t>
            </w:r>
            <w:r>
              <w:rPr>
                <w:rFonts w:hint="eastAsia" w:ascii="宋体" w:hAnsi="宋体" w:eastAsia="宋体" w:cs="宋体"/>
                <w:color w:val="000000"/>
                <w:kern w:val="0"/>
                <w:sz w:val="24"/>
                <w:szCs w:val="24"/>
                <w:lang w:val="en-US" w:eastAsia="zh-CN" w:bidi="ar"/>
              </w:rPr>
              <w:t>(D101)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5</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满足市政府调动需求，应对重大事件</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评价要点：满足市政府调动需求，应对重大自然灾害或其他突发公共事件。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维护粮食市场稳定</w:t>
            </w:r>
            <w:r>
              <w:rPr>
                <w:rFonts w:hint="eastAsia" w:ascii="宋体" w:hAnsi="宋体" w:eastAsia="宋体" w:cs="宋体"/>
                <w:color w:val="000000"/>
                <w:kern w:val="0"/>
                <w:sz w:val="24"/>
                <w:szCs w:val="24"/>
                <w:lang w:val="en-US" w:eastAsia="zh-CN" w:bidi="ar"/>
              </w:rPr>
              <w:t>(D102)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val="en-US" w:eastAsia="zh-CN" w:bidi="ar"/>
              </w:rPr>
              <w:t>5</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维护粮食市场稳定</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评价要点：调控市场粮食总量，维护粮食市场稳定，防止粮价波动剧烈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可持续影响指标</w:t>
            </w:r>
            <w:r>
              <w:rPr>
                <w:rFonts w:hint="eastAsia" w:ascii="宋体" w:hAnsi="宋体" w:eastAsia="宋体" w:cs="宋体"/>
                <w:color w:val="000000"/>
                <w:kern w:val="0"/>
                <w:sz w:val="24"/>
                <w:szCs w:val="24"/>
                <w:lang w:val="en-US" w:eastAsia="zh-CN" w:bidi="ar"/>
              </w:rPr>
              <w:t>(D2)</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可持续影响</w:t>
            </w:r>
            <w:r>
              <w:rPr>
                <w:rFonts w:hint="eastAsia" w:ascii="宋体" w:hAnsi="宋体" w:eastAsia="宋体" w:cs="宋体"/>
                <w:color w:val="000000"/>
                <w:kern w:val="0"/>
                <w:sz w:val="24"/>
                <w:szCs w:val="24"/>
                <w:lang w:val="en-US" w:eastAsia="zh-CN" w:bidi="ar"/>
              </w:rPr>
              <w:t>(D201)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主要指粮食安全对于社会稳定所带来的影响。</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评价要点：有国家出台的相关法律法规、省、市出台的规定、办法保证粮食储存企业健康发展的保障。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367"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生态效益</w:t>
            </w:r>
            <w:r>
              <w:rPr>
                <w:rFonts w:hint="eastAsia" w:ascii="宋体" w:hAnsi="宋体" w:eastAsia="宋体" w:cs="宋体"/>
                <w:color w:val="000000"/>
                <w:kern w:val="0"/>
                <w:sz w:val="24"/>
                <w:szCs w:val="24"/>
                <w:lang w:val="en-US" w:eastAsia="zh-CN" w:bidi="ar"/>
              </w:rPr>
              <w:t>(D3)</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563"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kern w:val="0"/>
                <w:sz w:val="24"/>
                <w:szCs w:val="24"/>
                <w:lang w:bidi="ar"/>
              </w:rPr>
              <w:t>提高抗灾能力</w:t>
            </w:r>
            <w:r>
              <w:rPr>
                <w:rFonts w:hint="eastAsia" w:ascii="宋体" w:hAnsi="宋体" w:eastAsia="宋体" w:cs="宋体"/>
                <w:color w:val="000000"/>
                <w:kern w:val="0"/>
                <w:sz w:val="24"/>
                <w:szCs w:val="24"/>
                <w:lang w:val="en-US" w:eastAsia="zh-CN" w:bidi="ar"/>
              </w:rPr>
              <w:t>(D301)</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998"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提高抗灾能力</w:t>
            </w:r>
          </w:p>
        </w:tc>
        <w:tc>
          <w:tcPr>
            <w:tcW w:w="2511" w:type="pct"/>
            <w:tcBorders>
              <w:tl2br w:val="nil"/>
              <w:tr2bl w:val="nil"/>
            </w:tcBorders>
            <w:shd w:val="clear" w:color="auto" w:fill="auto"/>
            <w:tcMar>
              <w:top w:w="15" w:type="dxa"/>
              <w:left w:w="15" w:type="dxa"/>
              <w:right w:w="15" w:type="dxa"/>
            </w:tcMar>
            <w:vAlign w:val="center"/>
          </w:tcPr>
          <w:p>
            <w:pPr>
              <w:widowControl/>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评价要点：通过粮食战略储备，预防应对提高抗灾能力。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jc w:val="center"/>
        </w:trPr>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合计</w:t>
            </w: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100</w:t>
            </w:r>
          </w:p>
        </w:tc>
        <w:tc>
          <w:tcPr>
            <w:tcW w:w="367" w:type="pct"/>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100</w:t>
            </w:r>
          </w:p>
        </w:tc>
        <w:tc>
          <w:tcPr>
            <w:tcW w:w="563" w:type="pct"/>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4"/>
                <w:szCs w:val="24"/>
              </w:rPr>
            </w:pPr>
          </w:p>
        </w:tc>
        <w:tc>
          <w:tcPr>
            <w:tcW w:w="139" w:type="pct"/>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100</w:t>
            </w:r>
          </w:p>
        </w:tc>
        <w:tc>
          <w:tcPr>
            <w:tcW w:w="998" w:type="pct"/>
            <w:tcBorders>
              <w:tl2br w:val="nil"/>
              <w:tr2bl w:val="nil"/>
            </w:tcBorders>
            <w:shd w:val="clear" w:color="auto" w:fill="auto"/>
            <w:tcMar>
              <w:top w:w="15" w:type="dxa"/>
              <w:left w:w="15" w:type="dxa"/>
              <w:right w:w="15" w:type="dxa"/>
            </w:tcMar>
            <w:vAlign w:val="center"/>
          </w:tcPr>
          <w:p>
            <w:pPr>
              <w:rPr>
                <w:rFonts w:hint="eastAsia" w:ascii="宋体" w:hAnsi="宋体" w:eastAsia="宋体" w:cs="宋体"/>
                <w:color w:val="000000"/>
                <w:sz w:val="24"/>
                <w:szCs w:val="24"/>
              </w:rPr>
            </w:pPr>
          </w:p>
        </w:tc>
        <w:tc>
          <w:tcPr>
            <w:tcW w:w="2511" w:type="pct"/>
            <w:tcBorders>
              <w:tl2br w:val="nil"/>
              <w:tr2bl w:val="nil"/>
            </w:tcBorders>
            <w:shd w:val="clear" w:color="auto" w:fill="auto"/>
            <w:tcMar>
              <w:top w:w="15" w:type="dxa"/>
              <w:left w:w="15" w:type="dxa"/>
              <w:right w:w="15" w:type="dxa"/>
            </w:tcMar>
          </w:tcPr>
          <w:p>
            <w:pPr>
              <w:rPr>
                <w:rFonts w:hint="eastAsia" w:ascii="宋体" w:hAnsi="宋体" w:eastAsia="宋体" w:cs="宋体"/>
                <w:b/>
                <w:color w:val="000000"/>
                <w:sz w:val="24"/>
                <w:szCs w:val="24"/>
              </w:rPr>
            </w:pPr>
          </w:p>
        </w:tc>
      </w:tr>
    </w:tbl>
    <w:p>
      <w:pPr>
        <w:rPr>
          <w:rFonts w:hint="eastAsia" w:ascii="宋体" w:hAnsi="宋体" w:eastAsia="宋体" w:cs="宋体"/>
          <w:color w:val="000000"/>
          <w:sz w:val="24"/>
          <w:szCs w:val="24"/>
        </w:rPr>
        <w:sectPr>
          <w:pgSz w:w="16783" w:h="11850" w:orient="landscape"/>
          <w:pgMar w:top="1797" w:right="1440" w:bottom="1797" w:left="1440" w:header="851" w:footer="992" w:gutter="0"/>
          <w:pgNumType w:fmt="decimal"/>
          <w:cols w:space="0" w:num="1"/>
          <w:docGrid w:type="lines" w:linePitch="317" w:charSpace="0"/>
        </w:sectPr>
      </w:pPr>
    </w:p>
    <w:bookmarkEnd w:id="218"/>
    <w:bookmarkEnd w:id="219"/>
    <w:bookmarkEnd w:id="220"/>
    <w:bookmarkEnd w:id="221"/>
    <w:p>
      <w:pPr>
        <w:pStyle w:val="12"/>
        <w:ind w:firstLine="0" w:firstLineChars="0"/>
        <w:rPr>
          <w:rFonts w:hint="eastAsia" w:ascii="宋体" w:hAnsi="宋体" w:eastAsia="宋体" w:cs="宋体"/>
          <w:sz w:val="28"/>
          <w:szCs w:val="28"/>
        </w:rPr>
      </w:pPr>
      <w:bookmarkStart w:id="228" w:name="_Toc8429"/>
      <w:bookmarkStart w:id="229" w:name="_Toc29033"/>
      <w:bookmarkStart w:id="230" w:name="_Toc24926"/>
      <w:bookmarkStart w:id="231" w:name="_Toc22665"/>
      <w:bookmarkStart w:id="232" w:name="_Toc26690"/>
      <w:bookmarkStart w:id="233" w:name="_Toc18772"/>
      <w:bookmarkStart w:id="234" w:name="_Toc8406"/>
      <w:bookmarkStart w:id="235" w:name="_Toc12485"/>
      <w:bookmarkStart w:id="236" w:name="_Toc19027"/>
      <w:bookmarkStart w:id="237" w:name="_Toc16859"/>
      <w:r>
        <w:rPr>
          <w:rFonts w:hint="eastAsia" w:ascii="宋体" w:hAnsi="宋体" w:eastAsia="宋体" w:cs="宋体"/>
          <w:sz w:val="28"/>
          <w:szCs w:val="28"/>
        </w:rPr>
        <w:t>附件3</w:t>
      </w:r>
      <w:bookmarkEnd w:id="228"/>
      <w:bookmarkEnd w:id="229"/>
      <w:bookmarkEnd w:id="230"/>
      <w:bookmarkEnd w:id="231"/>
    </w:p>
    <w:bookmarkEnd w:id="232"/>
    <w:bookmarkEnd w:id="233"/>
    <w:bookmarkEnd w:id="234"/>
    <w:bookmarkEnd w:id="235"/>
    <w:bookmarkEnd w:id="236"/>
    <w:bookmarkEnd w:id="237"/>
    <w:p>
      <w:pPr>
        <w:pStyle w:val="4"/>
        <w:spacing w:before="0" w:beforeAutospacing="0" w:line="360" w:lineRule="auto"/>
        <w:ind w:left="0" w:leftChars="0" w:right="0" w:rightChars="0"/>
        <w:jc w:val="center"/>
        <w:rPr>
          <w:rFonts w:hint="eastAsia" w:ascii="宋体" w:hAnsi="宋体" w:eastAsia="宋体" w:cs="宋体"/>
          <w:sz w:val="28"/>
          <w:szCs w:val="28"/>
        </w:rPr>
      </w:pPr>
      <w:bookmarkStart w:id="238" w:name="_Toc14504"/>
      <w:bookmarkStart w:id="239" w:name="_Toc20742"/>
      <w:r>
        <w:rPr>
          <w:rFonts w:hint="eastAsia" w:ascii="宋体" w:hAnsi="宋体" w:eastAsia="宋体" w:cs="宋体"/>
          <w:b/>
          <w:sz w:val="28"/>
          <w:szCs w:val="28"/>
        </w:rPr>
        <w:t>项目实施单位访谈</w:t>
      </w:r>
    </w:p>
    <w:p>
      <w:pPr>
        <w:pStyle w:val="4"/>
        <w:spacing w:before="0" w:beforeAutospacing="0" w:line="360" w:lineRule="auto"/>
        <w:ind w:left="0" w:leftChars="0" w:right="1470" w:firstLine="560" w:firstLineChars="200"/>
        <w:outlineLvl w:val="0"/>
        <w:rPr>
          <w:rFonts w:hint="eastAsia" w:ascii="宋体" w:hAnsi="宋体" w:eastAsia="宋体" w:cs="宋体"/>
          <w:b w:val="0"/>
          <w:bCs w:val="0"/>
          <w:sz w:val="28"/>
          <w:szCs w:val="28"/>
        </w:rPr>
      </w:pPr>
      <w:bookmarkStart w:id="240" w:name="_Toc23499"/>
      <w:r>
        <w:rPr>
          <w:rFonts w:hint="eastAsia" w:ascii="宋体" w:hAnsi="宋体" w:eastAsia="宋体" w:cs="宋体"/>
          <w:b w:val="0"/>
          <w:bCs w:val="0"/>
          <w:sz w:val="28"/>
          <w:szCs w:val="28"/>
        </w:rPr>
        <w:t>一、访谈目的</w:t>
      </w:r>
      <w:bookmarkEnd w:id="240"/>
    </w:p>
    <w:p>
      <w:pPr>
        <w:spacing w:line="360" w:lineRule="auto"/>
        <w:ind w:firstLine="560" w:firstLineChars="200"/>
        <w:rPr>
          <w:rFonts w:hint="eastAsia" w:ascii="宋体" w:hAnsi="宋体" w:eastAsia="宋体" w:cs="宋体"/>
          <w:b w:val="0"/>
          <w:bCs w:val="0"/>
          <w:sz w:val="28"/>
          <w:szCs w:val="28"/>
        </w:rPr>
      </w:pPr>
      <w:r>
        <w:rPr>
          <w:rFonts w:hint="eastAsia" w:ascii="宋体" w:hAnsi="宋体" w:eastAsia="宋体" w:cs="宋体"/>
          <w:b w:val="0"/>
          <w:bCs w:val="0"/>
          <w:sz w:val="28"/>
          <w:szCs w:val="28"/>
        </w:rPr>
        <w:t>本次绩效评价旨在通过与2021年储备粮油保管费、轮换费项目相关负责人对接，了解和评估2021年储备粮油保管费、轮换费</w:t>
      </w:r>
      <w:r>
        <w:rPr>
          <w:rFonts w:hint="eastAsia" w:ascii="宋体" w:hAnsi="宋体" w:eastAsia="宋体" w:cs="宋体"/>
          <w:b w:val="0"/>
          <w:bCs w:val="0"/>
          <w:color w:val="000000"/>
          <w:sz w:val="28"/>
          <w:szCs w:val="28"/>
        </w:rPr>
        <w:t>专项</w:t>
      </w:r>
      <w:r>
        <w:rPr>
          <w:rFonts w:hint="eastAsia" w:ascii="宋体" w:hAnsi="宋体" w:eastAsia="宋体" w:cs="宋体"/>
          <w:b w:val="0"/>
          <w:bCs w:val="0"/>
          <w:sz w:val="28"/>
          <w:szCs w:val="28"/>
        </w:rPr>
        <w:t>资金的效率和效益，发现资金使用和管理中的问题，为更好的使用财政补助资金工作建言献策。</w:t>
      </w:r>
    </w:p>
    <w:p>
      <w:pPr>
        <w:spacing w:line="360" w:lineRule="auto"/>
        <w:ind w:firstLine="560" w:firstLineChars="200"/>
        <w:outlineLvl w:val="0"/>
        <w:rPr>
          <w:rFonts w:hint="eastAsia" w:ascii="宋体" w:hAnsi="宋体" w:eastAsia="宋体" w:cs="宋体"/>
          <w:b w:val="0"/>
          <w:bCs w:val="0"/>
          <w:sz w:val="28"/>
          <w:szCs w:val="28"/>
        </w:rPr>
      </w:pPr>
      <w:bookmarkStart w:id="241" w:name="_Toc30656"/>
      <w:r>
        <w:rPr>
          <w:rFonts w:hint="eastAsia" w:ascii="宋体" w:hAnsi="宋体" w:eastAsia="宋体" w:cs="宋体"/>
          <w:b w:val="0"/>
          <w:bCs w:val="0"/>
          <w:sz w:val="28"/>
          <w:szCs w:val="28"/>
        </w:rPr>
        <w:t>二、访谈对象</w:t>
      </w:r>
      <w:bookmarkEnd w:id="241"/>
    </w:p>
    <w:p>
      <w:pPr>
        <w:spacing w:line="360" w:lineRule="auto"/>
        <w:ind w:firstLine="560" w:firstLineChars="200"/>
        <w:rPr>
          <w:rFonts w:hint="eastAsia" w:ascii="宋体" w:hAnsi="宋体" w:eastAsia="宋体" w:cs="宋体"/>
          <w:b w:val="0"/>
          <w:bCs w:val="0"/>
          <w:sz w:val="28"/>
          <w:szCs w:val="28"/>
        </w:rPr>
      </w:pPr>
      <w:r>
        <w:rPr>
          <w:rFonts w:hint="eastAsia" w:ascii="宋体" w:hAnsi="宋体" w:eastAsia="宋体" w:cs="宋体"/>
          <w:b w:val="0"/>
          <w:bCs w:val="0"/>
          <w:sz w:val="28"/>
          <w:szCs w:val="28"/>
        </w:rPr>
        <w:t>本次访谈的对象为2021年储备粮油保管费、轮换费专项资金项目相关负责人。</w:t>
      </w:r>
    </w:p>
    <w:p>
      <w:pPr>
        <w:spacing w:line="360" w:lineRule="auto"/>
        <w:ind w:firstLine="560" w:firstLineChars="200"/>
        <w:outlineLvl w:val="0"/>
        <w:rPr>
          <w:rFonts w:hint="eastAsia" w:ascii="宋体" w:hAnsi="宋体" w:eastAsia="宋体" w:cs="宋体"/>
          <w:b/>
          <w:bCs/>
          <w:sz w:val="28"/>
          <w:szCs w:val="28"/>
        </w:rPr>
      </w:pPr>
      <w:bookmarkStart w:id="242" w:name="_Toc30404"/>
      <w:r>
        <w:rPr>
          <w:rFonts w:hint="eastAsia" w:ascii="宋体" w:hAnsi="宋体" w:eastAsia="宋体" w:cs="宋体"/>
          <w:b w:val="0"/>
          <w:bCs w:val="0"/>
          <w:sz w:val="28"/>
          <w:szCs w:val="28"/>
        </w:rPr>
        <w:t>三、访谈内容</w:t>
      </w:r>
      <w:bookmarkEnd w:id="242"/>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项目的整体实施情况、在项目开展过程中存在哪些不利因素、项目实施后对当地产生的社会效益、可持续性影响、项目实施中遇到的问题及建议等。</w:t>
      </w:r>
    </w:p>
    <w:p>
      <w:pPr>
        <w:spacing w:line="360" w:lineRule="auto"/>
        <w:ind w:firstLine="560" w:firstLineChars="200"/>
        <w:outlineLvl w:val="0"/>
        <w:rPr>
          <w:rFonts w:hint="eastAsia" w:ascii="宋体" w:hAnsi="宋体" w:eastAsia="宋体" w:cs="宋体"/>
          <w:b w:val="0"/>
          <w:bCs w:val="0"/>
          <w:sz w:val="28"/>
          <w:szCs w:val="28"/>
        </w:rPr>
      </w:pPr>
      <w:bookmarkStart w:id="243" w:name="_Toc27071"/>
      <w:r>
        <w:rPr>
          <w:rFonts w:hint="eastAsia" w:ascii="宋体" w:hAnsi="宋体" w:eastAsia="宋体" w:cs="宋体"/>
          <w:b w:val="0"/>
          <w:bCs w:val="0"/>
          <w:sz w:val="28"/>
          <w:szCs w:val="28"/>
        </w:rPr>
        <w:t>四、访谈分析</w:t>
      </w:r>
      <w:bookmarkEnd w:id="243"/>
    </w:p>
    <w:p>
      <w:pPr>
        <w:spacing w:line="360" w:lineRule="auto"/>
        <w:ind w:firstLine="560" w:firstLineChars="200"/>
        <w:outlineLvl w:val="1"/>
        <w:rPr>
          <w:rFonts w:hint="eastAsia" w:ascii="宋体" w:hAnsi="宋体" w:eastAsia="宋体" w:cs="宋体"/>
          <w:sz w:val="28"/>
          <w:szCs w:val="28"/>
        </w:rPr>
      </w:pPr>
      <w:bookmarkStart w:id="244" w:name="_Toc18084"/>
      <w:r>
        <w:rPr>
          <w:rFonts w:hint="eastAsia" w:ascii="宋体" w:hAnsi="宋体" w:eastAsia="宋体" w:cs="宋体"/>
          <w:sz w:val="28"/>
          <w:szCs w:val="28"/>
        </w:rPr>
        <w:t>问题1：请您简要介绍一下项目的基本情况</w:t>
      </w:r>
      <w:bookmarkEnd w:id="244"/>
    </w:p>
    <w:p>
      <w:pPr>
        <w:spacing w:line="360" w:lineRule="auto"/>
        <w:ind w:firstLine="560" w:firstLineChars="200"/>
        <w:outlineLvl w:val="1"/>
        <w:rPr>
          <w:rFonts w:hint="eastAsia" w:ascii="宋体" w:hAnsi="宋体" w:eastAsia="宋体" w:cs="宋体"/>
          <w:sz w:val="28"/>
          <w:szCs w:val="28"/>
        </w:rPr>
      </w:pPr>
      <w:r>
        <w:rPr>
          <w:rFonts w:hint="eastAsia" w:ascii="宋体" w:hAnsi="宋体" w:eastAsia="宋体" w:cs="宋体"/>
          <w:sz w:val="28"/>
          <w:szCs w:val="28"/>
        </w:rPr>
        <w:t>运城市地方粮食战略储备库有限责任公司，共有在册职工134人，根据工作需要设有仓储管理部、购销部、质检科、安保科等业务科室，以及一个下属经营性公司市粮丰物贸有限公司。储备库占地65亩，空港库区总仓容1.26亿斤。分库点上郭、栲栳、卿头、稷山、新绛、闻喜、礼元七个库区仓库。2021年承担省级储备粮3000万斤、市级储备小麦21500万斤、市级储备食用油200万斤、市级储备小包装油100万斤、应急成品粮1550万斤和应急成品油160万斤及年度轮换任务。</w:t>
      </w:r>
    </w:p>
    <w:p>
      <w:pPr>
        <w:spacing w:line="360" w:lineRule="auto"/>
        <w:ind w:firstLine="560" w:firstLineChars="200"/>
        <w:outlineLvl w:val="1"/>
        <w:rPr>
          <w:rFonts w:hint="eastAsia" w:ascii="宋体" w:hAnsi="宋体" w:eastAsia="宋体" w:cs="宋体"/>
          <w:sz w:val="28"/>
          <w:szCs w:val="28"/>
        </w:rPr>
      </w:pPr>
      <w:r>
        <w:rPr>
          <w:rFonts w:hint="eastAsia" w:ascii="宋体" w:hAnsi="宋体" w:eastAsia="宋体" w:cs="宋体"/>
          <w:sz w:val="28"/>
          <w:szCs w:val="28"/>
        </w:rPr>
        <w:t>2021年度收到运城市财政局保管费用及轮换费用1,759.50万元，省级财政资金187.50万元，合计1,947.00万元</w:t>
      </w:r>
      <w:r>
        <w:rPr>
          <w:rFonts w:hint="eastAsia" w:ascii="宋体" w:hAnsi="宋体" w:eastAsia="宋体" w:cs="宋体"/>
          <w:sz w:val="28"/>
          <w:szCs w:val="28"/>
          <w:lang w:eastAsia="zh-CN"/>
        </w:rPr>
        <w:t>，</w:t>
      </w:r>
      <w:r>
        <w:rPr>
          <w:rFonts w:hint="eastAsia" w:ascii="宋体" w:hAnsi="宋体" w:eastAsia="宋体" w:cs="宋体"/>
          <w:sz w:val="28"/>
          <w:szCs w:val="28"/>
        </w:rPr>
        <w:t>支付项目资金1943.66万元</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结余3.34万元。</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问题2：您觉得在项目开展过程中存在哪些不利因素</w:t>
      </w:r>
    </w:p>
    <w:p>
      <w:pPr>
        <w:pStyle w:val="2"/>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员工培训方面做的不太好，2021年未制定员工定期培训制度及年度培训计划。</w:t>
      </w:r>
    </w:p>
    <w:p>
      <w:pPr>
        <w:numPr>
          <w:ilvl w:val="0"/>
          <w:numId w:val="0"/>
        </w:numPr>
        <w:spacing w:line="360" w:lineRule="auto"/>
        <w:ind w:firstLine="560" w:firstLineChars="200"/>
        <w:rPr>
          <w:rFonts w:hint="eastAsia" w:ascii="宋体" w:hAnsi="宋体" w:eastAsia="宋体" w:cs="宋体"/>
          <w:bCs/>
          <w:sz w:val="28"/>
          <w:szCs w:val="28"/>
        </w:rPr>
      </w:pPr>
      <w:r>
        <w:rPr>
          <w:rFonts w:hint="eastAsia" w:ascii="宋体" w:hAnsi="宋体" w:eastAsia="宋体" w:cs="宋体"/>
          <w:sz w:val="28"/>
          <w:szCs w:val="28"/>
        </w:rPr>
        <w:t>问题3：项目实施后对当地产生的社会效益、可持续性影响是什么。</w:t>
      </w:r>
    </w:p>
    <w:p>
      <w:pPr>
        <w:numPr>
          <w:ilvl w:val="0"/>
          <w:numId w:val="0"/>
        </w:numPr>
        <w:spacing w:line="360" w:lineRule="auto"/>
        <w:ind w:left="840" w:leftChars="0"/>
        <w:rPr>
          <w:rFonts w:hint="eastAsia" w:ascii="宋体" w:hAnsi="宋体" w:eastAsia="宋体" w:cs="宋体"/>
          <w:bCs/>
          <w:sz w:val="28"/>
          <w:szCs w:val="28"/>
        </w:rPr>
      </w:pPr>
      <w:r>
        <w:rPr>
          <w:rFonts w:hint="eastAsia" w:ascii="宋体" w:hAnsi="宋体" w:eastAsia="宋体" w:cs="宋体"/>
          <w:kern w:val="2"/>
          <w:sz w:val="28"/>
          <w:szCs w:val="28"/>
          <w:lang w:val="en-US" w:eastAsia="zh-CN" w:bidi="ar-SA"/>
        </w:rPr>
        <w:t>1、社会效益</w:t>
      </w:r>
      <w:r>
        <w:rPr>
          <w:rFonts w:hint="eastAsia" w:ascii="宋体" w:hAnsi="宋体" w:eastAsia="宋体" w:cs="宋体"/>
          <w:sz w:val="28"/>
          <w:szCs w:val="28"/>
        </w:rPr>
        <w:t>：</w:t>
      </w:r>
    </w:p>
    <w:p>
      <w:pPr>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粮食储备对调控区内粮食市场的稳定及应对特大灾害或突发事件的社会效益。</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粮食储备是市场供求的“调节器”。粮食产量受粮食价格、气候状况、粮食政策等众多因素影响, 年度之间波动幅度较大,而粮食作为生活必需品,其消费刚性较强,因而必须通过“储备”调剂年度之间的余缺。</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粮食储备是救灾应急的“蓄水池”。近年来自然灾害频繁发生,救灾应急历来是政府储备粮食的重要功能。</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粮食储备是战略安全的“保护伞”。粮食安全在我国始终是个战略问题,而储备粮则是维护我国战略安全的“保护伞”。</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2、可持续影响：</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粮食安全问题一直是全社会关注的重大问题，随着国内经济转型和经济发展，城市化、工业化的推进，开发力度不断加大和人均收入的增长及生活方式的变化，导致粮食需求增加及土地、劳力、资本、技术等生产要素的转移，使我国粮食面临严峻的挑战，粮食储备显得尤为重要，为此政府出台的粮食相关的法律法规，保证粮食企业科学储粮，政府给予经费补贴，保障粮食储备的健康发展。</w:t>
      </w:r>
    </w:p>
    <w:p>
      <w:pPr>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br w:type="page"/>
      </w:r>
    </w:p>
    <w:p>
      <w:pPr>
        <w:pStyle w:val="12"/>
        <w:ind w:firstLine="0" w:firstLineChars="0"/>
        <w:rPr>
          <w:rFonts w:hint="eastAsia" w:ascii="宋体" w:hAnsi="宋体" w:eastAsia="宋体" w:cs="宋体"/>
          <w:sz w:val="28"/>
          <w:szCs w:val="28"/>
        </w:rPr>
      </w:pPr>
      <w:bookmarkStart w:id="245" w:name="_Toc15524"/>
      <w:r>
        <w:rPr>
          <w:rFonts w:hint="eastAsia" w:ascii="宋体" w:hAnsi="宋体" w:eastAsia="宋体" w:cs="宋体"/>
          <w:sz w:val="28"/>
          <w:szCs w:val="28"/>
        </w:rPr>
        <w:t>附件4</w:t>
      </w:r>
      <w:bookmarkEnd w:id="245"/>
    </w:p>
    <w:p>
      <w:pPr>
        <w:spacing w:line="360" w:lineRule="auto"/>
        <w:jc w:val="center"/>
        <w:rPr>
          <w:rFonts w:hint="eastAsia" w:ascii="宋体" w:hAnsi="宋体" w:eastAsia="宋体" w:cs="宋体"/>
          <w:b/>
          <w:sz w:val="28"/>
          <w:szCs w:val="28"/>
        </w:rPr>
      </w:pPr>
      <w:r>
        <w:rPr>
          <w:rFonts w:hint="eastAsia" w:ascii="宋体" w:hAnsi="宋体" w:eastAsia="宋体" w:cs="宋体"/>
          <w:b/>
          <w:sz w:val="28"/>
          <w:szCs w:val="28"/>
        </w:rPr>
        <w:t>项目</w:t>
      </w:r>
      <w:bookmarkStart w:id="246" w:name="_Toc29913"/>
      <w:r>
        <w:rPr>
          <w:rFonts w:hint="eastAsia" w:ascii="宋体" w:hAnsi="宋体" w:eastAsia="宋体" w:cs="宋体"/>
          <w:b/>
          <w:sz w:val="28"/>
          <w:szCs w:val="28"/>
        </w:rPr>
        <w:t>支出绩效评价合规性检查</w:t>
      </w:r>
      <w:bookmarkEnd w:id="246"/>
    </w:p>
    <w:p>
      <w:pPr>
        <w:keepNext w:val="0"/>
        <w:keepLines w:val="0"/>
        <w:pageBreakBefore w:val="0"/>
        <w:widowControl w:val="0"/>
        <w:kinsoku/>
        <w:wordWrap/>
        <w:overflowPunct/>
        <w:topLinePunct w:val="0"/>
        <w:bidi w:val="0"/>
        <w:adjustRightInd/>
        <w:snapToGrid/>
        <w:spacing w:line="600" w:lineRule="exact"/>
        <w:ind w:firstLine="560" w:firstLineChars="200"/>
        <w:textAlignment w:val="auto"/>
        <w:outlineLvl w:val="0"/>
        <w:rPr>
          <w:rFonts w:hint="eastAsia" w:ascii="宋体" w:hAnsi="宋体" w:eastAsia="宋体" w:cs="宋体"/>
          <w:b w:val="0"/>
          <w:bCs w:val="0"/>
          <w:sz w:val="28"/>
          <w:szCs w:val="28"/>
        </w:rPr>
      </w:pPr>
      <w:bookmarkStart w:id="247" w:name="_Toc27144"/>
      <w:r>
        <w:rPr>
          <w:rFonts w:hint="eastAsia" w:ascii="宋体" w:hAnsi="宋体" w:eastAsia="宋体" w:cs="宋体"/>
          <w:b w:val="0"/>
          <w:bCs w:val="0"/>
          <w:sz w:val="28"/>
          <w:szCs w:val="28"/>
        </w:rPr>
        <w:t>一、合规性检查对象</w:t>
      </w:r>
      <w:bookmarkEnd w:id="247"/>
    </w:p>
    <w:p>
      <w:pPr>
        <w:keepNext w:val="0"/>
        <w:keepLines w:val="0"/>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本次检查对象2021年储备粮油保管费、轮换费</w:t>
      </w:r>
      <w:r>
        <w:rPr>
          <w:rFonts w:hint="eastAsia" w:ascii="宋体" w:hAnsi="宋体" w:eastAsia="宋体" w:cs="宋体"/>
          <w:b w:val="0"/>
          <w:bCs w:val="0"/>
          <w:color w:val="000000"/>
          <w:sz w:val="28"/>
          <w:szCs w:val="28"/>
        </w:rPr>
        <w:t>专项</w:t>
      </w:r>
      <w:r>
        <w:rPr>
          <w:rFonts w:hint="eastAsia" w:ascii="宋体" w:hAnsi="宋体" w:eastAsia="宋体" w:cs="宋体"/>
          <w:b w:val="0"/>
          <w:bCs w:val="0"/>
          <w:sz w:val="28"/>
          <w:szCs w:val="28"/>
        </w:rPr>
        <w:t>资金项目。</w:t>
      </w:r>
    </w:p>
    <w:p>
      <w:pPr>
        <w:keepNext w:val="0"/>
        <w:keepLines w:val="0"/>
        <w:pageBreakBefore w:val="0"/>
        <w:widowControl w:val="0"/>
        <w:kinsoku/>
        <w:wordWrap/>
        <w:overflowPunct/>
        <w:topLinePunct w:val="0"/>
        <w:bidi w:val="0"/>
        <w:adjustRightInd/>
        <w:snapToGrid/>
        <w:spacing w:line="600" w:lineRule="exact"/>
        <w:ind w:firstLine="560" w:firstLineChars="200"/>
        <w:textAlignment w:val="auto"/>
        <w:outlineLvl w:val="0"/>
        <w:rPr>
          <w:rFonts w:hint="eastAsia" w:ascii="宋体" w:hAnsi="宋体" w:eastAsia="宋体" w:cs="宋体"/>
          <w:b w:val="0"/>
          <w:bCs w:val="0"/>
          <w:sz w:val="28"/>
          <w:szCs w:val="28"/>
        </w:rPr>
      </w:pPr>
      <w:bookmarkStart w:id="248" w:name="_Toc21346"/>
      <w:r>
        <w:rPr>
          <w:rFonts w:hint="eastAsia" w:ascii="宋体" w:hAnsi="宋体" w:eastAsia="宋体" w:cs="宋体"/>
          <w:b w:val="0"/>
          <w:bCs w:val="0"/>
          <w:sz w:val="28"/>
          <w:szCs w:val="28"/>
        </w:rPr>
        <w:t>二、合规性检查内容</w:t>
      </w:r>
      <w:bookmarkEnd w:id="248"/>
    </w:p>
    <w:p>
      <w:pPr>
        <w:keepNext w:val="0"/>
        <w:keepLines w:val="0"/>
        <w:pageBreakBefore w:val="0"/>
        <w:widowControl w:val="0"/>
        <w:kinsoku/>
        <w:wordWrap/>
        <w:overflowPunct/>
        <w:topLinePunct w:val="0"/>
        <w:bidi w:val="0"/>
        <w:adjustRightInd/>
        <w:snapToGrid/>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b w:val="0"/>
          <w:bCs w:val="0"/>
          <w:sz w:val="28"/>
          <w:szCs w:val="28"/>
        </w:rPr>
        <w:t>本次合规性检查内容包</w:t>
      </w:r>
      <w:r>
        <w:rPr>
          <w:rFonts w:hint="eastAsia" w:ascii="宋体" w:hAnsi="宋体" w:eastAsia="宋体" w:cs="宋体"/>
          <w:sz w:val="28"/>
          <w:szCs w:val="28"/>
        </w:rPr>
        <w:t>括资金拨付、资金支出。以发现项目在管理层面和实施操作规范性上存在的问题，内容如下：</w:t>
      </w:r>
    </w:p>
    <w:p>
      <w:pPr>
        <w:keepNext w:val="0"/>
        <w:keepLines w:val="0"/>
        <w:pageBreakBefore w:val="0"/>
        <w:widowControl w:val="0"/>
        <w:numPr>
          <w:ilvl w:val="0"/>
          <w:numId w:val="0"/>
        </w:numPr>
        <w:kinsoku/>
        <w:wordWrap/>
        <w:overflowPunct/>
        <w:topLinePunct w:val="0"/>
        <w:bidi w:val="0"/>
        <w:adjustRightInd/>
        <w:snapToGrid/>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资金拨付情况</w:t>
      </w:r>
    </w:p>
    <w:p>
      <w:pPr>
        <w:keepNext w:val="0"/>
        <w:keepLines w:val="0"/>
        <w:pageBreakBefore w:val="0"/>
        <w:widowControl w:val="0"/>
        <w:kinsoku/>
        <w:wordWrap/>
        <w:overflowPunct/>
        <w:topLinePunct w:val="0"/>
        <w:autoSpaceDE w:val="0"/>
        <w:autoSpaceDN w:val="0"/>
        <w:bidi w:val="0"/>
        <w:adjustRightInd/>
        <w:snapToGrid/>
        <w:spacing w:line="60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kern w:val="0"/>
          <w:sz w:val="28"/>
          <w:szCs w:val="28"/>
        </w:rPr>
        <w:t>2021年度收到运城市财政局保管费用及轮换费用1,759.50万元，省级财政资金187.50万元，合计1,947.00万元。明细如下：</w:t>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宋体" w:hAnsi="宋体" w:eastAsia="宋体" w:cs="宋体"/>
          <w:b w:val="0"/>
          <w:bCs/>
          <w:sz w:val="28"/>
          <w:szCs w:val="28"/>
          <w:lang w:bidi="ar"/>
        </w:rPr>
      </w:pPr>
      <w:r>
        <w:rPr>
          <w:rFonts w:hint="eastAsia" w:ascii="宋体" w:hAnsi="宋体" w:eastAsia="宋体" w:cs="宋体"/>
          <w:b w:val="0"/>
          <w:bCs/>
          <w:sz w:val="28"/>
          <w:szCs w:val="28"/>
          <w:lang w:bidi="ar"/>
        </w:rPr>
        <w:t>资金拨付情况明细表</w:t>
      </w:r>
    </w:p>
    <w:p>
      <w:pPr>
        <w:pStyle w:val="4"/>
        <w:spacing w:before="0" w:beforeAutospacing="0" w:line="360" w:lineRule="auto"/>
        <w:ind w:left="0" w:leftChars="0" w:right="0" w:rightChars="0"/>
        <w:jc w:val="right"/>
        <w:rPr>
          <w:rFonts w:hint="eastAsia" w:ascii="宋体" w:hAnsi="宋体" w:eastAsia="宋体" w:cs="宋体"/>
          <w:b/>
          <w:sz w:val="28"/>
          <w:szCs w:val="28"/>
          <w:lang w:bidi="ar"/>
        </w:rPr>
      </w:pPr>
      <w:r>
        <w:rPr>
          <w:rFonts w:hint="eastAsia" w:ascii="宋体" w:hAnsi="宋体" w:eastAsia="宋体" w:cs="宋体"/>
          <w:b w:val="0"/>
          <w:bCs/>
          <w:sz w:val="28"/>
          <w:szCs w:val="28"/>
          <w:lang w:bidi="ar"/>
        </w:rPr>
        <w:t>单位：万元</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4"/>
        <w:gridCol w:w="2410"/>
        <w:gridCol w:w="1026"/>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BEBEBE" w:themeFill="background1" w:themeFillShade="BF"/>
            <w:vAlign w:val="center"/>
          </w:tcPr>
          <w:p>
            <w:pPr>
              <w:widowControl/>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资金属性名称</w:t>
            </w:r>
          </w:p>
        </w:tc>
        <w:tc>
          <w:tcPr>
            <w:tcW w:w="1414" w:type="pct"/>
            <w:tcBorders>
              <w:tl2br w:val="nil"/>
              <w:tr2bl w:val="nil"/>
            </w:tcBorders>
            <w:shd w:val="clear" w:color="auto" w:fill="BEBEBE" w:themeFill="background1" w:themeFillShade="BF"/>
            <w:vAlign w:val="center"/>
          </w:tcPr>
          <w:p>
            <w:pPr>
              <w:widowControl/>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拨款文件</w:t>
            </w:r>
          </w:p>
        </w:tc>
        <w:tc>
          <w:tcPr>
            <w:tcW w:w="602" w:type="pct"/>
            <w:tcBorders>
              <w:tl2br w:val="nil"/>
              <w:tr2bl w:val="nil"/>
            </w:tcBorders>
            <w:shd w:val="clear" w:color="auto" w:fill="BEBEBE" w:themeFill="background1" w:themeFillShade="BF"/>
            <w:vAlign w:val="center"/>
          </w:tcPr>
          <w:p>
            <w:pPr>
              <w:widowControl/>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金额</w:t>
            </w:r>
          </w:p>
        </w:tc>
        <w:tc>
          <w:tcPr>
            <w:tcW w:w="680" w:type="pct"/>
            <w:tcBorders>
              <w:tl2br w:val="nil"/>
              <w:tr2bl w:val="nil"/>
            </w:tcBorders>
            <w:shd w:val="clear" w:color="auto" w:fill="BEBEBE" w:themeFill="background1" w:themeFillShade="BF"/>
            <w:vAlign w:val="center"/>
          </w:tcPr>
          <w:p>
            <w:pPr>
              <w:widowControl/>
              <w:spacing w:line="360" w:lineRule="auto"/>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省上半年保管费和年度轮换费</w:t>
            </w:r>
          </w:p>
        </w:tc>
        <w:tc>
          <w:tcPr>
            <w:tcW w:w="1414" w:type="pct"/>
            <w:tcBorders>
              <w:tl2br w:val="nil"/>
              <w:tr2bl w:val="nil"/>
            </w:tcBorders>
            <w:shd w:val="clear" w:color="auto" w:fill="auto"/>
            <w:vAlign w:val="center"/>
          </w:tcPr>
          <w:p>
            <w:pPr>
              <w:widowControl/>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运财建(2021)30号</w:t>
            </w:r>
          </w:p>
        </w:tc>
        <w:tc>
          <w:tcPr>
            <w:tcW w:w="602" w:type="pct"/>
            <w:tcBorders>
              <w:tl2br w:val="nil"/>
              <w:tr2bl w:val="nil"/>
            </w:tcBorders>
            <w:shd w:val="clear" w:color="auto" w:fill="auto"/>
            <w:vAlign w:val="center"/>
          </w:tcPr>
          <w:p>
            <w:pPr>
              <w:widowControl/>
              <w:jc w:val="righ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112.50</w:t>
            </w:r>
          </w:p>
        </w:tc>
        <w:tc>
          <w:tcPr>
            <w:tcW w:w="680" w:type="pct"/>
            <w:vMerge w:val="restart"/>
            <w:tcBorders>
              <w:tl2br w:val="nil"/>
              <w:tr2bl w:val="nil"/>
            </w:tcBorders>
            <w:shd w:val="clear" w:color="auto" w:fill="auto"/>
            <w:vAlign w:val="center"/>
          </w:tcPr>
          <w:p>
            <w:pPr>
              <w:widowControl/>
              <w:jc w:val="righ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省下半年保管费</w:t>
            </w:r>
          </w:p>
        </w:tc>
        <w:tc>
          <w:tcPr>
            <w:tcW w:w="1414" w:type="pct"/>
            <w:tcBorders>
              <w:tl2br w:val="nil"/>
              <w:tr2bl w:val="nil"/>
            </w:tcBorders>
            <w:shd w:val="clear" w:color="auto" w:fill="auto"/>
            <w:vAlign w:val="center"/>
          </w:tcPr>
          <w:p>
            <w:pPr>
              <w:widowControl/>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运财建(2021)79号</w:t>
            </w:r>
          </w:p>
        </w:tc>
        <w:tc>
          <w:tcPr>
            <w:tcW w:w="602" w:type="pct"/>
            <w:tcBorders>
              <w:tl2br w:val="nil"/>
              <w:tr2bl w:val="nil"/>
            </w:tcBorders>
            <w:shd w:val="clear" w:color="auto" w:fill="auto"/>
            <w:vAlign w:val="center"/>
          </w:tcPr>
          <w:p>
            <w:pPr>
              <w:widowControl/>
              <w:jc w:val="righ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75.00</w:t>
            </w:r>
          </w:p>
        </w:tc>
        <w:tc>
          <w:tcPr>
            <w:tcW w:w="680" w:type="pct"/>
            <w:vMerge w:val="continue"/>
            <w:tcBorders>
              <w:tl2br w:val="nil"/>
              <w:tr2bl w:val="nil"/>
            </w:tcBorders>
            <w:vAlign w:val="center"/>
          </w:tcPr>
          <w:p>
            <w:pPr>
              <w:widowControl/>
              <w:jc w:val="right"/>
              <w:rPr>
                <w:rFonts w:hint="eastAsia" w:ascii="宋体" w:hAnsi="宋体" w:eastAsia="宋体" w:cs="宋体"/>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jc w:val="lef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2021年上半年保管费和年度轮换费</w:t>
            </w:r>
          </w:p>
        </w:tc>
        <w:tc>
          <w:tcPr>
            <w:tcW w:w="1414" w:type="pct"/>
            <w:tcBorders>
              <w:tl2br w:val="nil"/>
              <w:tr2bl w:val="nil"/>
            </w:tcBorders>
            <w:shd w:val="clear" w:color="auto" w:fill="auto"/>
            <w:vAlign w:val="center"/>
          </w:tcPr>
          <w:p>
            <w:pPr>
              <w:widowControl/>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运财建（2021）13号</w:t>
            </w:r>
          </w:p>
        </w:tc>
        <w:tc>
          <w:tcPr>
            <w:tcW w:w="602" w:type="pct"/>
            <w:tcBorders>
              <w:tl2br w:val="nil"/>
              <w:tr2bl w:val="nil"/>
            </w:tcBorders>
            <w:shd w:val="clear" w:color="auto" w:fill="auto"/>
            <w:vAlign w:val="center"/>
          </w:tcPr>
          <w:p>
            <w:pPr>
              <w:widowControl/>
              <w:jc w:val="righ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 xml:space="preserve">849.00 </w:t>
            </w:r>
          </w:p>
        </w:tc>
        <w:tc>
          <w:tcPr>
            <w:tcW w:w="680" w:type="pct"/>
            <w:tcBorders>
              <w:tl2br w:val="nil"/>
              <w:tr2bl w:val="nil"/>
            </w:tcBorders>
            <w:shd w:val="clear" w:color="auto" w:fill="auto"/>
            <w:vAlign w:val="center"/>
          </w:tcPr>
          <w:p>
            <w:pPr>
              <w:widowControl/>
              <w:jc w:val="righ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 xml:space="preserve">849.00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03" w:type="pct"/>
            <w:tcBorders>
              <w:tl2br w:val="nil"/>
              <w:tr2bl w:val="nil"/>
            </w:tcBorders>
            <w:shd w:val="clear" w:color="auto" w:fill="auto"/>
            <w:vAlign w:val="center"/>
          </w:tcPr>
          <w:p>
            <w:pPr>
              <w:widowControl/>
              <w:jc w:val="lef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2021年下半年保管费</w:t>
            </w:r>
          </w:p>
        </w:tc>
        <w:tc>
          <w:tcPr>
            <w:tcW w:w="1414" w:type="pct"/>
            <w:tcBorders>
              <w:tl2br w:val="nil"/>
              <w:tr2bl w:val="nil"/>
            </w:tcBorders>
            <w:shd w:val="clear" w:color="auto" w:fill="auto"/>
            <w:vAlign w:val="center"/>
          </w:tcPr>
          <w:p>
            <w:pPr>
              <w:widowControl/>
              <w:jc w:val="lef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运财建（2021）77号</w:t>
            </w:r>
          </w:p>
        </w:tc>
        <w:tc>
          <w:tcPr>
            <w:tcW w:w="602" w:type="pct"/>
            <w:tcBorders>
              <w:tl2br w:val="nil"/>
              <w:tr2bl w:val="nil"/>
            </w:tcBorders>
            <w:shd w:val="clear" w:color="auto" w:fill="auto"/>
            <w:vAlign w:val="center"/>
          </w:tcPr>
          <w:p>
            <w:pPr>
              <w:widowControl/>
              <w:jc w:val="righ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 xml:space="preserve">560.00 </w:t>
            </w:r>
          </w:p>
        </w:tc>
        <w:tc>
          <w:tcPr>
            <w:tcW w:w="680" w:type="pct"/>
            <w:tcBorders>
              <w:tl2br w:val="nil"/>
              <w:tr2bl w:val="nil"/>
            </w:tcBorders>
            <w:vAlign w:val="center"/>
          </w:tcPr>
          <w:p>
            <w:pPr>
              <w:widowControl/>
              <w:jc w:val="righ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 xml:space="preserve">560.00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2021年上半年应急粮保管费和年度轮换费</w:t>
            </w:r>
          </w:p>
        </w:tc>
        <w:tc>
          <w:tcPr>
            <w:tcW w:w="1414" w:type="pct"/>
            <w:tcBorders>
              <w:tl2br w:val="nil"/>
              <w:tr2bl w:val="nil"/>
            </w:tcBorders>
            <w:shd w:val="clear" w:color="auto" w:fill="auto"/>
            <w:vAlign w:val="center"/>
          </w:tcPr>
          <w:p>
            <w:pPr>
              <w:widowControl/>
              <w:jc w:val="lef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运财建（2021）14号</w:t>
            </w:r>
          </w:p>
        </w:tc>
        <w:tc>
          <w:tcPr>
            <w:tcW w:w="602" w:type="pct"/>
            <w:tcBorders>
              <w:tl2br w:val="nil"/>
              <w:tr2bl w:val="nil"/>
            </w:tcBorders>
            <w:shd w:val="clear" w:color="auto" w:fill="auto"/>
            <w:vAlign w:val="center"/>
          </w:tcPr>
          <w:p>
            <w:pPr>
              <w:widowControl/>
              <w:jc w:val="righ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 xml:space="preserve">300.00 </w:t>
            </w:r>
          </w:p>
        </w:tc>
        <w:tc>
          <w:tcPr>
            <w:tcW w:w="680" w:type="pct"/>
            <w:tcBorders>
              <w:tl2br w:val="nil"/>
              <w:tr2bl w:val="nil"/>
            </w:tcBorders>
            <w:shd w:val="clear" w:color="auto" w:fill="auto"/>
            <w:vAlign w:val="center"/>
          </w:tcPr>
          <w:p>
            <w:pPr>
              <w:widowControl/>
              <w:jc w:val="righ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 xml:space="preserve">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3" w:type="pct"/>
            <w:tcBorders>
              <w:tl2br w:val="nil"/>
              <w:tr2bl w:val="nil"/>
            </w:tcBorders>
            <w:shd w:val="clear" w:color="auto" w:fill="auto"/>
            <w:vAlign w:val="center"/>
          </w:tcPr>
          <w:p>
            <w:pPr>
              <w:widowControl/>
              <w:jc w:val="lef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2021年下半年应急粮保管费</w:t>
            </w:r>
          </w:p>
        </w:tc>
        <w:tc>
          <w:tcPr>
            <w:tcW w:w="1414" w:type="pct"/>
            <w:tcBorders>
              <w:tl2br w:val="nil"/>
              <w:tr2bl w:val="nil"/>
            </w:tcBorders>
            <w:shd w:val="clear" w:color="auto" w:fill="auto"/>
            <w:vAlign w:val="center"/>
          </w:tcPr>
          <w:p>
            <w:pPr>
              <w:widowControl/>
              <w:jc w:val="lef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运财建（2021）78号</w:t>
            </w:r>
          </w:p>
        </w:tc>
        <w:tc>
          <w:tcPr>
            <w:tcW w:w="602" w:type="pct"/>
            <w:tcBorders>
              <w:tl2br w:val="nil"/>
              <w:tr2bl w:val="nil"/>
            </w:tcBorders>
            <w:shd w:val="clear" w:color="auto" w:fill="auto"/>
            <w:vAlign w:val="center"/>
          </w:tcPr>
          <w:p>
            <w:pPr>
              <w:widowControl/>
              <w:jc w:val="righ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 xml:space="preserve">50.50 </w:t>
            </w:r>
          </w:p>
        </w:tc>
        <w:tc>
          <w:tcPr>
            <w:tcW w:w="680" w:type="pct"/>
            <w:tcBorders>
              <w:tl2br w:val="nil"/>
              <w:tr2bl w:val="nil"/>
            </w:tcBorders>
            <w:vAlign w:val="center"/>
          </w:tcPr>
          <w:p>
            <w:pPr>
              <w:widowControl/>
              <w:jc w:val="right"/>
              <w:textAlignment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kern w:val="0"/>
                <w:sz w:val="24"/>
                <w:szCs w:val="24"/>
                <w:lang w:bidi="ar"/>
              </w:rPr>
              <w:t xml:space="preserve">50.50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17" w:type="pct"/>
            <w:gridSpan w:val="2"/>
            <w:tcBorders>
              <w:tl2br w:val="nil"/>
              <w:tr2bl w:val="nil"/>
            </w:tcBorders>
            <w:shd w:val="clear" w:color="auto" w:fill="auto"/>
            <w:vAlign w:val="center"/>
          </w:tcPr>
          <w:p>
            <w:pPr>
              <w:widowControl/>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合计</w:t>
            </w:r>
          </w:p>
        </w:tc>
        <w:tc>
          <w:tcPr>
            <w:tcW w:w="1282" w:type="pct"/>
            <w:gridSpan w:val="2"/>
            <w:tcBorders>
              <w:tl2br w:val="nil"/>
              <w:tr2bl w:val="nil"/>
            </w:tcBorders>
            <w:shd w:val="clear" w:color="auto" w:fill="auto"/>
            <w:vAlign w:val="center"/>
          </w:tcPr>
          <w:p>
            <w:pPr>
              <w:widowControl/>
              <w:jc w:val="center"/>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1,947.00</w:t>
            </w:r>
          </w:p>
        </w:tc>
      </w:tr>
    </w:tbl>
    <w:p>
      <w:pPr>
        <w:autoSpaceDE w:val="0"/>
        <w:autoSpaceDN w:val="0"/>
        <w:spacing w:line="360" w:lineRule="auto"/>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2.资金使用情况</w:t>
      </w:r>
    </w:p>
    <w:p>
      <w:pPr>
        <w:pStyle w:val="2"/>
        <w:ind w:firstLine="840" w:firstLineChars="300"/>
        <w:rPr>
          <w:rFonts w:hint="eastAsia" w:ascii="宋体" w:hAnsi="宋体" w:eastAsia="宋体" w:cs="宋体"/>
          <w:bCs/>
          <w:sz w:val="28"/>
          <w:szCs w:val="28"/>
        </w:rPr>
      </w:pPr>
      <w:r>
        <w:rPr>
          <w:rFonts w:hint="eastAsia" w:ascii="宋体" w:hAnsi="宋体" w:eastAsia="宋体" w:cs="宋体"/>
          <w:bCs/>
          <w:kern w:val="0"/>
          <w:sz w:val="28"/>
          <w:szCs w:val="28"/>
        </w:rPr>
        <w:t>2021年度支付项目资金1943.66万元，明细如下：</w:t>
      </w:r>
    </w:p>
    <w:tbl>
      <w:tblPr>
        <w:tblStyle w:val="14"/>
        <w:tblW w:w="9087" w:type="dxa"/>
        <w:tblInd w:w="0" w:type="dxa"/>
        <w:tblLayout w:type="fixed"/>
        <w:tblCellMar>
          <w:top w:w="0" w:type="dxa"/>
          <w:left w:w="0" w:type="dxa"/>
          <w:bottom w:w="0" w:type="dxa"/>
          <w:right w:w="0" w:type="dxa"/>
        </w:tblCellMar>
      </w:tblPr>
      <w:tblGrid>
        <w:gridCol w:w="2010"/>
        <w:gridCol w:w="3390"/>
        <w:gridCol w:w="1703"/>
        <w:gridCol w:w="1984"/>
      </w:tblGrid>
      <w:tr>
        <w:tblPrEx>
          <w:tblCellMar>
            <w:top w:w="0" w:type="dxa"/>
            <w:left w:w="0" w:type="dxa"/>
            <w:bottom w:w="0" w:type="dxa"/>
            <w:right w:w="0" w:type="dxa"/>
          </w:tblCellMar>
        </w:tblPrEx>
        <w:trPr>
          <w:trHeight w:val="779" w:hRule="atLeast"/>
        </w:trPr>
        <w:tc>
          <w:tcPr>
            <w:tcW w:w="9087" w:type="dxa"/>
            <w:gridSpan w:val="4"/>
            <w:tcBorders>
              <w:top w:val="nil"/>
              <w:left w:val="nil"/>
              <w:bottom w:val="nil"/>
              <w:right w:val="nil"/>
            </w:tcBorders>
            <w:shd w:val="clear" w:color="auto" w:fill="auto"/>
            <w:tcMar>
              <w:top w:w="15" w:type="dxa"/>
              <w:left w:w="15" w:type="dxa"/>
              <w:right w:w="15" w:type="dxa"/>
            </w:tcMar>
            <w:vAlign w:val="bottom"/>
          </w:tcPr>
          <w:p>
            <w:pPr>
              <w:widowControl/>
              <w:spacing w:line="360" w:lineRule="auto"/>
              <w:ind w:firstLine="2660" w:firstLineChars="950"/>
              <w:textAlignment w:val="bottom"/>
              <w:rPr>
                <w:rFonts w:hint="eastAsia" w:ascii="宋体" w:hAnsi="宋体" w:eastAsia="宋体" w:cs="宋体"/>
                <w:sz w:val="28"/>
                <w:szCs w:val="28"/>
              </w:rPr>
            </w:pPr>
            <w:r>
              <w:rPr>
                <w:rFonts w:hint="eastAsia" w:ascii="宋体" w:hAnsi="宋体" w:eastAsia="宋体" w:cs="宋体"/>
                <w:kern w:val="0"/>
                <w:sz w:val="28"/>
                <w:szCs w:val="28"/>
                <w:lang w:bidi="ar"/>
              </w:rPr>
              <w:t>资金使用情况明细表</w:t>
            </w:r>
          </w:p>
        </w:tc>
      </w:tr>
      <w:tr>
        <w:tblPrEx>
          <w:tblCellMar>
            <w:top w:w="0" w:type="dxa"/>
            <w:left w:w="0" w:type="dxa"/>
            <w:bottom w:w="0" w:type="dxa"/>
            <w:right w:w="0" w:type="dxa"/>
          </w:tblCellMar>
        </w:tblPrEx>
        <w:trPr>
          <w:trHeight w:val="292" w:hRule="atLeast"/>
        </w:trPr>
        <w:tc>
          <w:tcPr>
            <w:tcW w:w="2010" w:type="dxa"/>
            <w:tcBorders>
              <w:top w:val="nil"/>
              <w:left w:val="nil"/>
              <w:bottom w:val="nil"/>
              <w:right w:val="nil"/>
            </w:tcBorders>
            <w:shd w:val="clear" w:color="auto" w:fill="auto"/>
            <w:tcMar>
              <w:top w:w="15" w:type="dxa"/>
              <w:left w:w="15" w:type="dxa"/>
              <w:right w:w="15" w:type="dxa"/>
            </w:tcMar>
            <w:vAlign w:val="bottom"/>
          </w:tcPr>
          <w:p>
            <w:pPr>
              <w:spacing w:line="276" w:lineRule="auto"/>
              <w:rPr>
                <w:rFonts w:hint="eastAsia" w:ascii="宋体" w:hAnsi="宋体" w:eastAsia="宋体" w:cs="宋体"/>
                <w:sz w:val="24"/>
                <w:szCs w:val="24"/>
              </w:rPr>
            </w:pPr>
          </w:p>
        </w:tc>
        <w:tc>
          <w:tcPr>
            <w:tcW w:w="3390" w:type="dxa"/>
            <w:tcBorders>
              <w:top w:val="nil"/>
              <w:left w:val="nil"/>
              <w:bottom w:val="nil"/>
              <w:right w:val="nil"/>
            </w:tcBorders>
            <w:shd w:val="clear" w:color="auto" w:fill="auto"/>
            <w:tcMar>
              <w:top w:w="15" w:type="dxa"/>
              <w:left w:w="15" w:type="dxa"/>
              <w:right w:w="15" w:type="dxa"/>
            </w:tcMar>
            <w:vAlign w:val="bottom"/>
          </w:tcPr>
          <w:p>
            <w:pPr>
              <w:spacing w:line="276" w:lineRule="auto"/>
              <w:rPr>
                <w:rFonts w:hint="eastAsia" w:ascii="宋体" w:hAnsi="宋体" w:eastAsia="宋体" w:cs="宋体"/>
                <w:sz w:val="24"/>
                <w:szCs w:val="24"/>
              </w:rPr>
            </w:pPr>
          </w:p>
        </w:tc>
        <w:tc>
          <w:tcPr>
            <w:tcW w:w="1703" w:type="dxa"/>
            <w:tcBorders>
              <w:top w:val="nil"/>
              <w:left w:val="nil"/>
              <w:bottom w:val="nil"/>
              <w:right w:val="nil"/>
            </w:tcBorders>
            <w:shd w:val="clear" w:color="auto" w:fill="auto"/>
            <w:tcMar>
              <w:top w:w="15" w:type="dxa"/>
              <w:left w:w="15" w:type="dxa"/>
              <w:right w:w="15" w:type="dxa"/>
            </w:tcMar>
            <w:vAlign w:val="bottom"/>
          </w:tcPr>
          <w:p>
            <w:pPr>
              <w:spacing w:line="276" w:lineRule="auto"/>
              <w:rPr>
                <w:rFonts w:hint="eastAsia" w:ascii="宋体" w:hAnsi="宋体" w:eastAsia="宋体" w:cs="宋体"/>
                <w:sz w:val="24"/>
                <w:szCs w:val="24"/>
              </w:rPr>
            </w:pPr>
          </w:p>
        </w:tc>
        <w:tc>
          <w:tcPr>
            <w:tcW w:w="1984" w:type="dxa"/>
            <w:tcBorders>
              <w:top w:val="nil"/>
              <w:left w:val="nil"/>
              <w:bottom w:val="nil"/>
              <w:right w:val="nil"/>
            </w:tcBorders>
            <w:shd w:val="clear" w:color="auto" w:fill="auto"/>
            <w:tcMar>
              <w:top w:w="15" w:type="dxa"/>
              <w:left w:w="15" w:type="dxa"/>
              <w:right w:w="15" w:type="dxa"/>
            </w:tcMar>
            <w:vAlign w:val="center"/>
          </w:tcPr>
          <w:p>
            <w:pPr>
              <w:widowControl/>
              <w:spacing w:line="276" w:lineRule="auto"/>
              <w:jc w:val="right"/>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单位：万元</w:t>
            </w:r>
          </w:p>
        </w:tc>
      </w:tr>
      <w:tr>
        <w:tblPrEx>
          <w:tblCellMar>
            <w:top w:w="0" w:type="dxa"/>
            <w:left w:w="0" w:type="dxa"/>
            <w:bottom w:w="0" w:type="dxa"/>
            <w:right w:w="0" w:type="dxa"/>
          </w:tblCellMar>
        </w:tblPrEx>
        <w:trPr>
          <w:trHeight w:val="398" w:hRule="atLeast"/>
        </w:trPr>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b w:val="0"/>
                <w:bCs w:val="0"/>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
              </w:rPr>
              <w:t>费用名称</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
              </w:rPr>
              <w:t>金额</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
              </w:rPr>
              <w:t>合计</w:t>
            </w:r>
          </w:p>
        </w:tc>
      </w:tr>
      <w:tr>
        <w:tblPrEx>
          <w:tblCellMar>
            <w:top w:w="0" w:type="dxa"/>
            <w:left w:w="0" w:type="dxa"/>
            <w:bottom w:w="0" w:type="dxa"/>
            <w:right w:w="0" w:type="dxa"/>
          </w:tblCellMar>
        </w:tblPrEx>
        <w:trPr>
          <w:trHeight w:val="246" w:hRule="atLeast"/>
        </w:trPr>
        <w:tc>
          <w:tcPr>
            <w:tcW w:w="201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销售费用</w:t>
            </w: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办公费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22.04</w:t>
            </w:r>
          </w:p>
        </w:tc>
        <w:tc>
          <w:tcPr>
            <w:tcW w:w="198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663.74</w:t>
            </w:r>
          </w:p>
        </w:tc>
      </w:tr>
      <w:tr>
        <w:tblPrEx>
          <w:tblCellMar>
            <w:top w:w="0" w:type="dxa"/>
            <w:left w:w="0" w:type="dxa"/>
            <w:bottom w:w="0" w:type="dxa"/>
            <w:right w:w="0" w:type="dxa"/>
          </w:tblCellMar>
        </w:tblPrEx>
        <w:trPr>
          <w:trHeight w:val="322"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装卸费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16.32</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98"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保管费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505.06</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61"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轮换损耗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75.44</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252" w:hRule="atLeast"/>
        </w:trPr>
        <w:tc>
          <w:tcPr>
            <w:tcW w:w="201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其他</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44.88</w:t>
            </w:r>
          </w:p>
        </w:tc>
        <w:tc>
          <w:tcPr>
            <w:tcW w:w="198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0" w:hRule="atLeast"/>
        </w:trPr>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工资及社保</w:t>
            </w: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工资及福利费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594.68</w:t>
            </w:r>
          </w:p>
        </w:tc>
        <w:tc>
          <w:tcPr>
            <w:tcW w:w="19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797.81</w:t>
            </w:r>
          </w:p>
        </w:tc>
      </w:tr>
      <w:tr>
        <w:tblPrEx>
          <w:tblCellMar>
            <w:top w:w="0" w:type="dxa"/>
            <w:left w:w="0" w:type="dxa"/>
            <w:bottom w:w="0" w:type="dxa"/>
            <w:right w:w="0" w:type="dxa"/>
          </w:tblCellMar>
        </w:tblPrEx>
        <w:trPr>
          <w:trHeight w:val="392" w:hRule="atLeast"/>
        </w:trPr>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社保</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203.13</w:t>
            </w:r>
          </w:p>
        </w:tc>
        <w:tc>
          <w:tcPr>
            <w:tcW w:w="1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270" w:hRule="atLeast"/>
        </w:trPr>
        <w:tc>
          <w:tcPr>
            <w:tcW w:w="201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管理费用</w:t>
            </w: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办公费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21.77</w:t>
            </w:r>
          </w:p>
        </w:tc>
        <w:tc>
          <w:tcPr>
            <w:tcW w:w="198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147.93</w:t>
            </w:r>
          </w:p>
        </w:tc>
      </w:tr>
      <w:tr>
        <w:tblPrEx>
          <w:tblCellMar>
            <w:top w:w="0" w:type="dxa"/>
            <w:left w:w="0" w:type="dxa"/>
            <w:bottom w:w="0" w:type="dxa"/>
            <w:right w:w="0" w:type="dxa"/>
          </w:tblCellMar>
        </w:tblPrEx>
        <w:trPr>
          <w:trHeight w:val="346"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差旅费</w:t>
            </w:r>
          </w:p>
        </w:tc>
        <w:tc>
          <w:tcPr>
            <w:tcW w:w="170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3.17</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94"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劳保</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4.11</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0"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车辆交通费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8.62</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6"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修理费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39.30</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98"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物料消耗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5.57</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4" w:hRule="atLeast"/>
        </w:trPr>
        <w:tc>
          <w:tcPr>
            <w:tcW w:w="2010" w:type="dxa"/>
            <w:vMerge w:val="restart"/>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购低值易耗品</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1.54</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33"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工会经费及职工教育经费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11.57</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72"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规费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8.07</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32"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审计费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1.60</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47"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水电费，燃气费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16.10</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62"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党组织工作经费</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0.52</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62" w:hRule="atLeast"/>
        </w:trPr>
        <w:tc>
          <w:tcPr>
            <w:tcW w:w="201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消防用品</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2.25</w:t>
            </w:r>
          </w:p>
        </w:tc>
        <w:tc>
          <w:tcPr>
            <w:tcW w:w="198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407" w:hRule="atLeast"/>
        </w:trPr>
        <w:tc>
          <w:tcPr>
            <w:tcW w:w="201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保险费</w:t>
            </w:r>
          </w:p>
        </w:tc>
        <w:tc>
          <w:tcPr>
            <w:tcW w:w="170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9.12</w:t>
            </w:r>
          </w:p>
        </w:tc>
        <w:tc>
          <w:tcPr>
            <w:tcW w:w="1984"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77" w:hRule="atLeast"/>
        </w:trPr>
        <w:tc>
          <w:tcPr>
            <w:tcW w:w="201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p>
        </w:tc>
        <w:tc>
          <w:tcPr>
            <w:tcW w:w="339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其他</w:t>
            </w:r>
          </w:p>
        </w:tc>
        <w:tc>
          <w:tcPr>
            <w:tcW w:w="170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14.62</w:t>
            </w:r>
          </w:p>
        </w:tc>
        <w:tc>
          <w:tcPr>
            <w:tcW w:w="1984"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r>
              <w:rPr>
                <w:rFonts w:hint="eastAsia" w:ascii="宋体" w:hAnsi="宋体" w:eastAsia="宋体" w:cs="宋体"/>
                <w:kern w:val="0"/>
                <w:sz w:val="24"/>
                <w:szCs w:val="24"/>
                <w:lang w:bidi="ar"/>
              </w:rPr>
              <w:t>财务费用</w:t>
            </w:r>
          </w:p>
        </w:tc>
        <w:tc>
          <w:tcPr>
            <w:tcW w:w="339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手续费</w:t>
            </w:r>
          </w:p>
        </w:tc>
        <w:tc>
          <w:tcPr>
            <w:tcW w:w="1703"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0.33</w:t>
            </w:r>
          </w:p>
        </w:tc>
        <w:tc>
          <w:tcPr>
            <w:tcW w:w="1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0.33</w:t>
            </w:r>
          </w:p>
        </w:tc>
      </w:tr>
      <w:tr>
        <w:tblPrEx>
          <w:tblCellMar>
            <w:top w:w="0" w:type="dxa"/>
            <w:left w:w="0" w:type="dxa"/>
            <w:bottom w:w="0" w:type="dxa"/>
            <w:right w:w="0" w:type="dxa"/>
          </w:tblCellMar>
        </w:tblPrEx>
        <w:trPr>
          <w:trHeight w:val="527" w:hRule="atLeast"/>
        </w:trPr>
        <w:tc>
          <w:tcPr>
            <w:tcW w:w="2010" w:type="dxa"/>
            <w:tcBorders>
              <w:top w:val="single" w:color="000000"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339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kern w:val="0"/>
                <w:sz w:val="24"/>
                <w:szCs w:val="24"/>
                <w:lang w:bidi="ar"/>
              </w:rPr>
            </w:pPr>
            <w:r>
              <w:rPr>
                <w:rFonts w:hint="eastAsia" w:ascii="宋体" w:hAnsi="宋体" w:eastAsia="宋体" w:cs="宋体"/>
                <w:kern w:val="0"/>
                <w:sz w:val="24"/>
                <w:szCs w:val="24"/>
                <w:lang w:bidi="ar"/>
              </w:rPr>
              <w:t>轮换差价</w:t>
            </w:r>
          </w:p>
        </w:tc>
        <w:tc>
          <w:tcPr>
            <w:tcW w:w="1703" w:type="dxa"/>
            <w:tcBorders>
              <w:top w:val="single" w:color="000000"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325.62</w:t>
            </w:r>
          </w:p>
        </w:tc>
        <w:tc>
          <w:tcPr>
            <w:tcW w:w="1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c>
          <w:tcPr>
            <w:tcW w:w="339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bidi="ar"/>
              </w:rPr>
              <w:t>固定资产</w:t>
            </w:r>
          </w:p>
        </w:tc>
        <w:tc>
          <w:tcPr>
            <w:tcW w:w="170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8.23</w:t>
            </w:r>
          </w:p>
        </w:tc>
        <w:tc>
          <w:tcPr>
            <w:tcW w:w="198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527" w:hRule="atLeast"/>
        </w:trPr>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合计</w:t>
            </w:r>
          </w:p>
        </w:tc>
        <w:tc>
          <w:tcPr>
            <w:tcW w:w="33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76" w:lineRule="auto"/>
              <w:jc w:val="center"/>
              <w:rPr>
                <w:rFonts w:hint="eastAsia" w:ascii="宋体" w:hAnsi="宋体" w:eastAsia="宋体" w:cs="宋体"/>
                <w:sz w:val="24"/>
                <w:szCs w:val="24"/>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r>
              <w:rPr>
                <w:rFonts w:hint="eastAsia" w:ascii="宋体" w:hAnsi="宋体" w:eastAsia="宋体" w:cs="宋体"/>
                <w:b w:val="0"/>
                <w:bCs/>
                <w:sz w:val="24"/>
                <w:szCs w:val="24"/>
              </w:rPr>
              <w:t>1</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rPr>
              <w:t>943.66</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76" w:lineRule="auto"/>
              <w:jc w:val="center"/>
              <w:textAlignment w:val="center"/>
              <w:rPr>
                <w:rFonts w:hint="eastAsia" w:ascii="宋体" w:hAnsi="宋体" w:eastAsia="宋体" w:cs="宋体"/>
                <w:sz w:val="24"/>
                <w:szCs w:val="24"/>
              </w:rPr>
            </w:pPr>
          </w:p>
        </w:tc>
      </w:tr>
    </w:tbl>
    <w:p>
      <w:pPr>
        <w:pStyle w:val="12"/>
        <w:numPr>
          <w:ilvl w:val="0"/>
          <w:numId w:val="0"/>
        </w:numPr>
        <w:rPr>
          <w:rFonts w:hint="eastAsia" w:ascii="宋体" w:hAnsi="宋体" w:eastAsia="宋体" w:cs="宋体"/>
          <w:sz w:val="28"/>
          <w:szCs w:val="28"/>
          <w:lang w:val="en-US" w:eastAsia="zh-CN"/>
        </w:rPr>
      </w:pPr>
      <w:bookmarkStart w:id="249" w:name="_Toc12856"/>
      <w:r>
        <w:rPr>
          <w:rFonts w:hint="eastAsia" w:ascii="宋体" w:hAnsi="宋体" w:eastAsia="宋体" w:cs="宋体"/>
          <w:sz w:val="28"/>
          <w:szCs w:val="28"/>
        </w:rPr>
        <w:t>评价人员对资金的支出情况检查，未发现有不合规情形。</w:t>
      </w:r>
      <w:bookmarkEnd w:id="249"/>
    </w:p>
    <w:bookmarkEnd w:id="238"/>
    <w:p>
      <w:pPr>
        <w:widowControl/>
        <w:spacing w:line="360" w:lineRule="auto"/>
        <w:outlineLvl w:val="0"/>
        <w:rPr>
          <w:rFonts w:hint="eastAsia" w:ascii="宋体" w:hAnsi="宋体" w:eastAsia="宋体" w:cs="宋体"/>
          <w:b/>
          <w:sz w:val="28"/>
          <w:szCs w:val="28"/>
        </w:rPr>
      </w:pPr>
      <w:bookmarkStart w:id="250" w:name="_Toc6798"/>
      <w:bookmarkStart w:id="251" w:name="_Toc12664"/>
      <w:bookmarkStart w:id="252" w:name="_Toc18647"/>
      <w:bookmarkStart w:id="253" w:name="_Toc31831"/>
      <w:r>
        <w:rPr>
          <w:rFonts w:hint="eastAsia" w:ascii="宋体" w:hAnsi="宋体" w:eastAsia="宋体" w:cs="宋体"/>
          <w:bCs/>
          <w:sz w:val="28"/>
          <w:szCs w:val="28"/>
        </w:rPr>
        <w:t>附件</w:t>
      </w:r>
      <w:bookmarkEnd w:id="250"/>
      <w:bookmarkEnd w:id="251"/>
      <w:r>
        <w:rPr>
          <w:rFonts w:hint="eastAsia" w:ascii="宋体" w:hAnsi="宋体" w:eastAsia="宋体" w:cs="宋体"/>
          <w:bCs/>
          <w:sz w:val="28"/>
          <w:szCs w:val="28"/>
        </w:rPr>
        <w:t>5</w:t>
      </w:r>
      <w:bookmarkEnd w:id="252"/>
    </w:p>
    <w:p>
      <w:pPr>
        <w:spacing w:line="360" w:lineRule="auto"/>
        <w:jc w:val="center"/>
        <w:rPr>
          <w:rFonts w:hint="eastAsia" w:ascii="宋体" w:hAnsi="宋体" w:eastAsia="宋体" w:cs="宋体"/>
          <w:b/>
          <w:bCs w:val="0"/>
          <w:sz w:val="28"/>
          <w:szCs w:val="28"/>
        </w:rPr>
      </w:pPr>
      <w:r>
        <w:rPr>
          <w:rFonts w:hint="eastAsia" w:ascii="宋体" w:hAnsi="宋体" w:eastAsia="宋体" w:cs="宋体"/>
          <w:b/>
          <w:bCs w:val="0"/>
          <w:sz w:val="28"/>
          <w:szCs w:val="28"/>
        </w:rPr>
        <w:t>2021年储备粮油管理费、轮换费项目</w:t>
      </w:r>
      <w:bookmarkEnd w:id="239"/>
      <w:bookmarkEnd w:id="253"/>
      <w:bookmarkStart w:id="254" w:name="_Toc4935"/>
      <w:bookmarkStart w:id="255" w:name="_Toc24373"/>
      <w:bookmarkStart w:id="256" w:name="_Toc28551"/>
      <w:r>
        <w:rPr>
          <w:rFonts w:hint="eastAsia" w:ascii="宋体" w:hAnsi="宋体" w:eastAsia="宋体" w:cs="宋体"/>
          <w:b/>
          <w:bCs w:val="0"/>
          <w:sz w:val="28"/>
          <w:szCs w:val="28"/>
        </w:rPr>
        <w:t>主管部门</w:t>
      </w:r>
    </w:p>
    <w:p>
      <w:pPr>
        <w:spacing w:line="360" w:lineRule="auto"/>
        <w:jc w:val="center"/>
        <w:rPr>
          <w:rFonts w:hint="eastAsia" w:ascii="宋体" w:hAnsi="宋体" w:eastAsia="宋体" w:cs="宋体"/>
          <w:b/>
          <w:bCs w:val="0"/>
          <w:sz w:val="28"/>
          <w:szCs w:val="28"/>
        </w:rPr>
      </w:pPr>
      <w:r>
        <w:rPr>
          <w:rFonts w:hint="eastAsia" w:ascii="宋体" w:hAnsi="宋体" w:eastAsia="宋体" w:cs="宋体"/>
          <w:b/>
          <w:bCs w:val="0"/>
          <w:sz w:val="28"/>
          <w:szCs w:val="28"/>
        </w:rPr>
        <w:t>满意度调查报告</w:t>
      </w:r>
      <w:bookmarkEnd w:id="254"/>
      <w:bookmarkEnd w:id="255"/>
      <w:bookmarkEnd w:id="256"/>
    </w:p>
    <w:p>
      <w:pPr>
        <w:pStyle w:val="4"/>
        <w:spacing w:before="0" w:beforeAutospacing="0" w:line="360" w:lineRule="auto"/>
        <w:ind w:left="0" w:leftChars="0" w:right="1470" w:firstLine="560" w:firstLineChars="200"/>
        <w:rPr>
          <w:rFonts w:hint="eastAsia" w:ascii="宋体" w:hAnsi="宋体" w:eastAsia="宋体" w:cs="宋体"/>
          <w:b w:val="0"/>
          <w:bCs/>
          <w:sz w:val="28"/>
          <w:szCs w:val="28"/>
        </w:rPr>
      </w:pPr>
      <w:bookmarkStart w:id="257" w:name="_Toc18789"/>
      <w:r>
        <w:rPr>
          <w:rFonts w:hint="eastAsia" w:ascii="宋体" w:hAnsi="宋体" w:eastAsia="宋体" w:cs="宋体"/>
          <w:b w:val="0"/>
          <w:bCs/>
          <w:sz w:val="28"/>
          <w:szCs w:val="28"/>
        </w:rPr>
        <w:t>一、调查背景</w:t>
      </w:r>
      <w:bookmarkEnd w:id="257"/>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随着2021储备粮油管理费、轮换费项目财政支出</w:t>
      </w:r>
      <w:r>
        <w:rPr>
          <w:rFonts w:hint="eastAsia" w:ascii="宋体" w:hAnsi="宋体" w:eastAsia="宋体" w:cs="宋体"/>
          <w:sz w:val="28"/>
          <w:szCs w:val="28"/>
          <w:lang w:bidi="ar"/>
        </w:rPr>
        <w:t>的开展</w:t>
      </w:r>
      <w:r>
        <w:rPr>
          <w:rFonts w:hint="eastAsia" w:ascii="宋体" w:hAnsi="宋体" w:eastAsia="宋体" w:cs="宋体"/>
          <w:sz w:val="28"/>
          <w:szCs w:val="28"/>
        </w:rPr>
        <w:t>，为了解主管部门对运城地方粮食战略储备库日常工作的满意度，我们组织了本次满意度调查。</w:t>
      </w:r>
    </w:p>
    <w:p>
      <w:pPr>
        <w:spacing w:line="360" w:lineRule="auto"/>
        <w:ind w:firstLine="560" w:firstLineChars="200"/>
        <w:rPr>
          <w:rFonts w:hint="eastAsia" w:ascii="宋体" w:hAnsi="宋体" w:eastAsia="宋体" w:cs="宋体"/>
          <w:b w:val="0"/>
          <w:bCs w:val="0"/>
          <w:sz w:val="28"/>
          <w:szCs w:val="28"/>
        </w:rPr>
      </w:pPr>
      <w:bookmarkStart w:id="258" w:name="_Toc25065"/>
      <w:bookmarkStart w:id="259" w:name="_Toc31625"/>
      <w:r>
        <w:rPr>
          <w:rFonts w:hint="eastAsia" w:ascii="宋体" w:hAnsi="宋体" w:eastAsia="宋体" w:cs="宋体"/>
          <w:b w:val="0"/>
          <w:bCs w:val="0"/>
          <w:sz w:val="28"/>
          <w:szCs w:val="28"/>
        </w:rPr>
        <w:t>二、调查目的</w:t>
      </w:r>
      <w:bookmarkEnd w:id="258"/>
      <w:bookmarkEnd w:id="259"/>
    </w:p>
    <w:p>
      <w:pPr>
        <w:spacing w:line="360" w:lineRule="auto"/>
        <w:ind w:firstLine="560" w:firstLineChars="200"/>
        <w:rPr>
          <w:rFonts w:hint="eastAsia" w:ascii="宋体" w:hAnsi="宋体" w:eastAsia="宋体" w:cs="宋体"/>
          <w:b w:val="0"/>
          <w:bCs w:val="0"/>
          <w:sz w:val="28"/>
          <w:szCs w:val="28"/>
        </w:rPr>
      </w:pPr>
      <w:r>
        <w:rPr>
          <w:rFonts w:hint="eastAsia" w:ascii="宋体" w:hAnsi="宋体" w:eastAsia="宋体" w:cs="宋体"/>
          <w:b w:val="0"/>
          <w:bCs w:val="0"/>
          <w:sz w:val="28"/>
          <w:szCs w:val="28"/>
        </w:rPr>
        <w:t>经过问卷调查，我们通过统计问卷调查结果，对调查结果进行具体数据分析，统计确定主管部门满意度分值。</w:t>
      </w:r>
    </w:p>
    <w:p>
      <w:pPr>
        <w:spacing w:line="360" w:lineRule="auto"/>
        <w:ind w:firstLine="560" w:firstLineChars="200"/>
        <w:rPr>
          <w:rFonts w:hint="eastAsia" w:ascii="宋体" w:hAnsi="宋体" w:eastAsia="宋体" w:cs="宋体"/>
          <w:b w:val="0"/>
          <w:bCs w:val="0"/>
          <w:sz w:val="28"/>
          <w:szCs w:val="28"/>
          <w:lang w:eastAsia="zh-CN"/>
        </w:rPr>
      </w:pPr>
      <w:bookmarkStart w:id="260" w:name="_Toc20321"/>
      <w:bookmarkStart w:id="261" w:name="_Toc17971"/>
      <w:r>
        <w:rPr>
          <w:rFonts w:hint="eastAsia" w:ascii="宋体" w:hAnsi="宋体" w:eastAsia="宋体" w:cs="宋体"/>
          <w:b w:val="0"/>
          <w:bCs w:val="0"/>
          <w:sz w:val="28"/>
          <w:szCs w:val="28"/>
        </w:rPr>
        <w:t>三、</w:t>
      </w:r>
      <w:r>
        <w:rPr>
          <w:rFonts w:hint="eastAsia" w:ascii="宋体" w:hAnsi="宋体" w:eastAsia="宋体" w:cs="宋体"/>
          <w:b w:val="0"/>
          <w:bCs w:val="0"/>
          <w:sz w:val="28"/>
          <w:szCs w:val="28"/>
          <w:lang w:eastAsia="zh-CN"/>
        </w:rPr>
        <w:t>调查方式和样本量</w:t>
      </w:r>
    </w:p>
    <w:bookmarkEnd w:id="260"/>
    <w:bookmarkEnd w:id="261"/>
    <w:p>
      <w:pPr>
        <w:spacing w:line="360" w:lineRule="auto"/>
        <w:ind w:firstLine="560" w:firstLineChars="200"/>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本次</w:t>
      </w:r>
      <w:r>
        <w:rPr>
          <w:rFonts w:hint="eastAsia" w:ascii="宋体" w:hAnsi="宋体" w:eastAsia="宋体" w:cs="宋体"/>
          <w:b w:val="0"/>
          <w:bCs w:val="0"/>
          <w:color w:val="auto"/>
          <w:sz w:val="28"/>
          <w:szCs w:val="28"/>
          <w:lang w:eastAsia="zh-CN"/>
        </w:rPr>
        <w:t>采用问卷星调查方式进行问卷调查，</w:t>
      </w:r>
      <w:r>
        <w:rPr>
          <w:rFonts w:hint="eastAsia" w:ascii="宋体" w:hAnsi="宋体" w:eastAsia="宋体" w:cs="宋体"/>
          <w:b w:val="0"/>
          <w:bCs w:val="0"/>
          <w:color w:val="auto"/>
          <w:sz w:val="28"/>
          <w:szCs w:val="28"/>
        </w:rPr>
        <w:t>调查问卷共发放</w:t>
      </w:r>
      <w:r>
        <w:rPr>
          <w:rFonts w:hint="eastAsia" w:ascii="宋体" w:hAnsi="宋体" w:eastAsia="宋体" w:cs="宋体"/>
          <w:b w:val="0"/>
          <w:bCs w:val="0"/>
          <w:color w:val="auto"/>
          <w:sz w:val="28"/>
          <w:szCs w:val="28"/>
          <w:lang w:val="en-US" w:eastAsia="zh-CN"/>
        </w:rPr>
        <w:t>46</w:t>
      </w:r>
      <w:r>
        <w:rPr>
          <w:rFonts w:hint="eastAsia" w:ascii="宋体" w:hAnsi="宋体" w:eastAsia="宋体" w:cs="宋体"/>
          <w:b w:val="0"/>
          <w:bCs w:val="0"/>
          <w:color w:val="auto"/>
          <w:sz w:val="28"/>
          <w:szCs w:val="28"/>
        </w:rPr>
        <w:t>份，收回</w:t>
      </w:r>
      <w:r>
        <w:rPr>
          <w:rFonts w:hint="eastAsia" w:ascii="宋体" w:hAnsi="宋体" w:eastAsia="宋体" w:cs="宋体"/>
          <w:b w:val="0"/>
          <w:bCs w:val="0"/>
          <w:color w:val="auto"/>
          <w:sz w:val="28"/>
          <w:szCs w:val="28"/>
          <w:lang w:val="en-US" w:eastAsia="zh-CN"/>
        </w:rPr>
        <w:t>46</w:t>
      </w:r>
      <w:r>
        <w:rPr>
          <w:rFonts w:hint="eastAsia" w:ascii="宋体" w:hAnsi="宋体" w:eastAsia="宋体" w:cs="宋体"/>
          <w:b w:val="0"/>
          <w:bCs w:val="0"/>
          <w:color w:val="auto"/>
          <w:sz w:val="28"/>
          <w:szCs w:val="28"/>
        </w:rPr>
        <w:t>份。</w:t>
      </w:r>
    </w:p>
    <w:p>
      <w:pPr>
        <w:spacing w:line="360" w:lineRule="auto"/>
        <w:ind w:firstLine="560" w:firstLineChars="200"/>
        <w:rPr>
          <w:rFonts w:hint="eastAsia" w:ascii="宋体" w:hAnsi="宋体" w:eastAsia="宋体" w:cs="宋体"/>
          <w:b w:val="0"/>
          <w:bCs w:val="0"/>
          <w:color w:val="auto"/>
          <w:sz w:val="28"/>
          <w:szCs w:val="28"/>
        </w:rPr>
      </w:pPr>
      <w:bookmarkStart w:id="262" w:name="_Toc26976"/>
      <w:bookmarkStart w:id="263" w:name="_Toc32722"/>
      <w:r>
        <w:rPr>
          <w:rFonts w:hint="eastAsia" w:ascii="宋体" w:hAnsi="宋体" w:eastAsia="宋体" w:cs="宋体"/>
          <w:b w:val="0"/>
          <w:bCs w:val="0"/>
          <w:color w:val="auto"/>
          <w:sz w:val="28"/>
          <w:szCs w:val="28"/>
        </w:rPr>
        <w:t>四、满意度情况分析</w:t>
      </w:r>
      <w:bookmarkEnd w:id="262"/>
      <w:r>
        <w:rPr>
          <w:rFonts w:hint="eastAsia" w:ascii="宋体" w:hAnsi="宋体" w:eastAsia="宋体" w:cs="宋体"/>
          <w:b w:val="0"/>
          <w:bCs w:val="0"/>
          <w:color w:val="auto"/>
          <w:sz w:val="28"/>
          <w:szCs w:val="28"/>
        </w:rPr>
        <w:t>及结论</w:t>
      </w:r>
      <w:bookmarkEnd w:id="263"/>
    </w:p>
    <w:p>
      <w:pPr>
        <w:tabs>
          <w:tab w:val="left" w:pos="597"/>
        </w:tabs>
        <w:spacing w:line="360" w:lineRule="auto"/>
        <w:ind w:firstLine="560" w:firstLineChars="200"/>
        <w:rPr>
          <w:rFonts w:hint="eastAsia" w:ascii="宋体" w:hAnsi="宋体" w:eastAsia="宋体" w:cs="宋体"/>
          <w:b/>
          <w:color w:val="000000"/>
          <w:sz w:val="28"/>
          <w:szCs w:val="28"/>
        </w:rPr>
      </w:pPr>
      <w:r>
        <w:rPr>
          <w:rFonts w:hint="eastAsia" w:ascii="宋体" w:hAnsi="宋体" w:eastAsia="宋体" w:cs="宋体"/>
          <w:color w:val="auto"/>
          <w:sz w:val="28"/>
          <w:szCs w:val="28"/>
        </w:rPr>
        <w:t>经过统计，</w:t>
      </w:r>
      <w:r>
        <w:rPr>
          <w:rFonts w:hint="eastAsia" w:ascii="宋体" w:hAnsi="宋体" w:eastAsia="宋体" w:cs="宋体"/>
          <w:color w:val="auto"/>
          <w:sz w:val="28"/>
          <w:szCs w:val="28"/>
          <w:lang w:eastAsia="zh-CN"/>
        </w:rPr>
        <w:t>本次问卷调查对经常关注粮食储备安全质量相关内容的占比为</w:t>
      </w:r>
      <w:r>
        <w:rPr>
          <w:rFonts w:hint="eastAsia" w:ascii="宋体" w:hAnsi="宋体" w:eastAsia="宋体" w:cs="宋体"/>
          <w:color w:val="auto"/>
          <w:sz w:val="28"/>
          <w:szCs w:val="28"/>
          <w:lang w:val="en-US" w:eastAsia="zh-CN"/>
        </w:rPr>
        <w:t>80%；粮食战略储备库在应对突发事件方面非常好</w:t>
      </w:r>
      <w:r>
        <w:rPr>
          <w:rFonts w:hint="eastAsia" w:ascii="宋体" w:hAnsi="宋体" w:eastAsia="宋体" w:cs="宋体"/>
          <w:color w:val="auto"/>
          <w:sz w:val="28"/>
          <w:szCs w:val="28"/>
          <w:lang w:eastAsia="zh-CN"/>
        </w:rPr>
        <w:t>占比为</w:t>
      </w:r>
      <w:r>
        <w:rPr>
          <w:rFonts w:hint="eastAsia" w:ascii="宋体" w:hAnsi="宋体" w:eastAsia="宋体" w:cs="宋体"/>
          <w:color w:val="auto"/>
          <w:sz w:val="28"/>
          <w:szCs w:val="28"/>
          <w:lang w:val="en-US" w:eastAsia="zh-CN"/>
        </w:rPr>
        <w:t>67%，比较好</w:t>
      </w:r>
      <w:r>
        <w:rPr>
          <w:rFonts w:hint="eastAsia" w:ascii="宋体" w:hAnsi="宋体" w:eastAsia="宋体" w:cs="宋体"/>
          <w:color w:val="auto"/>
          <w:sz w:val="28"/>
          <w:szCs w:val="28"/>
          <w:lang w:eastAsia="zh-CN"/>
        </w:rPr>
        <w:t>占比为</w:t>
      </w:r>
      <w:r>
        <w:rPr>
          <w:rFonts w:hint="eastAsia" w:ascii="宋体" w:hAnsi="宋体" w:eastAsia="宋体" w:cs="宋体"/>
          <w:color w:val="auto"/>
          <w:sz w:val="28"/>
          <w:szCs w:val="28"/>
          <w:lang w:val="en-US" w:eastAsia="zh-CN"/>
        </w:rPr>
        <w:t>26%；在维护粮食方面产生的引领力作用非常大</w:t>
      </w:r>
      <w:r>
        <w:rPr>
          <w:rFonts w:hint="eastAsia" w:ascii="宋体" w:hAnsi="宋体" w:eastAsia="宋体" w:cs="宋体"/>
          <w:color w:val="auto"/>
          <w:sz w:val="28"/>
          <w:szCs w:val="28"/>
          <w:lang w:eastAsia="zh-CN"/>
        </w:rPr>
        <w:t>占比为</w:t>
      </w:r>
      <w:r>
        <w:rPr>
          <w:rFonts w:hint="eastAsia" w:ascii="宋体" w:hAnsi="宋体" w:eastAsia="宋体" w:cs="宋体"/>
          <w:color w:val="auto"/>
          <w:sz w:val="28"/>
          <w:szCs w:val="28"/>
          <w:lang w:val="en-US" w:eastAsia="zh-CN"/>
        </w:rPr>
        <w:t>57%，比较大</w:t>
      </w:r>
      <w:r>
        <w:rPr>
          <w:rFonts w:hint="eastAsia" w:ascii="宋体" w:hAnsi="宋体" w:eastAsia="宋体" w:cs="宋体"/>
          <w:color w:val="auto"/>
          <w:sz w:val="28"/>
          <w:szCs w:val="28"/>
          <w:lang w:eastAsia="zh-CN"/>
        </w:rPr>
        <w:t>占比为</w:t>
      </w:r>
      <w:r>
        <w:rPr>
          <w:rFonts w:hint="eastAsia" w:ascii="宋体" w:hAnsi="宋体" w:eastAsia="宋体" w:cs="宋体"/>
          <w:color w:val="auto"/>
          <w:sz w:val="28"/>
          <w:szCs w:val="28"/>
          <w:lang w:val="en-US" w:eastAsia="zh-CN"/>
        </w:rPr>
        <w:t>24%，整体来说对社会产生的效益巨大</w:t>
      </w:r>
      <w:r>
        <w:rPr>
          <w:rFonts w:hint="eastAsia" w:ascii="宋体" w:hAnsi="宋体" w:eastAsia="宋体" w:cs="宋体"/>
          <w:color w:val="auto"/>
          <w:sz w:val="28"/>
          <w:szCs w:val="28"/>
        </w:rPr>
        <w:t>。</w:t>
      </w:r>
      <w:bookmarkStart w:id="264" w:name="_Toc13599"/>
      <w:r>
        <w:rPr>
          <w:rFonts w:hint="eastAsia" w:ascii="宋体" w:hAnsi="宋体" w:eastAsia="宋体" w:cs="宋体"/>
          <w:b/>
          <w:color w:val="auto"/>
          <w:sz w:val="28"/>
          <w:szCs w:val="28"/>
        </w:rPr>
        <w:br w:type="page"/>
      </w:r>
    </w:p>
    <w:bookmarkEnd w:id="264"/>
    <w:p>
      <w:pPr>
        <w:widowControl/>
        <w:spacing w:line="360" w:lineRule="auto"/>
        <w:outlineLvl w:val="0"/>
        <w:rPr>
          <w:rFonts w:hint="eastAsia" w:ascii="宋体" w:hAnsi="宋体" w:eastAsia="宋体" w:cs="宋体"/>
          <w:b/>
          <w:sz w:val="28"/>
          <w:szCs w:val="28"/>
        </w:rPr>
      </w:pPr>
      <w:bookmarkStart w:id="265" w:name="_Toc29731"/>
      <w:r>
        <w:rPr>
          <w:rFonts w:hint="eastAsia" w:ascii="宋体" w:hAnsi="宋体" w:eastAsia="宋体" w:cs="宋体"/>
          <w:bCs/>
          <w:sz w:val="28"/>
          <w:szCs w:val="28"/>
        </w:rPr>
        <w:t>附件6</w:t>
      </w:r>
      <w:bookmarkEnd w:id="265"/>
    </w:p>
    <w:p>
      <w:pPr>
        <w:spacing w:line="360" w:lineRule="auto"/>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2021储备粮油保管费轮换费项目绩效评价工作</w:t>
      </w:r>
    </w:p>
    <w:p>
      <w:pPr>
        <w:spacing w:line="360" w:lineRule="auto"/>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满意度调查问卷</w:t>
      </w:r>
    </w:p>
    <w:p>
      <w:pPr>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受运城市财政局委托，我事务所针对运城市2021年度储备粮油保管费轮换费项目财政支出开展绩效评价。为了更好地开展绩效评价工作，了解财政资金使用情况，我们组织了本次问卷调查。</w:t>
      </w:r>
    </w:p>
    <w:p>
      <w:pPr>
        <w:numPr>
          <w:ilvl w:val="0"/>
          <w:numId w:val="0"/>
        </w:numPr>
        <w:spacing w:line="360" w:lineRule="auto"/>
        <w:ind w:right="1470" w:rightChars="700"/>
        <w:rPr>
          <w:rFonts w:hint="eastAsia" w:ascii="宋体" w:hAnsi="宋体" w:eastAsia="宋体" w:cs="宋体"/>
          <w:b w:val="0"/>
          <w:bCs w:val="0"/>
          <w:color w:val="000000"/>
          <w:spacing w:val="-4"/>
          <w:sz w:val="28"/>
          <w:szCs w:val="28"/>
        </w:rPr>
      </w:pPr>
      <w:r>
        <w:rPr>
          <w:rFonts w:hint="eastAsia" w:ascii="宋体" w:hAnsi="宋体" w:eastAsia="宋体" w:cs="宋体"/>
          <w:b w:val="0"/>
          <w:bCs w:val="0"/>
          <w:color w:val="000000"/>
          <w:spacing w:val="-4"/>
          <w:sz w:val="28"/>
          <w:szCs w:val="28"/>
          <w:lang w:eastAsia="zh-CN"/>
        </w:rPr>
        <w:t>一、</w:t>
      </w:r>
      <w:r>
        <w:rPr>
          <w:rFonts w:hint="eastAsia" w:ascii="宋体" w:hAnsi="宋体" w:eastAsia="宋体" w:cs="宋体"/>
          <w:b w:val="0"/>
          <w:bCs w:val="0"/>
          <w:color w:val="000000"/>
          <w:spacing w:val="-4"/>
          <w:sz w:val="28"/>
          <w:szCs w:val="28"/>
        </w:rPr>
        <w:t>基本问题</w:t>
      </w:r>
    </w:p>
    <w:p>
      <w:pPr>
        <w:spacing w:line="360" w:lineRule="auto"/>
        <w:rPr>
          <w:rFonts w:hint="eastAsia" w:ascii="宋体" w:hAnsi="宋体" w:eastAsia="宋体" w:cs="宋体"/>
          <w:color w:val="000000"/>
          <w:sz w:val="28"/>
          <w:szCs w:val="28"/>
        </w:rPr>
      </w:pPr>
      <w:bookmarkStart w:id="266" w:name="_Toc18689_WPSOffice_Level2"/>
      <w:bookmarkStart w:id="267" w:name="_Toc10059_WPSOffice_Level2"/>
      <w:bookmarkStart w:id="268" w:name="_Toc14920_WPSOffice_Level2"/>
      <w:r>
        <w:rPr>
          <w:rFonts w:hint="eastAsia" w:ascii="宋体" w:hAnsi="宋体" w:eastAsia="宋体" w:cs="宋体"/>
          <w:color w:val="000000"/>
          <w:sz w:val="28"/>
          <w:szCs w:val="28"/>
        </w:rPr>
        <w:t>1、您的姓名及部门职务__________</w:t>
      </w:r>
      <w:bookmarkEnd w:id="266"/>
      <w:bookmarkEnd w:id="267"/>
      <w:bookmarkEnd w:id="268"/>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eastAsia="zh-CN"/>
        </w:rPr>
        <w:t>在日常生活中，您是否关注过粮食储备安全质量相关</w:t>
      </w:r>
      <w:r>
        <w:rPr>
          <w:rFonts w:hint="eastAsia" w:ascii="宋体" w:hAnsi="宋体" w:eastAsia="宋体" w:cs="宋体"/>
          <w:color w:val="000000"/>
          <w:sz w:val="28"/>
          <w:szCs w:val="28"/>
          <w:lang w:val="en-US" w:eastAsia="zh-CN"/>
        </w:rPr>
        <w:t xml:space="preserve"> 内容</w:t>
      </w:r>
      <w:r>
        <w:rPr>
          <w:rFonts w:hint="eastAsia" w:ascii="宋体" w:hAnsi="宋体" w:eastAsia="宋体" w:cs="宋体"/>
          <w:color w:val="000000"/>
          <w:sz w:val="28"/>
          <w:szCs w:val="28"/>
        </w:rPr>
        <w:t>？</w:t>
      </w:r>
    </w:p>
    <w:p>
      <w:pPr>
        <w:spacing w:line="360" w:lineRule="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经常关注</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eastAsia="zh-CN"/>
        </w:rPr>
        <w:t>偶尔</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很少</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eastAsia="zh-CN"/>
        </w:rPr>
        <w:t>□从不</w:t>
      </w: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3、您</w:t>
      </w:r>
      <w:r>
        <w:rPr>
          <w:rFonts w:hint="eastAsia" w:ascii="宋体" w:hAnsi="宋体" w:eastAsia="宋体" w:cs="宋体"/>
          <w:color w:val="000000"/>
          <w:sz w:val="28"/>
          <w:szCs w:val="28"/>
          <w:lang w:eastAsia="zh-CN"/>
        </w:rPr>
        <w:t>认为运城市地方战略储备库有限责任公司在应对突发事件的措施如何</w:t>
      </w:r>
      <w:r>
        <w:rPr>
          <w:rFonts w:hint="eastAsia" w:ascii="宋体" w:hAnsi="宋体" w:eastAsia="宋体" w:cs="宋体"/>
          <w:color w:val="000000"/>
          <w:sz w:val="28"/>
          <w:szCs w:val="28"/>
        </w:rPr>
        <w:t>？</w:t>
      </w:r>
    </w:p>
    <w:p>
      <w:pPr>
        <w:spacing w:line="360" w:lineRule="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□非常</w:t>
      </w:r>
      <w:r>
        <w:rPr>
          <w:rFonts w:hint="eastAsia" w:ascii="宋体" w:hAnsi="宋体" w:eastAsia="宋体" w:cs="宋体"/>
          <w:color w:val="000000"/>
          <w:sz w:val="28"/>
          <w:szCs w:val="28"/>
          <w:lang w:eastAsia="zh-CN"/>
        </w:rPr>
        <w:t>好</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eastAsia="zh-CN"/>
        </w:rPr>
        <w:t>比较好</w:t>
      </w:r>
      <w:r>
        <w:rPr>
          <w:rFonts w:hint="eastAsia" w:ascii="宋体" w:hAnsi="宋体" w:eastAsia="宋体" w:cs="宋体"/>
          <w:color w:val="000000"/>
          <w:sz w:val="28"/>
          <w:szCs w:val="28"/>
        </w:rPr>
        <w:t xml:space="preserve"> □一般</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 xml:space="preserve">  □不</w:t>
      </w:r>
      <w:r>
        <w:rPr>
          <w:rFonts w:hint="eastAsia" w:ascii="宋体" w:hAnsi="宋体" w:eastAsia="宋体" w:cs="宋体"/>
          <w:color w:val="000000"/>
          <w:sz w:val="28"/>
          <w:szCs w:val="28"/>
          <w:lang w:eastAsia="zh-CN"/>
        </w:rPr>
        <w:t>太好</w:t>
      </w: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rPr>
        <w:t>4、您对运城市地方粮食战略储备库</w:t>
      </w:r>
      <w:r>
        <w:rPr>
          <w:rFonts w:hint="eastAsia" w:ascii="宋体" w:hAnsi="宋体" w:eastAsia="宋体" w:cs="宋体"/>
          <w:color w:val="000000"/>
          <w:sz w:val="28"/>
          <w:szCs w:val="28"/>
          <w:lang w:eastAsia="zh-CN"/>
        </w:rPr>
        <w:t>有限责任公司在维护粮食方面的引领力如何？</w:t>
      </w:r>
    </w:p>
    <w:p>
      <w:pPr>
        <w:spacing w:line="360" w:lineRule="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□非常</w:t>
      </w:r>
      <w:r>
        <w:rPr>
          <w:rFonts w:hint="eastAsia" w:ascii="宋体" w:hAnsi="宋体" w:eastAsia="宋体" w:cs="宋体"/>
          <w:color w:val="000000"/>
          <w:sz w:val="28"/>
          <w:szCs w:val="28"/>
          <w:lang w:eastAsia="zh-CN"/>
        </w:rPr>
        <w:t>大</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eastAsia="zh-CN"/>
        </w:rPr>
        <w:t>比较大</w:t>
      </w:r>
      <w:r>
        <w:rPr>
          <w:rFonts w:hint="eastAsia" w:ascii="宋体" w:hAnsi="宋体" w:eastAsia="宋体" w:cs="宋体"/>
          <w:color w:val="000000"/>
          <w:sz w:val="28"/>
          <w:szCs w:val="28"/>
        </w:rPr>
        <w:t xml:space="preserve">  □一般  □</w:t>
      </w:r>
      <w:r>
        <w:rPr>
          <w:rFonts w:hint="eastAsia" w:ascii="宋体" w:hAnsi="宋体" w:eastAsia="宋体" w:cs="宋体"/>
          <w:color w:val="000000"/>
          <w:sz w:val="28"/>
          <w:szCs w:val="28"/>
          <w:lang w:eastAsia="zh-CN"/>
        </w:rPr>
        <w:t>不太大</w:t>
      </w:r>
    </w:p>
    <w:p>
      <w:pPr>
        <w:spacing w:line="360" w:lineRule="auto"/>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5、您对粮食储备情况有什么建议和意见</w:t>
      </w:r>
      <w:r>
        <w:rPr>
          <w:rFonts w:hint="eastAsia" w:ascii="宋体" w:hAnsi="宋体" w:eastAsia="宋体" w:cs="宋体"/>
          <w:color w:val="000000"/>
          <w:sz w:val="28"/>
          <w:szCs w:val="28"/>
        </w:rPr>
        <w:t>？</w:t>
      </w:r>
    </w:p>
    <w:p>
      <w:pPr>
        <w:pStyle w:val="2"/>
        <w:widowControl w:val="0"/>
        <w:numPr>
          <w:ilvl w:val="0"/>
          <w:numId w:val="0"/>
        </w:numPr>
        <w:spacing w:after="120"/>
        <w:jc w:val="both"/>
        <w:rPr>
          <w:rFonts w:hint="eastAsia" w:ascii="宋体" w:hAnsi="宋体" w:eastAsia="宋体" w:cs="宋体"/>
          <w:sz w:val="28"/>
          <w:szCs w:val="28"/>
          <w:lang w:eastAsia="zh-CN"/>
        </w:rPr>
      </w:pPr>
    </w:p>
    <w:p>
      <w:pPr>
        <w:pStyle w:val="3"/>
        <w:rPr>
          <w:rFonts w:hint="eastAsia" w:ascii="宋体" w:hAnsi="宋体" w:eastAsia="宋体" w:cs="宋体"/>
          <w:sz w:val="28"/>
          <w:szCs w:val="28"/>
          <w:lang w:eastAsia="zh-CN"/>
        </w:rPr>
      </w:pPr>
    </w:p>
    <w:p>
      <w:pPr>
        <w:spacing w:line="360" w:lineRule="auto"/>
        <w:ind w:right="-3" w:firstLine="3920" w:firstLineChars="1400"/>
        <w:jc w:val="right"/>
        <w:rPr>
          <w:rFonts w:hint="eastAsia" w:ascii="宋体" w:hAnsi="宋体" w:eastAsia="宋体" w:cs="宋体"/>
          <w:color w:val="000000"/>
          <w:sz w:val="28"/>
          <w:szCs w:val="28"/>
        </w:rPr>
      </w:pPr>
    </w:p>
    <w:p>
      <w:pPr>
        <w:spacing w:line="360" w:lineRule="auto"/>
        <w:ind w:right="-3" w:firstLine="3920" w:firstLineChars="1400"/>
        <w:jc w:val="right"/>
        <w:rPr>
          <w:rFonts w:hint="eastAsia" w:ascii="宋体" w:hAnsi="宋体" w:eastAsia="宋体" w:cs="宋体"/>
          <w:color w:val="000000"/>
          <w:sz w:val="28"/>
          <w:szCs w:val="28"/>
        </w:rPr>
      </w:pPr>
      <w:r>
        <w:rPr>
          <w:rFonts w:hint="eastAsia" w:ascii="宋体" w:hAnsi="宋体" w:eastAsia="宋体" w:cs="宋体"/>
          <w:color w:val="000000"/>
          <w:sz w:val="28"/>
          <w:szCs w:val="28"/>
        </w:rPr>
        <w:t>填表日期：    年  月  日</w:t>
      </w:r>
      <w:bookmarkStart w:id="269" w:name="_Toc28103"/>
    </w:p>
    <w:p>
      <w:pPr>
        <w:rPr>
          <w:rFonts w:hint="eastAsia" w:ascii="宋体" w:hAnsi="宋体" w:eastAsia="宋体" w:cs="宋体"/>
          <w:b/>
          <w:color w:val="000000"/>
          <w:sz w:val="28"/>
          <w:szCs w:val="28"/>
        </w:rPr>
      </w:pPr>
      <w:r>
        <w:rPr>
          <w:rFonts w:hint="eastAsia" w:ascii="宋体" w:hAnsi="宋体" w:eastAsia="宋体" w:cs="宋体"/>
          <w:bCs/>
          <w:sz w:val="28"/>
          <w:szCs w:val="28"/>
        </w:rPr>
        <w:t>附件7</w:t>
      </w:r>
    </w:p>
    <w:p>
      <w:pPr>
        <w:pStyle w:val="5"/>
        <w:spacing w:line="360" w:lineRule="auto"/>
        <w:ind w:firstLine="562" w:firstLineChars="200"/>
        <w:jc w:val="center"/>
        <w:rPr>
          <w:rFonts w:hint="eastAsia" w:ascii="宋体" w:hAnsi="宋体" w:eastAsia="宋体" w:cs="宋体"/>
          <w:b/>
          <w:bCs/>
          <w:sz w:val="28"/>
          <w:szCs w:val="28"/>
        </w:rPr>
      </w:pPr>
      <w:r>
        <w:rPr>
          <w:rFonts w:hint="eastAsia" w:ascii="宋体" w:hAnsi="宋体" w:eastAsia="宋体" w:cs="宋体"/>
          <w:b/>
          <w:bCs/>
          <w:sz w:val="28"/>
          <w:szCs w:val="28"/>
        </w:rPr>
        <w:t>项目基础信息表</w:t>
      </w:r>
    </w:p>
    <w:p>
      <w:pPr>
        <w:pStyle w:val="5"/>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填报单位（盖章）：运城市地方粮食战略储备库有限责任公司</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2783"/>
        <w:gridCol w:w="1582"/>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trPr>
        <w:tc>
          <w:tcPr>
            <w:tcW w:w="8522" w:type="dxa"/>
            <w:gridSpan w:val="4"/>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一、项目单位概况</w:t>
            </w:r>
          </w:p>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运城市地方粮食战略储备库成立于2009年，是运城唯一一家承担市级粮食储备的公益类国有企业，承担市级储备粮、油和应急成品粮、油的存储及轮换任务。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191"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项目主管部门</w:t>
            </w:r>
          </w:p>
        </w:tc>
        <w:tc>
          <w:tcPr>
            <w:tcW w:w="6331" w:type="dxa"/>
            <w:gridSpan w:val="3"/>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运城市发展和改革委员会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项目名称</w:t>
            </w:r>
          </w:p>
        </w:tc>
        <w:tc>
          <w:tcPr>
            <w:tcW w:w="6331" w:type="dxa"/>
            <w:gridSpan w:val="3"/>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2021年度储备粮油保管费、轮换费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项目负责人</w:t>
            </w:r>
          </w:p>
        </w:tc>
        <w:tc>
          <w:tcPr>
            <w:tcW w:w="2783" w:type="dxa"/>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王拥军</w:t>
            </w:r>
          </w:p>
        </w:tc>
        <w:tc>
          <w:tcPr>
            <w:tcW w:w="1582"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联系电话</w:t>
            </w:r>
          </w:p>
        </w:tc>
        <w:tc>
          <w:tcPr>
            <w:tcW w:w="1966"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13903590883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项目类型</w:t>
            </w:r>
          </w:p>
        </w:tc>
        <w:tc>
          <w:tcPr>
            <w:tcW w:w="6331" w:type="dxa"/>
            <w:gridSpan w:val="3"/>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trPr>
        <w:tc>
          <w:tcPr>
            <w:tcW w:w="2191"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项目资金</w:t>
            </w:r>
          </w:p>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其中：省级财政</w:t>
            </w:r>
          </w:p>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地方配套</w:t>
            </w:r>
          </w:p>
        </w:tc>
        <w:tc>
          <w:tcPr>
            <w:tcW w:w="6331" w:type="dxa"/>
            <w:gridSpan w:val="3"/>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项目资金总计1947万元，其中：省级财政187.5万元，地方财政1759.5万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实施周期</w:t>
            </w:r>
          </w:p>
        </w:tc>
        <w:tc>
          <w:tcPr>
            <w:tcW w:w="6331" w:type="dxa"/>
            <w:gridSpan w:val="3"/>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实施地点</w:t>
            </w:r>
          </w:p>
        </w:tc>
        <w:tc>
          <w:tcPr>
            <w:tcW w:w="6331" w:type="dxa"/>
            <w:gridSpan w:val="3"/>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运城市空港北区康杰西路8号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项目发展目标</w:t>
            </w:r>
          </w:p>
        </w:tc>
        <w:tc>
          <w:tcPr>
            <w:tcW w:w="6331" w:type="dxa"/>
            <w:gridSpan w:val="3"/>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为市政府完成市级储备粮油管理和储存任务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项目组成</w:t>
            </w:r>
          </w:p>
        </w:tc>
        <w:tc>
          <w:tcPr>
            <w:tcW w:w="6331" w:type="dxa"/>
            <w:gridSpan w:val="3"/>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储备粮、储备油、应急成品粮油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522" w:type="dxa"/>
            <w:gridSpan w:val="4"/>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二、项目概况</w:t>
            </w:r>
          </w:p>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简要描述项目的内容、目的、范围、期限等基本情况库</w:t>
            </w:r>
          </w:p>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目前承担市级储备粮任务2.15亿斤和省级储备粮3000万斤；市级储备油300万斤，其中包括：200万斤散装油及100万斤小包装食用油；应急成品粮1550万斤和应急成品油160万斤。严格执行当年上级部门下发轮换计划，出入库工作通过网上公开竞价交易完成。严格遵守和执行上级有关粮油政策，按照均衡有序、确保质量、管好用好轮换费用补贴和节约费用的原则，切实加强管理，完成储备粮轮换任务，确保市级储备粮油储得进、管的好、调得动、用得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trPr>
        <w:tc>
          <w:tcPr>
            <w:tcW w:w="8522" w:type="dxa"/>
            <w:gridSpan w:val="4"/>
          </w:tcPr>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三、项目绩效目标</w:t>
            </w:r>
          </w:p>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描述实施项目计划在一定期限内达到的产出和效果。</w:t>
            </w:r>
          </w:p>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1．长期目标：概括描述项目整个计划期内的总体产出和效果（延续项目）。</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（1）承担市、应急粮油管理任务</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（2）出入库轮换任务顺利完成</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（3）开展轮换粮网上竞价交易</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（4）“四无粮仓”达标率100%</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2．年度目标：概括描述项目在本年度所计划达到的产出和效果。</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（1）完成当年市、应急粮油管理任务</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（2）完成当年出入库轮换任务</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（3）开展当年轮换粮网上竞价交易</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（4）“四无粮仓”达标率100%</w:t>
            </w:r>
          </w:p>
          <w:p>
            <w:pPr>
              <w:keepNext w:val="0"/>
              <w:keepLines w:val="0"/>
              <w:pageBreakBefore w:val="0"/>
              <w:widowControl w:val="0"/>
              <w:pBdr>
                <w:bottom w:val="single" w:color="FFFFFF" w:sz="4" w:space="31"/>
              </w:pBdr>
              <w:tabs>
                <w:tab w:val="left" w:pos="1440"/>
              </w:tabs>
              <w:kinsoku/>
              <w:wordWrap/>
              <w:overflowPunct w:val="0"/>
              <w:topLinePunct w:val="0"/>
              <w:autoSpaceDE/>
              <w:autoSpaceDN/>
              <w:bidi w:val="0"/>
              <w:adjustRightInd w:val="0"/>
              <w:snapToGrid w:val="0"/>
              <w:spacing w:line="5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（5）完成当年安全生产工作目标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8522" w:type="dxa"/>
            <w:gridSpan w:val="4"/>
          </w:tcPr>
          <w:p>
            <w:pPr>
              <w:pStyle w:val="5"/>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pPr>
            <w:r>
              <w:rPr>
                <w:rFonts w:hint="eastAsia" w:ascii="宋体" w:hAnsi="宋体" w:eastAsia="宋体" w:cs="宋体"/>
                <w:sz w:val="28"/>
                <w:szCs w:val="28"/>
              </w:rPr>
              <w:t>四、其他需要说明的问题</w:t>
            </w:r>
          </w:p>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p>
          <w:p>
            <w:pPr>
              <w:pStyle w:val="5"/>
              <w:keepNext w:val="0"/>
              <w:keepLines w:val="0"/>
              <w:pageBreakBefore w:val="0"/>
              <w:widowControl w:val="0"/>
              <w:kinsoku/>
              <w:wordWrap/>
              <w:topLinePunct w:val="0"/>
              <w:autoSpaceDE/>
              <w:autoSpaceDN/>
              <w:bidi w:val="0"/>
              <w:spacing w:line="560" w:lineRule="exact"/>
              <w:ind w:firstLine="560" w:firstLineChars="200"/>
              <w:textAlignment w:val="auto"/>
              <w:rPr>
                <w:rFonts w:hint="eastAsia" w:ascii="宋体" w:hAnsi="宋体" w:eastAsia="宋体" w:cs="宋体"/>
                <w:sz w:val="28"/>
                <w:szCs w:val="28"/>
              </w:rPr>
            </w:pPr>
          </w:p>
        </w:tc>
      </w:tr>
    </w:tbl>
    <w:p>
      <w:pPr>
        <w:keepNext w:val="0"/>
        <w:keepLines w:val="0"/>
        <w:pageBreakBefore w:val="0"/>
        <w:widowControl w:val="0"/>
        <w:kinsoku/>
        <w:wordWrap/>
        <w:topLinePunct w:val="0"/>
        <w:autoSpaceDE/>
        <w:autoSpaceDN/>
        <w:bidi w:val="0"/>
        <w:spacing w:line="560" w:lineRule="exact"/>
        <w:textAlignment w:val="auto"/>
        <w:rPr>
          <w:rFonts w:hint="eastAsia" w:ascii="宋体" w:hAnsi="宋体" w:eastAsia="宋体" w:cs="宋体"/>
          <w:sz w:val="28"/>
          <w:szCs w:val="28"/>
        </w:rPr>
        <w:sectPr>
          <w:footerReference r:id="rId8" w:type="default"/>
          <w:pgSz w:w="11906" w:h="16838"/>
          <w:pgMar w:top="1440" w:right="1800" w:bottom="1440" w:left="1800" w:header="851" w:footer="992" w:gutter="0"/>
          <w:pgNumType w:fmt="decimal"/>
          <w:cols w:space="720" w:num="1"/>
          <w:docGrid w:type="lines" w:linePitch="312" w:charSpace="0"/>
        </w:sectPr>
      </w:pPr>
    </w:p>
    <w:bookmarkEnd w:id="269"/>
    <w:p>
      <w:pPr>
        <w:rPr>
          <w:rFonts w:hint="eastAsia" w:ascii="宋体" w:hAnsi="宋体" w:eastAsia="宋体" w:cs="宋体"/>
          <w:b/>
          <w:color w:val="000000"/>
          <w:sz w:val="28"/>
          <w:szCs w:val="28"/>
        </w:rPr>
      </w:pPr>
      <w:bookmarkStart w:id="270" w:name="_Toc17587"/>
      <w:r>
        <w:rPr>
          <w:rFonts w:hint="eastAsia" w:ascii="宋体" w:hAnsi="宋体" w:eastAsia="宋体" w:cs="宋体"/>
          <w:bCs/>
          <w:sz w:val="28"/>
          <w:szCs w:val="28"/>
        </w:rPr>
        <w:t>附件</w:t>
      </w:r>
      <w:bookmarkEnd w:id="270"/>
      <w:r>
        <w:rPr>
          <w:rFonts w:hint="eastAsia" w:ascii="宋体" w:hAnsi="宋体" w:eastAsia="宋体" w:cs="宋体"/>
          <w:bCs/>
          <w:sz w:val="28"/>
          <w:szCs w:val="28"/>
        </w:rPr>
        <w:t>8</w:t>
      </w:r>
    </w:p>
    <w:p>
      <w:pPr>
        <w:pStyle w:val="2"/>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项目照片</w:t>
      </w:r>
    </w:p>
    <w:p>
      <w:pPr>
        <w:pStyle w:val="3"/>
        <w:rPr>
          <w:rFonts w:hint="eastAsia" w:eastAsia="宋体"/>
          <w:lang w:eastAsia="zh-CN"/>
        </w:rPr>
      </w:pPr>
      <w:r>
        <w:rPr>
          <w:rFonts w:hint="eastAsia" w:eastAsia="宋体"/>
          <w:lang w:eastAsia="zh-CN"/>
        </w:rPr>
        <w:drawing>
          <wp:inline distT="0" distB="0" distL="114300" distR="114300">
            <wp:extent cx="5321935" cy="2993390"/>
            <wp:effectExtent l="0" t="0" r="12065" b="16510"/>
            <wp:docPr id="4" name="图片 4" descr="4c8304cd779028322a62722bd967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c8304cd779028322a62722bd9678aa"/>
                    <pic:cNvPicPr>
                      <a:picLocks noChangeAspect="1"/>
                    </pic:cNvPicPr>
                  </pic:nvPicPr>
                  <pic:blipFill>
                    <a:blip r:embed="rId11"/>
                    <a:stretch>
                      <a:fillRect/>
                    </a:stretch>
                  </pic:blipFill>
                  <pic:spPr>
                    <a:xfrm>
                      <a:off x="0" y="0"/>
                      <a:ext cx="5321935" cy="2993390"/>
                    </a:xfrm>
                    <a:prstGeom prst="rect">
                      <a:avLst/>
                    </a:prstGeom>
                  </pic:spPr>
                </pic:pic>
              </a:graphicData>
            </a:graphic>
          </wp:inline>
        </w:drawing>
      </w:r>
    </w:p>
    <w:p>
      <w:pPr>
        <w:pStyle w:val="4"/>
        <w:ind w:left="10" w:leftChars="0" w:right="1470" w:hanging="10"/>
        <w:jc w:val="center"/>
        <w:rPr>
          <w:rFonts w:hint="eastAsia" w:ascii="宋体" w:hAnsi="宋体" w:eastAsia="宋体" w:cs="宋体"/>
          <w:sz w:val="28"/>
          <w:szCs w:val="28"/>
        </w:rPr>
      </w:pPr>
      <w:r>
        <w:rPr>
          <w:rFonts w:hint="eastAsia" w:ascii="宋体" w:hAnsi="宋体" w:eastAsia="宋体" w:cs="宋体"/>
          <w:sz w:val="28"/>
          <w:szCs w:val="28"/>
        </w:rPr>
        <w:t xml:space="preserve">     </w:t>
      </w:r>
    </w:p>
    <w:p>
      <w:pPr>
        <w:jc w:val="center"/>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59264" behindDoc="0" locked="0" layoutInCell="1" allowOverlap="1">
            <wp:simplePos x="0" y="0"/>
            <wp:positionH relativeFrom="column">
              <wp:posOffset>333375</wp:posOffset>
            </wp:positionH>
            <wp:positionV relativeFrom="paragraph">
              <wp:posOffset>294640</wp:posOffset>
            </wp:positionV>
            <wp:extent cx="5317490" cy="2988945"/>
            <wp:effectExtent l="0" t="0" r="16510" b="1905"/>
            <wp:wrapNone/>
            <wp:docPr id="5" name="图片 5" descr="1fe4936a00ceaec6241287398f56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fe4936a00ceaec6241287398f56f86"/>
                    <pic:cNvPicPr>
                      <a:picLocks noChangeAspect="1"/>
                    </pic:cNvPicPr>
                  </pic:nvPicPr>
                  <pic:blipFill>
                    <a:blip r:embed="rId12"/>
                    <a:stretch>
                      <a:fillRect/>
                    </a:stretch>
                  </pic:blipFill>
                  <pic:spPr>
                    <a:xfrm>
                      <a:off x="0" y="0"/>
                      <a:ext cx="5317490" cy="2988945"/>
                    </a:xfrm>
                    <a:prstGeom prst="rect">
                      <a:avLst/>
                    </a:prstGeom>
                  </pic:spPr>
                </pic:pic>
              </a:graphicData>
            </a:graphic>
          </wp:anchor>
        </w:drawing>
      </w:r>
    </w:p>
    <w:p>
      <w:pPr>
        <w:tabs>
          <w:tab w:val="left" w:pos="1335"/>
        </w:tabs>
        <w:jc w:val="center"/>
        <w:rPr>
          <w:rFonts w:hint="eastAsia" w:ascii="宋体" w:hAnsi="宋体" w:eastAsia="宋体" w:cs="宋体"/>
          <w:sz w:val="28"/>
          <w:szCs w:val="28"/>
          <w:lang w:eastAsia="zh-CN"/>
        </w:rPr>
      </w:pPr>
    </w:p>
    <w:p>
      <w:pPr>
        <w:tabs>
          <w:tab w:val="left" w:pos="1335"/>
        </w:tabs>
        <w:rPr>
          <w:rFonts w:hint="eastAsia" w:ascii="宋体" w:hAnsi="宋体" w:eastAsia="宋体" w:cs="宋体"/>
          <w:sz w:val="28"/>
          <w:szCs w:val="28"/>
        </w:rPr>
      </w:pPr>
    </w:p>
    <w:p>
      <w:pPr>
        <w:tabs>
          <w:tab w:val="left" w:pos="1335"/>
        </w:tabs>
        <w:jc w:val="center"/>
        <w:rPr>
          <w:rFonts w:hint="eastAsia" w:ascii="宋体" w:hAnsi="宋体" w:eastAsia="宋体" w:cs="宋体"/>
          <w:sz w:val="28"/>
          <w:szCs w:val="28"/>
        </w:rPr>
      </w:pPr>
    </w:p>
    <w:p>
      <w:pPr>
        <w:pStyle w:val="2"/>
        <w:rPr>
          <w:rFonts w:hint="eastAsia" w:ascii="宋体" w:hAnsi="宋体" w:eastAsia="宋体" w:cs="宋体"/>
          <w:sz w:val="28"/>
          <w:szCs w:val="28"/>
        </w:rPr>
      </w:pPr>
    </w:p>
    <w:p>
      <w:pPr>
        <w:pStyle w:val="3"/>
        <w:rPr>
          <w:rFonts w:hint="eastAsia" w:ascii="宋体" w:hAnsi="宋体" w:eastAsia="宋体" w:cs="宋体"/>
          <w:sz w:val="28"/>
          <w:szCs w:val="28"/>
        </w:rPr>
      </w:pPr>
    </w:p>
    <w:p>
      <w:pPr>
        <w:rPr>
          <w:rFonts w:hint="eastAsia" w:ascii="宋体" w:hAnsi="宋体" w:eastAsia="宋体" w:cs="宋体"/>
          <w:sz w:val="28"/>
          <w:szCs w:val="28"/>
        </w:rPr>
      </w:pPr>
    </w:p>
    <w:p>
      <w:pPr>
        <w:pStyle w:val="2"/>
        <w:rPr>
          <w:rFonts w:hint="eastAsia" w:ascii="宋体" w:hAnsi="宋体" w:eastAsia="宋体" w:cs="宋体"/>
          <w:sz w:val="28"/>
          <w:szCs w:val="28"/>
        </w:rPr>
      </w:pPr>
    </w:p>
    <w:p>
      <w:pPr>
        <w:pStyle w:val="3"/>
        <w:rPr>
          <w:rFonts w:hint="eastAsia" w:ascii="宋体" w:hAnsi="宋体" w:eastAsia="宋体" w:cs="宋体"/>
          <w:sz w:val="28"/>
          <w:szCs w:val="28"/>
        </w:rPr>
      </w:pPr>
    </w:p>
    <w:p>
      <w:pPr>
        <w:rPr>
          <w:rFonts w:hint="eastAsia" w:ascii="宋体" w:hAnsi="宋体" w:eastAsia="宋体" w:cs="宋体"/>
          <w:sz w:val="28"/>
          <w:szCs w:val="28"/>
        </w:rPr>
      </w:pPr>
    </w:p>
    <w:p>
      <w:pPr>
        <w:pStyle w:val="2"/>
        <w:rPr>
          <w:rFonts w:hint="eastAsia" w:eastAsia="宋体"/>
          <w:lang w:eastAsia="zh-CN"/>
        </w:rPr>
      </w:pPr>
      <w:r>
        <w:rPr>
          <w:rFonts w:hint="eastAsia" w:eastAsia="宋体"/>
          <w:lang w:eastAsia="zh-CN"/>
        </w:rPr>
        <w:drawing>
          <wp:inline distT="0" distB="0" distL="114300" distR="114300">
            <wp:extent cx="5330190" cy="3999230"/>
            <wp:effectExtent l="0" t="0" r="3810" b="1270"/>
            <wp:docPr id="9" name="图片 9" descr="6d28ad0942214c4295e5c7739859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d28ad0942214c4295e5c7739859d29"/>
                    <pic:cNvPicPr>
                      <a:picLocks noChangeAspect="1"/>
                    </pic:cNvPicPr>
                  </pic:nvPicPr>
                  <pic:blipFill>
                    <a:blip r:embed="rId13"/>
                    <a:stretch>
                      <a:fillRect/>
                    </a:stretch>
                  </pic:blipFill>
                  <pic:spPr>
                    <a:xfrm>
                      <a:off x="0" y="0"/>
                      <a:ext cx="5330190" cy="3999230"/>
                    </a:xfrm>
                    <a:prstGeom prst="rect">
                      <a:avLst/>
                    </a:prstGeom>
                  </pic:spPr>
                </pic:pic>
              </a:graphicData>
            </a:graphic>
          </wp:inline>
        </w:drawing>
      </w:r>
      <w:r>
        <w:rPr>
          <w:rFonts w:hint="eastAsia" w:eastAsia="宋体"/>
          <w:lang w:eastAsia="zh-CN"/>
        </w:rPr>
        <w:drawing>
          <wp:inline distT="0" distB="0" distL="114300" distR="114300">
            <wp:extent cx="5330190" cy="3999230"/>
            <wp:effectExtent l="0" t="0" r="3810" b="1270"/>
            <wp:docPr id="10" name="图片 10" descr="2ec94a8d5a2c8fb01972e9ffb985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ec94a8d5a2c8fb01972e9ffb985a74"/>
                    <pic:cNvPicPr>
                      <a:picLocks noChangeAspect="1"/>
                    </pic:cNvPicPr>
                  </pic:nvPicPr>
                  <pic:blipFill>
                    <a:blip r:embed="rId14"/>
                    <a:stretch>
                      <a:fillRect/>
                    </a:stretch>
                  </pic:blipFill>
                  <pic:spPr>
                    <a:xfrm>
                      <a:off x="0" y="0"/>
                      <a:ext cx="5330190" cy="3999230"/>
                    </a:xfrm>
                    <a:prstGeom prst="rect">
                      <a:avLst/>
                    </a:prstGeom>
                  </pic:spPr>
                </pic:pic>
              </a:graphicData>
            </a:graphic>
          </wp:inline>
        </w:drawing>
      </w:r>
    </w:p>
    <w:p>
      <w:pPr>
        <w:pStyle w:val="3"/>
        <w:rPr>
          <w:rFonts w:hint="eastAsia"/>
          <w:lang w:eastAsia="zh-CN"/>
        </w:rPr>
      </w:pPr>
      <w:r>
        <w:rPr>
          <w:rFonts w:hint="eastAsia"/>
          <w:lang w:eastAsia="zh-CN"/>
        </w:rPr>
        <w:drawing>
          <wp:inline distT="0" distB="0" distL="114300" distR="114300">
            <wp:extent cx="4323715" cy="7682230"/>
            <wp:effectExtent l="0" t="0" r="635" b="13970"/>
            <wp:docPr id="11" name="图片 11" descr="f0db59ea2073beb4b8d08e9e4457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0db59ea2073beb4b8d08e9e44573e8"/>
                    <pic:cNvPicPr>
                      <a:picLocks noChangeAspect="1"/>
                    </pic:cNvPicPr>
                  </pic:nvPicPr>
                  <pic:blipFill>
                    <a:blip r:embed="rId15"/>
                    <a:stretch>
                      <a:fillRect/>
                    </a:stretch>
                  </pic:blipFill>
                  <pic:spPr>
                    <a:xfrm>
                      <a:off x="0" y="0"/>
                      <a:ext cx="4323715" cy="7682230"/>
                    </a:xfrm>
                    <a:prstGeom prst="rect">
                      <a:avLst/>
                    </a:prstGeom>
                  </pic:spPr>
                </pic:pic>
              </a:graphicData>
            </a:graphic>
          </wp:inline>
        </w:drawing>
      </w:r>
    </w:p>
    <w:p>
      <w:pPr>
        <w:rPr>
          <w:rFonts w:hint="eastAsia"/>
          <w:lang w:eastAsia="zh-CN"/>
        </w:rPr>
      </w:pPr>
    </w:p>
    <w:p>
      <w:pPr>
        <w:pStyle w:val="2"/>
        <w:rPr>
          <w:rFonts w:hint="eastAsia"/>
          <w:lang w:eastAsia="zh-CN"/>
        </w:rPr>
      </w:pPr>
    </w:p>
    <w:p>
      <w:pPr>
        <w:pStyle w:val="3"/>
        <w:rPr>
          <w:rFonts w:hint="eastAsia"/>
          <w:lang w:eastAsia="zh-CN"/>
        </w:rPr>
      </w:pPr>
    </w:p>
    <w:p>
      <w:pPr>
        <w:rPr>
          <w:rFonts w:hint="eastAsia"/>
          <w:lang w:eastAsia="zh-CN"/>
        </w:rPr>
      </w:pPr>
    </w:p>
    <w:p>
      <w:p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704850</wp:posOffset>
            </wp:positionH>
            <wp:positionV relativeFrom="paragraph">
              <wp:posOffset>125095</wp:posOffset>
            </wp:positionV>
            <wp:extent cx="4159250" cy="7394575"/>
            <wp:effectExtent l="0" t="0" r="12700" b="15875"/>
            <wp:wrapNone/>
            <wp:docPr id="13" name="图片 13" descr="f809e6eccb201d02f624915c4d8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809e6eccb201d02f624915c4d80369"/>
                    <pic:cNvPicPr>
                      <a:picLocks noChangeAspect="1"/>
                    </pic:cNvPicPr>
                  </pic:nvPicPr>
                  <pic:blipFill>
                    <a:blip r:embed="rId16"/>
                    <a:stretch>
                      <a:fillRect/>
                    </a:stretch>
                  </pic:blipFill>
                  <pic:spPr>
                    <a:xfrm>
                      <a:off x="0" y="0"/>
                      <a:ext cx="4159250" cy="7394575"/>
                    </a:xfrm>
                    <a:prstGeom prst="rect">
                      <a:avLst/>
                    </a:prstGeom>
                  </pic:spPr>
                </pic:pic>
              </a:graphicData>
            </a:graphic>
          </wp:anchor>
        </w:drawing>
      </w:r>
    </w:p>
    <w:p>
      <w:pPr>
        <w:bidi w:val="0"/>
        <w:rPr>
          <w:rFonts w:hint="eastAsia" w:eastAsia="仿宋_GB2312" w:asciiTheme="minorHAnsi" w:hAnsiTheme="minorHAnsi"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right"/>
        <w:rPr>
          <w:rFonts w:hint="eastAsia"/>
          <w:lang w:val="en-US" w:eastAsia="zh-CN"/>
        </w:rPr>
      </w:pPr>
    </w:p>
    <w:p>
      <w:pPr>
        <w:pStyle w:val="2"/>
        <w:rPr>
          <w:rFonts w:hint="eastAsia"/>
          <w:lang w:val="en-US" w:eastAsia="zh-CN"/>
        </w:rPr>
      </w:pPr>
    </w:p>
    <w:p>
      <w:pPr>
        <w:pStyle w:val="3"/>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327650" cy="3261995"/>
            <wp:effectExtent l="0" t="0" r="6350" b="14605"/>
            <wp:docPr id="15" name="图片 15" descr="9d11617bb6c4d8ed78d3c9195654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d11617bb6c4d8ed78d3c91956540b4"/>
                    <pic:cNvPicPr>
                      <a:picLocks noChangeAspect="1"/>
                    </pic:cNvPicPr>
                  </pic:nvPicPr>
                  <pic:blipFill>
                    <a:blip r:embed="rId17"/>
                    <a:stretch>
                      <a:fillRect/>
                    </a:stretch>
                  </pic:blipFill>
                  <pic:spPr>
                    <a:xfrm>
                      <a:off x="0" y="0"/>
                      <a:ext cx="5327650" cy="3261995"/>
                    </a:xfrm>
                    <a:prstGeom prst="rect">
                      <a:avLst/>
                    </a:prstGeom>
                  </pic:spPr>
                </pic:pic>
              </a:graphicData>
            </a:graphic>
          </wp:inline>
        </w:drawing>
      </w:r>
      <w:r>
        <w:rPr>
          <w:rFonts w:hint="eastAsia"/>
          <w:lang w:val="en-US" w:eastAsia="zh-CN"/>
        </w:rPr>
        <w:drawing>
          <wp:inline distT="0" distB="0" distL="114300" distR="114300">
            <wp:extent cx="5330190" cy="3999230"/>
            <wp:effectExtent l="0" t="0" r="3810" b="1270"/>
            <wp:docPr id="14" name="图片 14" descr="470533a3eaa35f8e772a5c494a06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70533a3eaa35f8e772a5c494a06d0b"/>
                    <pic:cNvPicPr>
                      <a:picLocks noChangeAspect="1"/>
                    </pic:cNvPicPr>
                  </pic:nvPicPr>
                  <pic:blipFill>
                    <a:blip r:embed="rId18"/>
                    <a:stretch>
                      <a:fillRect/>
                    </a:stretch>
                  </pic:blipFill>
                  <pic:spPr>
                    <a:xfrm>
                      <a:off x="0" y="0"/>
                      <a:ext cx="5330190" cy="3999230"/>
                    </a:xfrm>
                    <a:prstGeom prst="rect">
                      <a:avLst/>
                    </a:prstGeom>
                  </pic:spPr>
                </pic:pic>
              </a:graphicData>
            </a:graphic>
          </wp:inline>
        </w:drawing>
      </w:r>
    </w:p>
    <w:p>
      <w:pPr>
        <w:pStyle w:val="3"/>
        <w:rPr>
          <w:rFonts w:hint="eastAsia"/>
          <w:lang w:val="en-US" w:eastAsia="zh-CN"/>
        </w:rPr>
      </w:pPr>
    </w:p>
    <w:p>
      <w:pPr>
        <w:rPr>
          <w:rFonts w:hint="eastAsia"/>
          <w:lang w:val="en-US" w:eastAsia="zh-CN"/>
        </w:rPr>
      </w:pPr>
    </w:p>
    <w:p>
      <w:pPr>
        <w:pStyle w:val="2"/>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552450</wp:posOffset>
            </wp:positionH>
            <wp:positionV relativeFrom="paragraph">
              <wp:posOffset>473710</wp:posOffset>
            </wp:positionV>
            <wp:extent cx="4140835" cy="7361555"/>
            <wp:effectExtent l="0" t="0" r="12065" b="10795"/>
            <wp:wrapNone/>
            <wp:docPr id="16" name="图片 16" descr="f1ecd86444375b403d11c1c2fb1d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1ecd86444375b403d11c1c2fb1dbae"/>
                    <pic:cNvPicPr>
                      <a:picLocks noChangeAspect="1"/>
                    </pic:cNvPicPr>
                  </pic:nvPicPr>
                  <pic:blipFill>
                    <a:blip r:embed="rId19"/>
                    <a:stretch>
                      <a:fillRect/>
                    </a:stretch>
                  </pic:blipFill>
                  <pic:spPr>
                    <a:xfrm>
                      <a:off x="0" y="0"/>
                      <a:ext cx="4140835" cy="7361555"/>
                    </a:xfrm>
                    <a:prstGeom prst="rect">
                      <a:avLst/>
                    </a:prstGeom>
                  </pic:spPr>
                </pic:pic>
              </a:graphicData>
            </a:graphic>
          </wp:anchor>
        </w:drawing>
      </w:r>
    </w:p>
    <w:sectPr>
      <w:footerReference r:id="rId9" w:type="default"/>
      <w:pgSz w:w="11906" w:h="16838"/>
      <w:pgMar w:top="1440" w:right="1706" w:bottom="1440" w:left="1803" w:header="851" w:footer="992" w:gutter="0"/>
      <w:pgNumType w:fmt="decimal"/>
      <w:cols w:space="0" w:num="1"/>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宋三简体">
    <w:altName w:val="宋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360" w:lineRule="exact"/>
      <w:ind w:right="360"/>
      <w:rPr>
        <w:rFonts w:ascii="方正宋三简体" w:eastAsia="方正宋三简体"/>
        <w:b/>
        <w:bCs/>
        <w:i/>
        <w:iCs/>
      </w:rPr>
    </w:pPr>
    <w:r>
      <w:rPr>
        <w:rFonts w:hint="eastAsia" w:ascii="方正宋三简体" w:eastAsia="方正宋三简体"/>
        <w:b/>
        <w:bCs/>
        <w:i/>
        <w:iC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-31115</wp:posOffset>
              </wp:positionV>
              <wp:extent cx="548640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45pt;height:0pt;width:432pt;z-index:251662336;mso-width-relative:page;mso-height-relative:page;" filled="f" stroked="t" coordsize="21600,21600" o:gfxdata="UEsDBAoAAAAAAIdO4kAAAAAAAAAAAAAAAAAEAAAAZHJzL1BLAwQUAAAACACHTuJAkMwQrdQAAAAG&#10;AQAADwAAAGRycy9kb3ducmV2LnhtbE2PzU7DMBCE70i8g7VIXKrWbqmqNsTpAciNCy2I6zbeJhHx&#10;Oo3dH3h6FnGA48ysZr7N1xffqRMNsQ1sYToxoIir4FquLbxuy/ESVEzIDrvAZOGTIqyL66scMxfO&#10;/EKnTaqVlHDM0EKTUp9pHauGPMZJ6Ikl24fBYxI51NoNeJZy3+mZMQvtsWVZaLCnh4aqj83RW4jl&#10;Gx3Kr1E1Mu93daDZ4fH5Ca29vZmae1CJLunvGH7wBR0KYdqFI7uoOgvySLIwnq9ASbpczMXY/Rq6&#10;yPV//OIbUEsDBBQAAAAIAIdO4kBFTxu+9gEAAOQDAAAOAAAAZHJzL2Uyb0RvYy54bWytU0uOEzEQ&#10;3SNxB8t70kk0mU8rnVlMGDYIIgEHqLjd3Zb8k8tJJ5fgAkjsYMWSPbeZ4RiU3ZnMMGyyoBfusqv8&#10;qt6r8vx6ZzTbyoDK2YpPRmPOpBWuVrat+KePt68uOcMItgbtrKz4XiK/Xrx8Me99Kaeuc7qWgRGI&#10;xbL3Fe9i9GVRoOikARw5Ly05GxcMRNqGtqgD9IRudDEdj8+L3oXaByckIp0uByc/IIZTAF3TKCGX&#10;TmyMtHFADVJDJErYKY98kattGini+6ZBGZmuODGNeaUkZK/TWizmULYBfKfEoQQ4pYRnnAwoS0mP&#10;UEuIwDZB/QNllAgOXRNHwpliIJIVIRaT8TNtPnTgZeZCUqM/io7/D1a8264CU3XFLzizYKjh919+&#10;3n3+9vvXV1rvf3xnF0mk3mNJsTd2FQ479KuQGO+aYNKfuLBdFnZ/FFbuIhN0ODu7PD8bk+biwVc8&#10;XvQB4xvpDEtGxbWyiTOUsH2LkZJR6ENIOtaW9RW/mk1nBAc0gA01nkzjiQTaNt9Fp1V9q7RONzC0&#10;6xsd2BbSEOQvUSLcv8JSkiVgN8Rl1zAenYT6ta1Z3HuSx9Kr4KkEI2vOtKRHlCwChDKC0qdEUmpt&#10;qYKk6qBjstau3lMzNj6otiMlJrnK5KHm53oPg5qm6+k+Iz0+zs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MwQrdQAAAAGAQAADwAAAAAAAAABACAAAAAiAAAAZHJzL2Rvd25yZXYueG1sUEsBAhQA&#10;FAAAAAgAh07iQEVPG772AQAA5AMAAA4AAAAAAAAAAQAgAAAAIwEAAGRycy9lMm9Eb2MueG1sUEsF&#10;BgAAAAAGAAYAWQEAAIsFAAAAAA==&#10;">
              <v:fill on="f" focussize="0,0"/>
              <v:stroke color="#000000" joinstyle="round"/>
              <v:imagedata o:title=""/>
              <o:lock v:ext="edit" aspectratio="f"/>
            </v:line>
          </w:pict>
        </mc:Fallback>
      </mc:AlternateContent>
    </w:r>
    <w:r>
      <w:rPr>
        <w:rFonts w:hint="eastAsia" w:ascii="方正宋三简体" w:eastAsia="方正宋三简体"/>
        <w:b/>
        <w:bCs/>
        <w:i/>
        <w:iCs/>
      </w:rPr>
      <w:t xml:space="preserve">运城今朝会计师事务所有限公司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电话：0359——2064212</w:t>
    </w:r>
  </w:p>
  <w:p>
    <w:pPr>
      <w:pStyle w:val="7"/>
      <w:textAlignment w:val="center"/>
      <w:rPr>
        <w:rFonts w:hint="eastAsia"/>
        <w:b/>
      </w:rPr>
    </w:pPr>
    <w:r>
      <w:rPr>
        <w:rFonts w:hint="eastAsia" w:ascii="方正宋三简体" w:eastAsia="方正宋三简体"/>
        <w:b/>
        <w:bCs/>
        <w:i/>
        <w:iCs/>
      </w:rPr>
      <w:t xml:space="preserve">地址：运城市铺安街金城大厦717室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邮编：044000</w:t>
    </w:r>
  </w:p>
  <w:p>
    <w:pPr>
      <w:pStyle w:val="7"/>
      <w:tabs>
        <w:tab w:val="left" w:pos="514"/>
        <w:tab w:val="center" w:pos="4510"/>
      </w:tabs>
    </w:pPr>
    <w:r>
      <w:rPr>
        <w:rFonts w:hint="eastAsia" w:ascii="楷体" w:hAnsi="楷体" w:eastAsia="楷体" w:cs="楷体"/>
        <w:b/>
        <w:bCs/>
        <w:i/>
        <w:iCs/>
        <w:sz w:val="21"/>
        <w:szCs w:val="21"/>
      </w:rPr>
      <w:t xml:space="preserve">   </w:t>
    </w:r>
    <w:r>
      <w:rPr>
        <w:rFonts w:hint="eastAsia"/>
        <w:i/>
        <w:i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360" w:lineRule="exact"/>
      <w:ind w:right="360"/>
      <w:rPr>
        <w:rFonts w:ascii="方正宋三简体" w:eastAsia="方正宋三简体"/>
        <w:b/>
        <w:bCs/>
        <w:i/>
        <w:iCs/>
      </w:rPr>
    </w:pPr>
    <w:r>
      <w:rPr>
        <w:rFonts w:hint="eastAsia" w:ascii="方正宋三简体" w:eastAsia="方正宋三简体"/>
        <w:b/>
        <w:bCs/>
        <w:i/>
        <w:iC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-31115</wp:posOffset>
              </wp:positionV>
              <wp:extent cx="5486400"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45pt;height:0pt;width:432pt;z-index:251666432;mso-width-relative:page;mso-height-relative:page;" filled="f" stroked="t" coordsize="21600,21600" o:gfxdata="UEsDBAoAAAAAAIdO4kAAAAAAAAAAAAAAAAAEAAAAZHJzL1BLAwQUAAAACACHTuJAkMwQrdQAAAAG&#10;AQAADwAAAGRycy9kb3ducmV2LnhtbE2PzU7DMBCE70i8g7VIXKrWbqmqNsTpAciNCy2I6zbeJhHx&#10;Oo3dH3h6FnGA48ysZr7N1xffqRMNsQ1sYToxoIir4FquLbxuy/ESVEzIDrvAZOGTIqyL66scMxfO&#10;/EKnTaqVlHDM0EKTUp9pHauGPMZJ6Ikl24fBYxI51NoNeJZy3+mZMQvtsWVZaLCnh4aqj83RW4jl&#10;Gx3Kr1E1Mu93daDZ4fH5Ca29vZmae1CJLunvGH7wBR0KYdqFI7uoOgvySLIwnq9ASbpczMXY/Rq6&#10;yPV//OIbUEsDBBQAAAAIAIdO4kAu2obd9gEAAOYDAAAOAAAAZHJzL2Uyb0RvYy54bWytU82O0zAQ&#10;viPxDpbvNGm1XS1R0z1sWS4IKgEPMHWcxJL/5HGb9iV4ASRucOLInbdh9zEYO90uLJceyMEZe8bf&#10;zPfNeHG9N5rtZEDlbM2nk5IzaYVrlO1q/vHD7YsrzjCCbUA7K2t+kMivl8+fLQZfyZnrnW5kYARi&#10;sRp8zfsYfVUUKHppACfOS0vO1gUDkbahK5oAA6EbXczK8rIYXGh8cEIi0ulqdPIjYjgH0LWtEnLl&#10;xNZIG0fUIDVEooS98siXudq2lSK+a1uUkemaE9OYV0pC9iatxXIBVRfA90ocS4BzSnjCyYCylPQE&#10;tYIIbBvUP1BGieDQtXEinClGIlkRYjEtn2jzvgcvMxeSGv1JdPx/sOLtbh2YamgSqO8WDHX87vOP&#10;X5++3v/8Quvd92+MPCTT4LGi6Bu7Dscd+nVInPdtMOlPbNg+S3s4SSv3kQk6nF9cXV6UpLp48BWP&#10;F33A+Fo6w5JRc61sYg0V7N5gpGQU+hCSjrVlQ81fzmdzggMawZZaT6bxRANtl++i06q5VVqnGxi6&#10;zY0ObAdpDPKXKBHuX2EpyQqwH+OyaxyQXkLzyjYsHjzpY+ld8FSCkQ1nWtIzShYBQhVB6XMiKbW2&#10;VEFSddQxWRvXHKgdWx9U15MS01xl8lD7c73HUU3z9ec+Iz0+z+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MwQrdQAAAAGAQAADwAAAAAAAAABACAAAAAiAAAAZHJzL2Rvd25yZXYueG1sUEsBAhQA&#10;FAAAAAgAh07iQC7aht32AQAA5gMAAA4AAAAAAAAAAQAgAAAAIwEAAGRycy9lMm9Eb2MueG1sUEsF&#10;BgAAAAAGAAYAWQEAAIsFAAAAAA==&#10;">
              <v:fill on="f" focussize="0,0"/>
              <v:stroke color="#000000" joinstyle="round"/>
              <v:imagedata o:title=""/>
              <o:lock v:ext="edit" aspectratio="f"/>
            </v:line>
          </w:pict>
        </mc:Fallback>
      </mc:AlternateContent>
    </w:r>
    <w:r>
      <w:rPr>
        <w:rFonts w:hint="eastAsia" w:ascii="方正宋三简体" w:eastAsia="方正宋三简体"/>
        <w:b/>
        <w:bCs/>
        <w:i/>
        <w:iCs/>
      </w:rPr>
      <w:t xml:space="preserve">运城今朝会计师事务所有限公司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电话：0359——2064212</w:t>
    </w:r>
  </w:p>
  <w:p>
    <w:pPr>
      <w:pStyle w:val="7"/>
      <w:textAlignment w:val="center"/>
      <w:rPr>
        <w:rFonts w:hint="eastAsia"/>
        <w:b/>
      </w:rPr>
    </w:pPr>
    <w:r>
      <w:rPr>
        <w:rFonts w:hint="eastAsia" w:ascii="方正宋三简体" w:eastAsia="方正宋三简体"/>
        <w:b/>
        <w:bCs/>
        <w:i/>
        <w:iCs/>
      </w:rPr>
      <w:t xml:space="preserve">地址：运城市铺安街金城大厦717室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邮编：044000</w:t>
    </w:r>
  </w:p>
  <w:p>
    <w:pPr>
      <w:pStyle w:val="7"/>
      <w:tabs>
        <w:tab w:val="left" w:pos="514"/>
        <w:tab w:val="center" w:pos="4510"/>
      </w:tabs>
    </w:pPr>
    <w:r>
      <w:rPr>
        <w:rFonts w:hint="eastAsia" w:ascii="楷体" w:hAnsi="楷体" w:eastAsia="楷体" w:cs="楷体"/>
        <w:b/>
        <w:bCs/>
        <w:i/>
        <w:iCs/>
        <w:sz w:val="21"/>
        <w:szCs w:val="21"/>
      </w:rPr>
      <w:t xml:space="preserve">   </w:t>
    </w:r>
    <w:r>
      <w:rPr>
        <w:rFonts w:hint="eastAsia"/>
        <w:i/>
        <w:iC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360" w:lineRule="exact"/>
      <w:ind w:right="360"/>
      <w:rPr>
        <w:rFonts w:ascii="方正宋三简体" w:eastAsia="方正宋三简体"/>
        <w:b/>
        <w:bCs/>
        <w:i/>
        <w:iCs/>
      </w:rPr>
    </w:pPr>
    <w:r>
      <w:rPr>
        <w:rFonts w:hint="eastAsia" w:ascii="方正宋三简体" w:eastAsia="方正宋三简体"/>
        <w:b/>
        <w:bCs/>
        <w:i/>
        <w:iC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-31115</wp:posOffset>
              </wp:positionV>
              <wp:extent cx="5486400" cy="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45pt;height:0pt;width:432pt;z-index:251667456;mso-width-relative:page;mso-height-relative:page;" filled="f" stroked="t" coordsize="21600,21600" o:gfxdata="UEsDBAoAAAAAAIdO4kAAAAAAAAAAAAAAAAAEAAAAZHJzL1BLAwQUAAAACACHTuJAkMwQrdQAAAAG&#10;AQAADwAAAGRycy9kb3ducmV2LnhtbE2PzU7DMBCE70i8g7VIXKrWbqmqNsTpAciNCy2I6zbeJhHx&#10;Oo3dH3h6FnGA48ysZr7N1xffqRMNsQ1sYToxoIir4FquLbxuy/ESVEzIDrvAZOGTIqyL66scMxfO&#10;/EKnTaqVlHDM0EKTUp9pHauGPMZJ6Ikl24fBYxI51NoNeJZy3+mZMQvtsWVZaLCnh4aqj83RW4jl&#10;Gx3Kr1E1Mu93daDZ4fH5Ca29vZmae1CJLunvGH7wBR0KYdqFI7uoOgvySLIwnq9ASbpczMXY/Rq6&#10;yPV//OIbUEsDBBQAAAAIAIdO4kBpO+Ig9gEAAOYDAAAOAAAAZHJzL2Uyb0RvYy54bWytU82O0zAQ&#10;viPxDpbvNGm1XS1R0z1sWS4IKgEPMHWcxJL/5HGb9iV4ASRucOLInbdh9zEYO90uLJceyMEZe8bf&#10;zPfNeHG9N5rtZEDlbM2nk5IzaYVrlO1q/vHD7YsrzjCCbUA7K2t+kMivl8+fLQZfyZnrnW5kYARi&#10;sRp8zfsYfVUUKHppACfOS0vO1gUDkbahK5oAA6EbXczK8rIYXGh8cEIi0ulqdPIjYjgH0LWtEnLl&#10;xNZIG0fUIDVEooS98siXudq2lSK+a1uUkemaE9OYV0pC9iatxXIBVRfA90ocS4BzSnjCyYCylPQE&#10;tYIIbBvUP1BGieDQtXEinClGIlkRYjEtn2jzvgcvMxeSGv1JdPx/sOLtbh2Yamo+I0ksGOr43ecf&#10;vz59vf/5hda7798YeUimwWNF0Td2HY479OuQOO/bYNKf2LB9lvZwklbuIxN0OL+4urwoKYV48BWP&#10;F33A+Fo6w5JRc61sYg0V7N5gpGQU+hCSjrVlQ81fzmdzggMawZZaT6bxRANtl++i06q5VVqnGxi6&#10;zY0ObAdpDPKXKBHuX2EpyQqwH+OyaxyQXkLzyjYsHjzpY+ld8FSCkQ1nWtIzShYBQhVB6XMiKbW2&#10;VEFSddQxWRvXHKgdWx9U15MS01xl8lD7c73HUU3z9ec+Iz0+z+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MwQrdQAAAAGAQAADwAAAAAAAAABACAAAAAiAAAAZHJzL2Rvd25yZXYueG1sUEsBAhQA&#10;FAAAAAgAh07iQGk74iD2AQAA5gMAAA4AAAAAAAAAAQAgAAAAIwEAAGRycy9lMm9Eb2MueG1sUEsF&#10;BgAAAAAGAAYAWQEAAIsFAAAAAA==&#10;">
              <v:fill on="f" focussize="0,0"/>
              <v:stroke color="#000000" joinstyle="round"/>
              <v:imagedata o:title=""/>
              <o:lock v:ext="edit" aspectratio="f"/>
            </v:line>
          </w:pict>
        </mc:Fallback>
      </mc:AlternateContent>
    </w:r>
    <w:r>
      <w:rPr>
        <w:rFonts w:hint="eastAsia" w:ascii="方正宋三简体" w:eastAsia="方正宋三简体"/>
        <w:b/>
        <w:bCs/>
        <w:i/>
        <w:iCs/>
      </w:rPr>
      <w:t xml:space="preserve">运城今朝会计师事务所有限公司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电话：0359——2064212</w:t>
    </w:r>
  </w:p>
  <w:p>
    <w:pPr>
      <w:pStyle w:val="7"/>
      <w:textAlignment w:val="center"/>
      <w:rPr>
        <w:rFonts w:hint="eastAsia"/>
        <w:b/>
      </w:rPr>
    </w:pPr>
    <w:r>
      <w:rPr>
        <w:rFonts w:hint="eastAsia" w:ascii="方正宋三简体" w:eastAsia="方正宋三简体"/>
        <w:b/>
        <w:bCs/>
        <w:i/>
        <w:iCs/>
      </w:rPr>
      <w:t xml:space="preserve">地址：运城市铺安街金城大厦717室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邮编：044000</w:t>
    </w:r>
  </w:p>
  <w:p>
    <w:pPr>
      <w:pStyle w:val="7"/>
      <w:tabs>
        <w:tab w:val="left" w:pos="514"/>
        <w:tab w:val="center" w:pos="4510"/>
      </w:tabs>
    </w:pPr>
    <w:r>
      <w:rPr>
        <w:rFonts w:hint="eastAsia" w:ascii="楷体" w:hAnsi="楷体" w:eastAsia="楷体" w:cs="楷体"/>
        <w:b/>
        <w:bCs/>
        <w:i/>
        <w:iCs/>
        <w:sz w:val="21"/>
        <w:szCs w:val="21"/>
      </w:rPr>
      <w:t xml:space="preserve">   </w:t>
    </w:r>
    <w:r>
      <w:rPr>
        <w:rFonts w:hint="eastAsia"/>
        <w:i/>
        <w:iC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360" w:lineRule="exact"/>
      <w:ind w:right="360"/>
      <w:rPr>
        <w:rFonts w:ascii="方正宋三简体" w:eastAsia="方正宋三简体"/>
        <w:b/>
        <w:bCs/>
        <w:i/>
        <w:iCs/>
      </w:rPr>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ascii="方正宋三简体" w:eastAsia="方正宋三简体"/>
        <w:b/>
        <w:bCs/>
        <w:i/>
        <w:iC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-31115</wp:posOffset>
              </wp:positionV>
              <wp:extent cx="5486400"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45pt;height:0pt;width:432pt;z-index:251668480;mso-width-relative:page;mso-height-relative:page;" filled="f" stroked="t" coordsize="21600,21600" o:gfxdata="UEsDBAoAAAAAAIdO4kAAAAAAAAAAAAAAAAAEAAAAZHJzL1BLAwQUAAAACACHTuJAkMwQrdQAAAAG&#10;AQAADwAAAGRycy9kb3ducmV2LnhtbE2PzU7DMBCE70i8g7VIXKrWbqmqNsTpAciNCy2I6zbeJhHx&#10;Oo3dH3h6FnGA48ysZr7N1xffqRMNsQ1sYToxoIir4FquLbxuy/ESVEzIDrvAZOGTIqyL66scMxfO&#10;/EKnTaqVlHDM0EKTUp9pHauGPMZJ6Ikl24fBYxI51NoNeJZy3+mZMQvtsWVZaLCnh4aqj83RW4jl&#10;Gx3Kr1E1Mu93daDZ4fH5Ca29vZmae1CJLunvGH7wBR0KYdqFI7uoOgvySLIwnq9ASbpczMXY/Rq6&#10;yPV//OIbUEsDBBQAAAAIAIdO4kAS/Bt79wEAAOYDAAAOAAAAZHJzL2Uyb0RvYy54bWytU82O0zAQ&#10;viPxDpbvNG20XS1R0z1sWS4IKgEPMHWcxJL/5HGb9iV4ASRucOLInbdh9zEYO90uLJceyMEZe8bf&#10;zPfNeHG9N5rtZEDlbM1nkyln0grXKNvV/OOH2xdXnGEE24B2Vtb8IJFfL58/Wwy+kqXrnW5kYARi&#10;sRp8zfsYfVUUKHppACfOS0vO1gUDkbahK5oAA6EbXZTT6WUxuND44IREpNPV6ORHxHAOoGtbJeTK&#10;ia2RNo6oQWqIRAl75ZEvc7VtK0V817YoI9M1J6Yxr5SE7E1ai+UCqi6A75U4lgDnlPCEkwFlKekJ&#10;agUR2Daof6CMEsGha+NEOFOMRLIixGI2faLN+x68zFxIavQn0fH/wYq3u3Vgqql5WXJmwVDH7z7/&#10;+PXp6/3PL7Teff/GyEMyDR4rir6x63DcoV+HxHnfBpP+xIbts7SHk7RyH5mgw/nF1eXFlFQXD77i&#10;8aIPGF9LZ1gyaq6VTayhgt0bjJSMQh9C0rG2bKj5y3k5JzigEWyp9WQaTzTQdvkuOq2aW6V1uoGh&#10;29zowHaQxiB/iRLh/hWWkqwA+zEuu8YB6SU0r2zD4sGTPpbeBU8lGNlwpiU9o2QRIFQRlD4nklJr&#10;SxUkVUcdk7VxzYHasfVBdT0pMctVJg+1P9d7HNU0X3/uM9Lj8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DMEK3UAAAABgEAAA8AAAAAAAAAAQAgAAAAIgAAAGRycy9kb3ducmV2LnhtbFBLAQIU&#10;ABQAAAAIAIdO4kAS/Bt79wEAAOYDAAAOAAAAAAAAAAEAIAAAACMBAABkcnMvZTJvRG9jLnhtbFBL&#10;BQYAAAAABgAGAFkBAACMBQAAAAA=&#10;">
              <v:fill on="f" focussize="0,0"/>
              <v:stroke color="#000000" joinstyle="round"/>
              <v:imagedata o:title=""/>
              <o:lock v:ext="edit" aspectratio="f"/>
            </v:line>
          </w:pict>
        </mc:Fallback>
      </mc:AlternateContent>
    </w:r>
    <w:r>
      <w:rPr>
        <w:rFonts w:hint="eastAsia" w:ascii="方正宋三简体" w:eastAsia="方正宋三简体"/>
        <w:b/>
        <w:bCs/>
        <w:i/>
        <w:iCs/>
      </w:rPr>
      <w:t xml:space="preserve">运城今朝会计师事务所有限公司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电话：0359——2064212</w:t>
    </w:r>
  </w:p>
  <w:p>
    <w:pPr>
      <w:pStyle w:val="7"/>
      <w:textAlignment w:val="center"/>
      <w:rPr>
        <w:rFonts w:hint="eastAsia"/>
        <w:b/>
      </w:rPr>
    </w:pPr>
    <w:r>
      <w:rPr>
        <w:rFonts w:hint="eastAsia" w:ascii="方正宋三简体" w:eastAsia="方正宋三简体"/>
        <w:b/>
        <w:bCs/>
        <w:i/>
        <w:iCs/>
      </w:rPr>
      <w:t xml:space="preserve">地址：运城市铺安街金城大厦717室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邮编：044000</w:t>
    </w:r>
  </w:p>
  <w:p>
    <w:pPr>
      <w:pStyle w:val="7"/>
      <w:tabs>
        <w:tab w:val="left" w:pos="514"/>
        <w:tab w:val="center" w:pos="4510"/>
      </w:tabs>
    </w:pPr>
    <w:r>
      <w:rPr>
        <w:rFonts w:hint="eastAsia" w:ascii="楷体" w:hAnsi="楷体" w:eastAsia="楷体" w:cs="楷体"/>
        <w:b/>
        <w:bCs/>
        <w:i/>
        <w:iCs/>
        <w:sz w:val="21"/>
        <w:szCs w:val="21"/>
      </w:rPr>
      <w:t xml:space="preserve">   </w:t>
    </w:r>
    <w:r>
      <w:rPr>
        <w:rFonts w:hint="eastAsia"/>
        <w:i/>
        <w:iCs/>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360" w:lineRule="exact"/>
      <w:ind w:right="360"/>
      <w:rPr>
        <w:rFonts w:ascii="方正宋三简体" w:eastAsia="方正宋三简体"/>
        <w:b/>
        <w:bCs/>
        <w:i/>
        <w:iCs/>
      </w:rPr>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49</w:t>
                    </w:r>
                    <w:r>
                      <w:fldChar w:fldCharType="end"/>
                    </w:r>
                    <w:r>
                      <w:t xml:space="preserve"> 页</w:t>
                    </w:r>
                  </w:p>
                </w:txbxContent>
              </v:textbox>
            </v:shape>
          </w:pict>
        </mc:Fallback>
      </mc:AlternateContent>
    </w:r>
    <w:r>
      <w:rPr>
        <w:rFonts w:hint="eastAsia" w:ascii="方正宋三简体" w:eastAsia="方正宋三简体"/>
        <w:b/>
        <w:bCs/>
        <w:i/>
        <w:iC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-31115</wp:posOffset>
              </wp:positionV>
              <wp:extent cx="548640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45pt;height:0pt;width:432pt;z-index:251661312;mso-width-relative:page;mso-height-relative:page;" filled="f" stroked="t" coordsize="21600,21600" o:gfxdata="UEsDBAoAAAAAAIdO4kAAAAAAAAAAAAAAAAAEAAAAZHJzL1BLAwQUAAAACACHTuJAkMwQrdQAAAAG&#10;AQAADwAAAGRycy9kb3ducmV2LnhtbE2PzU7DMBCE70i8g7VIXKrWbqmqNsTpAciNCy2I6zbeJhHx&#10;Oo3dH3h6FnGA48ysZr7N1xffqRMNsQ1sYToxoIir4FquLbxuy/ESVEzIDrvAZOGTIqyL66scMxfO&#10;/EKnTaqVlHDM0EKTUp9pHauGPMZJ6Ikl24fBYxI51NoNeJZy3+mZMQvtsWVZaLCnh4aqj83RW4jl&#10;Gx3Kr1E1Mu93daDZ4fH5Ca29vZmae1CJLunvGH7wBR0KYdqFI7uoOgvySLIwnq9ASbpczMXY/Rq6&#10;yPV//OIbUEsDBBQAAAAIAIdO4kBUJH/T9gEAAOQDAAAOAAAAZHJzL2Uyb0RvYy54bWytU81uEzEQ&#10;viPxDpbvZJOoicoqmx4aygVBJOABJl7vriX/yeNkk5fgBZC4wYkjd96G9jEYe9MU2ksO3YN37Bl/&#10;M98348XV3mi2kwGVsxWfjMacSStcrWxb8c+fbl5dcoYRbA3aWVnxg0R+tXz5YtH7Uk5d53QtAyMQ&#10;i2XvK97F6MuiQNFJAzhyXlpyNi4YiLQNbVEH6And6GI6Hs+L3oXaByckIp2uBic/IoZzAF3TKCFX&#10;TmyNtHFADVJDJErYKY98mattGinih6ZBGZmuODGNeaUkZG/SWiwXULYBfKfEsQQ4p4RHnAwoS0lP&#10;UCuIwLZBPYEySgSHrokj4UwxEMmKEIvJ+JE2HzvwMnMhqdGfRMfngxXvd+vAVF3xOWcWDDX89uuv&#10;P1++3/3+Ruvtzx9snkTqPZYUe23X4bhDvw6J8b4JJv2JC9tnYQ8nYeU+MkGHs4vL+cWYNBf3vuLh&#10;og8Y30pnWDIqrpVNnKGE3TuMlIxC70PSsbasr/jr2XRGcEAD2FDjyTSeSKBt8110WtU3Sut0A0O7&#10;udaB7SANQf4SJcL9LywlWQF2Q1x2DePRSajf2JrFgyd5LL0KnkowsuZMS3pEySJAKCMofU4kpdaW&#10;KkiqDjoma+PqAzVj64NqO1JikqtMHmp+rvc4qGm6/t1npIfHuf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MwQrdQAAAAGAQAADwAAAAAAAAABACAAAAAiAAAAZHJzL2Rvd25yZXYueG1sUEsBAhQA&#10;FAAAAAgAh07iQFQkf9P2AQAA5AMAAA4AAAAAAAAAAQAgAAAAIwEAAGRycy9lMm9Eb2MueG1sUEsF&#10;BgAAAAAGAAYAWQEAAIsFAAAAAA==&#10;">
              <v:fill on="f" focussize="0,0"/>
              <v:stroke color="#000000" joinstyle="round"/>
              <v:imagedata o:title=""/>
              <o:lock v:ext="edit" aspectratio="f"/>
            </v:line>
          </w:pict>
        </mc:Fallback>
      </mc:AlternateContent>
    </w:r>
    <w:r>
      <w:rPr>
        <w:rFonts w:hint="eastAsia" w:ascii="方正宋三简体" w:eastAsia="方正宋三简体"/>
        <w:b/>
        <w:bCs/>
        <w:i/>
        <w:iCs/>
      </w:rPr>
      <w:t>运城今朝会计师事务所有限公司             电话：0359——2064212</w:t>
    </w:r>
  </w:p>
  <w:p>
    <w:pPr>
      <w:pStyle w:val="7"/>
      <w:textAlignment w:val="center"/>
      <w:rPr>
        <w:rFonts w:hint="eastAsia"/>
        <w:b/>
      </w:rPr>
    </w:pPr>
    <w:r>
      <w:rPr>
        <w:rFonts w:hint="eastAsia" w:ascii="方正宋三简体" w:eastAsia="方正宋三简体"/>
        <w:b/>
        <w:bCs/>
        <w:i/>
        <w:iCs/>
      </w:rPr>
      <w:t>地址：运城市铺安街金城大厦717室             邮编：044000</w:t>
    </w:r>
  </w:p>
  <w:p>
    <w:pPr>
      <w:pStyle w:val="7"/>
      <w:tabs>
        <w:tab w:val="left" w:pos="514"/>
        <w:tab w:val="center" w:pos="4510"/>
      </w:tabs>
    </w:pPr>
    <w:r>
      <w:rPr>
        <w:rFonts w:hint="eastAsia" w:ascii="楷体" w:hAnsi="楷体" w:eastAsia="楷体" w:cs="楷体"/>
        <w:b/>
        <w:bCs/>
        <w:i/>
        <w:iCs/>
        <w:sz w:val="21"/>
        <w:szCs w:val="21"/>
      </w:rPr>
      <w:t xml:space="preserve">    </w:t>
    </w:r>
    <w:r>
      <w:rPr>
        <w:rFonts w:hint="eastAsia"/>
        <w:i/>
        <w:iCs/>
      </w:rPr>
      <w:t xml:space="preserve"> </w:t>
    </w:r>
  </w:p>
  <w:p>
    <w:pPr>
      <w:pStyle w:val="7"/>
      <w:tabs>
        <w:tab w:val="left" w:pos="3975"/>
        <w:tab w:val="clear" w:pos="4153"/>
        <w:tab w:val="clear" w:pos="8306"/>
      </w:tabs>
      <w:rPr>
        <w:rStyle w:val="17"/>
        <w:sz w:val="21"/>
        <w:szCs w:val="2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7"/>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AaqP6AOAgAAEgQAAA4AAABkcnMvZTJvRG9jLnhtbK1TzY7TMBC+I/EO&#10;lu80aRELRE1Xy1ZFSMuPtPAAruM0FrHHGrtNygPAG3Diwp3n6nMwdpKyLJc9cIkm9sw3833zeXnZ&#10;m5YdFHoNtuTzWc6ZshIqbXcl//Rx8+QFZz4IW4kWrCr5UXl+uXr8aNm5Qi2ggbZSyAjE+qJzJW9C&#10;cEWWedkoI/wMnLJ0WQMaEegXd1mFoiN002aLPL/IOsDKIUjlPZ2uh0s+IuJDAKGutVRrkHujbBhQ&#10;UbUiECXfaOf5Kk1b10qG93XtVWBtyYlpSF9qQvE2frPVUhQ7FK7RchxBPGSEe5yM0JaanqHWIgi2&#10;R/0PlNESwUMdZhJMNhBJihCLeX5Pm9tGOJW4kNTenUX3/w9Wvjt8QKYrcsKCMysMbfz0/dvpx6/T&#10;z6+MzkigzvmC8m4dZYb+FfSUnMh6dwPys2cWrhthd+oKEbpGiYoGnMfK7E7pgOMjyLZ7CxU1EvsA&#10;Caiv0UT1SA9G6LSc43k5qg9Mxpbzi0X+jDNJV/OnL5/naXmZKKZihz68VmBYDEqOtPsELg43PsRh&#10;RDGlxF4WNrpt0/5b+9cBJQ4nKhlorI5U4vQDj9Bv+1GaLVRHIoUwmIueFgUN4BfOOjJWyS29I87a&#10;N5ZkiR6cApyC7RQIK6mw5IGzIbwOg1f3DvWuIdxJ+CuSbqMTrTjYMMMoOFklsR1tHb149z9l/XnK&#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LpYU0AAAAAMBAAAPAAAAAAAAAAEAIAAAACIAAABk&#10;cnMvZG93bnJldi54bWxQSwECFAAUAAAACACHTuJABqo/oA4CAAASBAAADgAAAAAAAAABACAAAAAf&#10;AQAAZHJzL2Uyb0RvYy54bWxQSwUGAAAAAAYABgBZAQAAnwUAAAAA&#10;">
              <v:fill on="f" focussize="0,0"/>
              <v:stroke on="f"/>
              <v:imagedata o:title=""/>
              <o:lock v:ext="edit" aspectratio="f"/>
              <v:textbox inset="0mm,0mm,0mm,0mm" style="mso-fit-shape-to-text:t;">
                <w:txbxContent>
                  <w:p>
                    <w:pPr>
                      <w:pStyle w:val="7"/>
                    </w:pPr>
                  </w:p>
                </w:txbxContent>
              </v:textbox>
            </v:shape>
          </w:pict>
        </mc:Fallback>
      </mc:AlternateContent>
    </w:r>
    <w:r>
      <w:rPr>
        <w:rStyle w:val="17"/>
        <w:sz w:val="21"/>
        <w:szCs w:val="22"/>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360" w:lineRule="exact"/>
      <w:ind w:right="360"/>
      <w:rPr>
        <w:rFonts w:ascii="方正宋三简体" w:eastAsia="方正宋三简体"/>
        <w:b/>
        <w:bCs/>
        <w:i/>
        <w:iCs/>
      </w:rPr>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r>
      <w:rPr>
        <w:rFonts w:hint="eastAsia" w:ascii="方正宋三简体" w:eastAsia="方正宋三简体"/>
        <w:b/>
        <w:bCs/>
        <w:i/>
        <w:iC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-31115</wp:posOffset>
              </wp:positionV>
              <wp:extent cx="548640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45pt;height:0pt;width:432pt;z-index:251663360;mso-width-relative:page;mso-height-relative:page;" filled="f" stroked="t" coordsize="21600,21600" o:gfxdata="UEsDBAoAAAAAAIdO4kAAAAAAAAAAAAAAAAAEAAAAZHJzL1BLAwQUAAAACACHTuJAkMwQrdQAAAAG&#10;AQAADwAAAGRycy9kb3ducmV2LnhtbE2PzU7DMBCE70i8g7VIXKrWbqmqNsTpAciNCy2I6zbeJhHx&#10;Oo3dH3h6FnGA48ysZr7N1xffqRMNsQ1sYToxoIir4FquLbxuy/ESVEzIDrvAZOGTIqyL66scMxfO&#10;/EKnTaqVlHDM0EKTUp9pHauGPMZJ6Ikl24fBYxI51NoNeJZy3+mZMQvtsWVZaLCnh4aqj83RW4jl&#10;Gx3Kr1E1Mu93daDZ4fH5Ca29vZmae1CJLunvGH7wBR0KYdqFI7uoOgvySLIwnq9ASbpczMXY/Rq6&#10;yPV//OIbUEsDBBQAAAAIAIdO4kB5DJa69gEAAOQDAAAOAAAAZHJzL2Uyb0RvYy54bWytU81uEzEQ&#10;viPxDpbvZJOoqcIqmx4aygVBJOABJl7vriX/yeNkk5fgBZC4wYkjd96G9jEYe9MU2ksO3YN37Bl/&#10;M98348XV3mi2kwGVsxWfjMacSStcrWxb8c+fbl7NOcMItgbtrKz4QSK/Wr58seh9Kaeuc7qWgRGI&#10;xbL3Fe9i9GVRoOikARw5Ly05GxcMRNqGtqgD9IRudDEdjy+L3oXaByckIp2uBic/IoZzAF3TKCFX&#10;TmyNtHFADVJDJErYKY98mattGinih6ZBGZmuODGNeaUkZG/SWiwXULYBfKfEsQQ4p4RHnAwoS0lP&#10;UCuIwLZBPYEySgSHrokj4UwxEMmKEIvJ+JE2HzvwMnMhqdGfRMfngxXvd+vAVF1xarsFQw2//frr&#10;z5fvd7+/0Xr78webJ5F6jyXFXtt1OO7Qr0NivG+CSX/iwvZZ2MNJWLmPTNDh7GJ+eTEmzcW9r3i4&#10;6APGt9IZloyKa2UTZyhh9w4jJaPQ+5B0rC3rK/56Np0RHNAANtR4Mo0nEmjbfBedVvWN0jrdwNBu&#10;rnVgO0hDkL9EiXD/C0tJVoDdEJddw3h0Euo3tmbx4EkeS6+CpxKMrDnTkh5RsggQyghKnxNJqbWl&#10;CpKqg47J2rj6QM3Y+qDajpSY5CqTh5qf6z0Oapquf/cZ6eFxL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MwQrdQAAAAGAQAADwAAAAAAAAABACAAAAAiAAAAZHJzL2Rvd25yZXYueG1sUEsBAhQA&#10;FAAAAAgAh07iQHkMlrr2AQAA5AMAAA4AAAAAAAAAAQAgAAAAIwEAAGRycy9lMm9Eb2MueG1sUEsF&#10;BgAAAAAGAAYAWQEAAIsFAAAAAA==&#10;">
              <v:fill on="f" focussize="0,0"/>
              <v:stroke color="#000000" joinstyle="round"/>
              <v:imagedata o:title=""/>
              <o:lock v:ext="edit" aspectratio="f"/>
            </v:line>
          </w:pict>
        </mc:Fallback>
      </mc:AlternateContent>
    </w:r>
    <w:r>
      <w:rPr>
        <w:rFonts w:hint="eastAsia" w:ascii="方正宋三简体" w:eastAsia="方正宋三简体"/>
        <w:b/>
        <w:bCs/>
        <w:i/>
        <w:iCs/>
      </w:rPr>
      <w:t xml:space="preserve">运城今朝会计师事务所有限公司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电话：0359——2064212</w:t>
    </w:r>
  </w:p>
  <w:p>
    <w:pPr>
      <w:pStyle w:val="7"/>
      <w:textAlignment w:val="center"/>
      <w:rPr>
        <w:rFonts w:hint="eastAsia"/>
        <w:b/>
      </w:rPr>
    </w:pPr>
    <w:r>
      <w:rPr>
        <w:rFonts w:hint="eastAsia" w:ascii="方正宋三简体" w:eastAsia="方正宋三简体"/>
        <w:b/>
        <w:bCs/>
        <w:i/>
        <w:iCs/>
      </w:rPr>
      <w:t xml:space="preserve">地址：运城市铺安街金城大厦717室            </w:t>
    </w:r>
    <w:r>
      <w:rPr>
        <w:rFonts w:hint="eastAsia" w:ascii="方正宋三简体" w:eastAsia="方正宋三简体"/>
        <w:b/>
        <w:bCs/>
        <w:i/>
        <w:iCs/>
        <w:lang w:val="en-US" w:eastAsia="zh-CN"/>
      </w:rPr>
      <w:t xml:space="preserve">             </w:t>
    </w:r>
    <w:r>
      <w:rPr>
        <w:rFonts w:hint="eastAsia" w:ascii="方正宋三简体" w:eastAsia="方正宋三简体"/>
        <w:b/>
        <w:bCs/>
        <w:i/>
        <w:iCs/>
      </w:rPr>
      <w:t xml:space="preserve"> 邮编：044000</w: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tabs>
        <w:tab w:val="center" w:pos="4128"/>
        <w:tab w:val="right" w:pos="8256"/>
        <w:tab w:val="clear" w:pos="4153"/>
      </w:tabs>
      <w:jc w:val="left"/>
      <w:rPr>
        <w:rFonts w:ascii="楷体" w:hAnsi="楷体" w:eastAsia="楷体" w:cs="楷体"/>
        <w:b/>
        <w:bCs/>
        <w:i/>
        <w:iCs/>
        <w:sz w:val="21"/>
        <w:szCs w:val="21"/>
      </w:rPr>
    </w:pPr>
    <w:r>
      <w:rPr>
        <w:rFonts w:ascii="楷体" w:hAnsi="楷体" w:eastAsia="楷体" w:cs="楷体"/>
        <w:b/>
        <w:bCs/>
        <w:i/>
        <w:iCs/>
        <w:sz w:val="21"/>
        <w:szCs w:val="21"/>
      </w:rPr>
      <w:tab/>
    </w:r>
    <w:r>
      <w:rPr>
        <w:rFonts w:hint="eastAsia"/>
        <w:szCs w:val="18"/>
        <w:lang w:val="en-US" w:eastAsia="zh-CN"/>
      </w:rPr>
      <w:t>2021年储备粮油保管费、轮换费资金项目绩效评价报告书</w:t>
    </w:r>
    <w:r>
      <w:rPr>
        <w:rFonts w:ascii="楷体" w:hAnsi="楷体" w:eastAsia="楷体" w:cs="楷体"/>
        <w:b/>
        <w:bCs/>
        <w:i/>
        <w:iCs/>
        <w:sz w:val="21"/>
        <w:szCs w:val="2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B0264"/>
    <w:multiLevelType w:val="singleLevel"/>
    <w:tmpl w:val="962B0264"/>
    <w:lvl w:ilvl="0" w:tentative="0">
      <w:start w:val="3"/>
      <w:numFmt w:val="decimal"/>
      <w:suff w:val="nothing"/>
      <w:lvlText w:val="%1、"/>
      <w:lvlJc w:val="left"/>
    </w:lvl>
  </w:abstractNum>
  <w:abstractNum w:abstractNumId="1">
    <w:nsid w:val="97CEE1F0"/>
    <w:multiLevelType w:val="singleLevel"/>
    <w:tmpl w:val="97CEE1F0"/>
    <w:lvl w:ilvl="0" w:tentative="0">
      <w:start w:val="1"/>
      <w:numFmt w:val="decimal"/>
      <w:suff w:val="nothing"/>
      <w:lvlText w:val="（%1）"/>
      <w:lvlJc w:val="left"/>
    </w:lvl>
  </w:abstractNum>
  <w:abstractNum w:abstractNumId="2">
    <w:nsid w:val="EF36C17C"/>
    <w:multiLevelType w:val="singleLevel"/>
    <w:tmpl w:val="EF36C17C"/>
    <w:lvl w:ilvl="0" w:tentative="0">
      <w:start w:val="3"/>
      <w:numFmt w:val="decimal"/>
      <w:suff w:val="nothing"/>
      <w:lvlText w:val="（%1）"/>
      <w:lvlJc w:val="left"/>
    </w:lvl>
  </w:abstractNum>
  <w:abstractNum w:abstractNumId="3">
    <w:nsid w:val="1C4C5813"/>
    <w:multiLevelType w:val="singleLevel"/>
    <w:tmpl w:val="1C4C5813"/>
    <w:lvl w:ilvl="0" w:tentative="0">
      <w:start w:val="1"/>
      <w:numFmt w:val="decimal"/>
      <w:suff w:val="nothing"/>
      <w:lvlText w:val="（%1）"/>
      <w:lvlJc w:val="left"/>
    </w:lvl>
  </w:abstractNum>
  <w:abstractNum w:abstractNumId="4">
    <w:nsid w:val="66A7DA65"/>
    <w:multiLevelType w:val="singleLevel"/>
    <w:tmpl w:val="66A7DA65"/>
    <w:lvl w:ilvl="0" w:tentative="0">
      <w:start w:val="1"/>
      <w:numFmt w:val="decimal"/>
      <w:suff w:val="nothing"/>
      <w:lvlText w:val="（%1）"/>
      <w:lvlJc w:val="left"/>
      <w:pPr>
        <w:ind w:left="20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wNzViMmI3OTBkMTkxNWRmZWI5M2FjZDEyOGRlNmEifQ=="/>
    <w:docVar w:name="KSO_WPS_MARK_KEY" w:val="0395aea1-2bbb-4bdd-acd6-0138d2b79fdd"/>
  </w:docVars>
  <w:rsids>
    <w:rsidRoot w:val="2B82095E"/>
    <w:rsid w:val="00043170"/>
    <w:rsid w:val="00044187"/>
    <w:rsid w:val="0005224E"/>
    <w:rsid w:val="0006625C"/>
    <w:rsid w:val="00072C77"/>
    <w:rsid w:val="000732D7"/>
    <w:rsid w:val="0007378C"/>
    <w:rsid w:val="00073BD6"/>
    <w:rsid w:val="00077B70"/>
    <w:rsid w:val="0009633D"/>
    <w:rsid w:val="000A0AC4"/>
    <w:rsid w:val="000A213C"/>
    <w:rsid w:val="000B2AB5"/>
    <w:rsid w:val="000B6AE3"/>
    <w:rsid w:val="000B7FE0"/>
    <w:rsid w:val="000C2118"/>
    <w:rsid w:val="000C4239"/>
    <w:rsid w:val="000C7FB0"/>
    <w:rsid w:val="000D654E"/>
    <w:rsid w:val="000D7980"/>
    <w:rsid w:val="000E1314"/>
    <w:rsid w:val="000E6E2A"/>
    <w:rsid w:val="000F12F7"/>
    <w:rsid w:val="000F2182"/>
    <w:rsid w:val="000F2C92"/>
    <w:rsid w:val="001014FA"/>
    <w:rsid w:val="00102611"/>
    <w:rsid w:val="0010316C"/>
    <w:rsid w:val="00114817"/>
    <w:rsid w:val="0011594E"/>
    <w:rsid w:val="001358A2"/>
    <w:rsid w:val="00152492"/>
    <w:rsid w:val="00156288"/>
    <w:rsid w:val="001761C1"/>
    <w:rsid w:val="001858DD"/>
    <w:rsid w:val="00186E81"/>
    <w:rsid w:val="001B24E9"/>
    <w:rsid w:val="001B26CC"/>
    <w:rsid w:val="001B44D2"/>
    <w:rsid w:val="001C7EB0"/>
    <w:rsid w:val="001D4FA9"/>
    <w:rsid w:val="001D79DD"/>
    <w:rsid w:val="001E6FE1"/>
    <w:rsid w:val="001F776C"/>
    <w:rsid w:val="00205464"/>
    <w:rsid w:val="00211C15"/>
    <w:rsid w:val="002219BC"/>
    <w:rsid w:val="0023316B"/>
    <w:rsid w:val="002333FA"/>
    <w:rsid w:val="00233CF0"/>
    <w:rsid w:val="00246613"/>
    <w:rsid w:val="00257441"/>
    <w:rsid w:val="00275382"/>
    <w:rsid w:val="00286126"/>
    <w:rsid w:val="0029310E"/>
    <w:rsid w:val="00294697"/>
    <w:rsid w:val="00294F6E"/>
    <w:rsid w:val="002A529E"/>
    <w:rsid w:val="002B08AD"/>
    <w:rsid w:val="002C0422"/>
    <w:rsid w:val="002C0430"/>
    <w:rsid w:val="002C2398"/>
    <w:rsid w:val="002E578A"/>
    <w:rsid w:val="002E6B27"/>
    <w:rsid w:val="002E7999"/>
    <w:rsid w:val="002F0213"/>
    <w:rsid w:val="003024FC"/>
    <w:rsid w:val="003053F5"/>
    <w:rsid w:val="00310029"/>
    <w:rsid w:val="00312A36"/>
    <w:rsid w:val="0031722C"/>
    <w:rsid w:val="00323191"/>
    <w:rsid w:val="00323D54"/>
    <w:rsid w:val="00325560"/>
    <w:rsid w:val="00327AF3"/>
    <w:rsid w:val="00332018"/>
    <w:rsid w:val="00336FC3"/>
    <w:rsid w:val="00337249"/>
    <w:rsid w:val="0033794B"/>
    <w:rsid w:val="00340B48"/>
    <w:rsid w:val="003521B5"/>
    <w:rsid w:val="00356C9A"/>
    <w:rsid w:val="00360CE9"/>
    <w:rsid w:val="0036128D"/>
    <w:rsid w:val="00361CAE"/>
    <w:rsid w:val="00362EDC"/>
    <w:rsid w:val="00364C6B"/>
    <w:rsid w:val="00376D2C"/>
    <w:rsid w:val="00380EC6"/>
    <w:rsid w:val="00382C80"/>
    <w:rsid w:val="0038372C"/>
    <w:rsid w:val="00395F3B"/>
    <w:rsid w:val="003A2123"/>
    <w:rsid w:val="003A356F"/>
    <w:rsid w:val="003A4A1B"/>
    <w:rsid w:val="003A5A51"/>
    <w:rsid w:val="003A6500"/>
    <w:rsid w:val="003A685E"/>
    <w:rsid w:val="003B08D1"/>
    <w:rsid w:val="003B2D94"/>
    <w:rsid w:val="003C4A11"/>
    <w:rsid w:val="003D6ADF"/>
    <w:rsid w:val="003E1DEF"/>
    <w:rsid w:val="003E4A4E"/>
    <w:rsid w:val="003F0F54"/>
    <w:rsid w:val="003F1D71"/>
    <w:rsid w:val="0040594B"/>
    <w:rsid w:val="00407E9C"/>
    <w:rsid w:val="00413D77"/>
    <w:rsid w:val="00416CA9"/>
    <w:rsid w:val="0042191D"/>
    <w:rsid w:val="0043752B"/>
    <w:rsid w:val="00440AF1"/>
    <w:rsid w:val="00444530"/>
    <w:rsid w:val="00447147"/>
    <w:rsid w:val="00457D06"/>
    <w:rsid w:val="004647CE"/>
    <w:rsid w:val="004668F0"/>
    <w:rsid w:val="0047331F"/>
    <w:rsid w:val="004758FE"/>
    <w:rsid w:val="0048385A"/>
    <w:rsid w:val="00483CAE"/>
    <w:rsid w:val="0048641D"/>
    <w:rsid w:val="00491055"/>
    <w:rsid w:val="0049439A"/>
    <w:rsid w:val="004A3CB1"/>
    <w:rsid w:val="004A59AC"/>
    <w:rsid w:val="004A7525"/>
    <w:rsid w:val="004B7F88"/>
    <w:rsid w:val="004C0551"/>
    <w:rsid w:val="004C6C92"/>
    <w:rsid w:val="004D2016"/>
    <w:rsid w:val="004D3B91"/>
    <w:rsid w:val="004D526F"/>
    <w:rsid w:val="004F3F24"/>
    <w:rsid w:val="004F4923"/>
    <w:rsid w:val="005000B4"/>
    <w:rsid w:val="005003ED"/>
    <w:rsid w:val="00507CFE"/>
    <w:rsid w:val="00520994"/>
    <w:rsid w:val="00526A2C"/>
    <w:rsid w:val="00530507"/>
    <w:rsid w:val="0053526C"/>
    <w:rsid w:val="00541987"/>
    <w:rsid w:val="00545705"/>
    <w:rsid w:val="005547EE"/>
    <w:rsid w:val="00556153"/>
    <w:rsid w:val="00561E32"/>
    <w:rsid w:val="00567A81"/>
    <w:rsid w:val="00575275"/>
    <w:rsid w:val="00577872"/>
    <w:rsid w:val="00585C61"/>
    <w:rsid w:val="00591313"/>
    <w:rsid w:val="005A78A8"/>
    <w:rsid w:val="005C00C8"/>
    <w:rsid w:val="005C601D"/>
    <w:rsid w:val="005C7F41"/>
    <w:rsid w:val="005D226E"/>
    <w:rsid w:val="005D3340"/>
    <w:rsid w:val="005D33B2"/>
    <w:rsid w:val="005E4AAF"/>
    <w:rsid w:val="005E55C1"/>
    <w:rsid w:val="005F1C55"/>
    <w:rsid w:val="005F4C4B"/>
    <w:rsid w:val="005F5B47"/>
    <w:rsid w:val="005F6E32"/>
    <w:rsid w:val="006027BF"/>
    <w:rsid w:val="00603E8E"/>
    <w:rsid w:val="00605AE6"/>
    <w:rsid w:val="00607497"/>
    <w:rsid w:val="006118A5"/>
    <w:rsid w:val="006150C4"/>
    <w:rsid w:val="0062413C"/>
    <w:rsid w:val="0062416A"/>
    <w:rsid w:val="0063316B"/>
    <w:rsid w:val="00656523"/>
    <w:rsid w:val="006609AA"/>
    <w:rsid w:val="006613E7"/>
    <w:rsid w:val="00676D86"/>
    <w:rsid w:val="00682A10"/>
    <w:rsid w:val="0068492B"/>
    <w:rsid w:val="00686AB7"/>
    <w:rsid w:val="006902C7"/>
    <w:rsid w:val="00692241"/>
    <w:rsid w:val="00692665"/>
    <w:rsid w:val="00695A80"/>
    <w:rsid w:val="00697FD5"/>
    <w:rsid w:val="006A3652"/>
    <w:rsid w:val="006A4D56"/>
    <w:rsid w:val="006B191B"/>
    <w:rsid w:val="006B6361"/>
    <w:rsid w:val="006B7877"/>
    <w:rsid w:val="006C03F2"/>
    <w:rsid w:val="006C4A16"/>
    <w:rsid w:val="006C71C7"/>
    <w:rsid w:val="006D0844"/>
    <w:rsid w:val="006E6848"/>
    <w:rsid w:val="006F1E82"/>
    <w:rsid w:val="006F2EBD"/>
    <w:rsid w:val="006F5857"/>
    <w:rsid w:val="006F683E"/>
    <w:rsid w:val="00703FDE"/>
    <w:rsid w:val="00714576"/>
    <w:rsid w:val="007232EB"/>
    <w:rsid w:val="0072700E"/>
    <w:rsid w:val="00734A98"/>
    <w:rsid w:val="00741BD9"/>
    <w:rsid w:val="007457AA"/>
    <w:rsid w:val="00750974"/>
    <w:rsid w:val="00751A73"/>
    <w:rsid w:val="00751E42"/>
    <w:rsid w:val="00754195"/>
    <w:rsid w:val="007543D0"/>
    <w:rsid w:val="00755427"/>
    <w:rsid w:val="0076251A"/>
    <w:rsid w:val="00763B7A"/>
    <w:rsid w:val="00766349"/>
    <w:rsid w:val="007771F4"/>
    <w:rsid w:val="007838F9"/>
    <w:rsid w:val="007B0798"/>
    <w:rsid w:val="007B124D"/>
    <w:rsid w:val="007C4C59"/>
    <w:rsid w:val="007C50B9"/>
    <w:rsid w:val="007D0AE5"/>
    <w:rsid w:val="007D17C8"/>
    <w:rsid w:val="007D19EE"/>
    <w:rsid w:val="007D2ACD"/>
    <w:rsid w:val="007D56E9"/>
    <w:rsid w:val="007E05C2"/>
    <w:rsid w:val="007F2B59"/>
    <w:rsid w:val="00805BC6"/>
    <w:rsid w:val="008158A9"/>
    <w:rsid w:val="00816C1F"/>
    <w:rsid w:val="00825489"/>
    <w:rsid w:val="0082776E"/>
    <w:rsid w:val="00833A8F"/>
    <w:rsid w:val="0084251F"/>
    <w:rsid w:val="00847936"/>
    <w:rsid w:val="008547DC"/>
    <w:rsid w:val="0086041B"/>
    <w:rsid w:val="00861F62"/>
    <w:rsid w:val="008658CF"/>
    <w:rsid w:val="00872501"/>
    <w:rsid w:val="00875581"/>
    <w:rsid w:val="00890C66"/>
    <w:rsid w:val="008911F8"/>
    <w:rsid w:val="008948F2"/>
    <w:rsid w:val="00894EBC"/>
    <w:rsid w:val="008A0361"/>
    <w:rsid w:val="008A171B"/>
    <w:rsid w:val="008A1B12"/>
    <w:rsid w:val="008B0CAD"/>
    <w:rsid w:val="008B220F"/>
    <w:rsid w:val="008B77C9"/>
    <w:rsid w:val="008B7D06"/>
    <w:rsid w:val="008D194C"/>
    <w:rsid w:val="008D6BAD"/>
    <w:rsid w:val="008D7CCA"/>
    <w:rsid w:val="008E5378"/>
    <w:rsid w:val="008F29E7"/>
    <w:rsid w:val="0090148D"/>
    <w:rsid w:val="009019D4"/>
    <w:rsid w:val="009034DD"/>
    <w:rsid w:val="00910ECA"/>
    <w:rsid w:val="00913EDE"/>
    <w:rsid w:val="00922543"/>
    <w:rsid w:val="009304EA"/>
    <w:rsid w:val="009318D2"/>
    <w:rsid w:val="00931C33"/>
    <w:rsid w:val="00937A70"/>
    <w:rsid w:val="00937D6A"/>
    <w:rsid w:val="00944EA8"/>
    <w:rsid w:val="0096207B"/>
    <w:rsid w:val="00973956"/>
    <w:rsid w:val="009744E3"/>
    <w:rsid w:val="00975AB6"/>
    <w:rsid w:val="009777C2"/>
    <w:rsid w:val="00982001"/>
    <w:rsid w:val="009847F0"/>
    <w:rsid w:val="00997656"/>
    <w:rsid w:val="009A1020"/>
    <w:rsid w:val="009A5AAB"/>
    <w:rsid w:val="009A6407"/>
    <w:rsid w:val="009A6FB8"/>
    <w:rsid w:val="009A7485"/>
    <w:rsid w:val="009B12EA"/>
    <w:rsid w:val="009B3E43"/>
    <w:rsid w:val="009C2916"/>
    <w:rsid w:val="009C521E"/>
    <w:rsid w:val="009D08A3"/>
    <w:rsid w:val="009E1669"/>
    <w:rsid w:val="009E5354"/>
    <w:rsid w:val="009F14FA"/>
    <w:rsid w:val="009F2306"/>
    <w:rsid w:val="009F23FA"/>
    <w:rsid w:val="009F2419"/>
    <w:rsid w:val="009F2BBD"/>
    <w:rsid w:val="009F306A"/>
    <w:rsid w:val="00A00242"/>
    <w:rsid w:val="00A029AE"/>
    <w:rsid w:val="00A037AC"/>
    <w:rsid w:val="00A03D0E"/>
    <w:rsid w:val="00A044F3"/>
    <w:rsid w:val="00A069F3"/>
    <w:rsid w:val="00A11679"/>
    <w:rsid w:val="00A13AF8"/>
    <w:rsid w:val="00A226CA"/>
    <w:rsid w:val="00A24634"/>
    <w:rsid w:val="00A25DD1"/>
    <w:rsid w:val="00A26C35"/>
    <w:rsid w:val="00A37362"/>
    <w:rsid w:val="00A46B37"/>
    <w:rsid w:val="00A50302"/>
    <w:rsid w:val="00A63010"/>
    <w:rsid w:val="00A70863"/>
    <w:rsid w:val="00A70DCF"/>
    <w:rsid w:val="00A92839"/>
    <w:rsid w:val="00AA24C1"/>
    <w:rsid w:val="00AB0A3D"/>
    <w:rsid w:val="00AB69D6"/>
    <w:rsid w:val="00AC4C5E"/>
    <w:rsid w:val="00AC5491"/>
    <w:rsid w:val="00AD0098"/>
    <w:rsid w:val="00AD319B"/>
    <w:rsid w:val="00AE010F"/>
    <w:rsid w:val="00AE7240"/>
    <w:rsid w:val="00AF4E2A"/>
    <w:rsid w:val="00AF5BC5"/>
    <w:rsid w:val="00B00A23"/>
    <w:rsid w:val="00B029FB"/>
    <w:rsid w:val="00B17BAF"/>
    <w:rsid w:val="00B227FD"/>
    <w:rsid w:val="00B31792"/>
    <w:rsid w:val="00B33BDB"/>
    <w:rsid w:val="00B36364"/>
    <w:rsid w:val="00B445D3"/>
    <w:rsid w:val="00B528B4"/>
    <w:rsid w:val="00B56438"/>
    <w:rsid w:val="00B6088C"/>
    <w:rsid w:val="00B61DE9"/>
    <w:rsid w:val="00B6446E"/>
    <w:rsid w:val="00B67B95"/>
    <w:rsid w:val="00B7393B"/>
    <w:rsid w:val="00B73998"/>
    <w:rsid w:val="00B841F8"/>
    <w:rsid w:val="00B84B6D"/>
    <w:rsid w:val="00B928AA"/>
    <w:rsid w:val="00BB1F93"/>
    <w:rsid w:val="00BB2883"/>
    <w:rsid w:val="00BB7E52"/>
    <w:rsid w:val="00BC0E36"/>
    <w:rsid w:val="00BC45A6"/>
    <w:rsid w:val="00BC7468"/>
    <w:rsid w:val="00BD47CE"/>
    <w:rsid w:val="00BD4AF5"/>
    <w:rsid w:val="00BF59A5"/>
    <w:rsid w:val="00BF6081"/>
    <w:rsid w:val="00BF7A16"/>
    <w:rsid w:val="00C07739"/>
    <w:rsid w:val="00C15867"/>
    <w:rsid w:val="00C16074"/>
    <w:rsid w:val="00C17C9C"/>
    <w:rsid w:val="00C24E7E"/>
    <w:rsid w:val="00C27BCF"/>
    <w:rsid w:val="00C331A2"/>
    <w:rsid w:val="00C421D0"/>
    <w:rsid w:val="00C42516"/>
    <w:rsid w:val="00C51155"/>
    <w:rsid w:val="00C5189E"/>
    <w:rsid w:val="00C52235"/>
    <w:rsid w:val="00C53E4D"/>
    <w:rsid w:val="00C56314"/>
    <w:rsid w:val="00C56DAC"/>
    <w:rsid w:val="00C60C35"/>
    <w:rsid w:val="00C71E9C"/>
    <w:rsid w:val="00C85C85"/>
    <w:rsid w:val="00C86241"/>
    <w:rsid w:val="00C97D1B"/>
    <w:rsid w:val="00CA01F0"/>
    <w:rsid w:val="00CB06F6"/>
    <w:rsid w:val="00CB1511"/>
    <w:rsid w:val="00CB1F55"/>
    <w:rsid w:val="00CB6680"/>
    <w:rsid w:val="00CC39A5"/>
    <w:rsid w:val="00CD0524"/>
    <w:rsid w:val="00CD6225"/>
    <w:rsid w:val="00CD67F3"/>
    <w:rsid w:val="00CF46AB"/>
    <w:rsid w:val="00CF5C4E"/>
    <w:rsid w:val="00D01AC8"/>
    <w:rsid w:val="00D030A4"/>
    <w:rsid w:val="00D0765C"/>
    <w:rsid w:val="00D16063"/>
    <w:rsid w:val="00D27672"/>
    <w:rsid w:val="00D36B75"/>
    <w:rsid w:val="00D414D5"/>
    <w:rsid w:val="00D47FAF"/>
    <w:rsid w:val="00D50563"/>
    <w:rsid w:val="00D532B2"/>
    <w:rsid w:val="00D579A1"/>
    <w:rsid w:val="00D609BE"/>
    <w:rsid w:val="00D6467E"/>
    <w:rsid w:val="00D728AA"/>
    <w:rsid w:val="00D73B36"/>
    <w:rsid w:val="00D76425"/>
    <w:rsid w:val="00D80974"/>
    <w:rsid w:val="00D82DBA"/>
    <w:rsid w:val="00D853DC"/>
    <w:rsid w:val="00D86736"/>
    <w:rsid w:val="00D87FCB"/>
    <w:rsid w:val="00D939C7"/>
    <w:rsid w:val="00DA1BC6"/>
    <w:rsid w:val="00DB33EB"/>
    <w:rsid w:val="00DB5579"/>
    <w:rsid w:val="00DC32EF"/>
    <w:rsid w:val="00DC71E1"/>
    <w:rsid w:val="00DD2B42"/>
    <w:rsid w:val="00DD4A2A"/>
    <w:rsid w:val="00DE5AA0"/>
    <w:rsid w:val="00DF1179"/>
    <w:rsid w:val="00DF4368"/>
    <w:rsid w:val="00DF4CC2"/>
    <w:rsid w:val="00E021CF"/>
    <w:rsid w:val="00E02817"/>
    <w:rsid w:val="00E05DA5"/>
    <w:rsid w:val="00E05DB6"/>
    <w:rsid w:val="00E11F35"/>
    <w:rsid w:val="00E1280A"/>
    <w:rsid w:val="00E12D53"/>
    <w:rsid w:val="00E134B3"/>
    <w:rsid w:val="00E136DF"/>
    <w:rsid w:val="00E17C2B"/>
    <w:rsid w:val="00E3314C"/>
    <w:rsid w:val="00E42429"/>
    <w:rsid w:val="00E42FB5"/>
    <w:rsid w:val="00E47FC5"/>
    <w:rsid w:val="00E53178"/>
    <w:rsid w:val="00E57A68"/>
    <w:rsid w:val="00E63AC3"/>
    <w:rsid w:val="00E7095A"/>
    <w:rsid w:val="00E714AB"/>
    <w:rsid w:val="00E740F5"/>
    <w:rsid w:val="00E7682E"/>
    <w:rsid w:val="00E81270"/>
    <w:rsid w:val="00E93EB5"/>
    <w:rsid w:val="00E97F75"/>
    <w:rsid w:val="00EA41E4"/>
    <w:rsid w:val="00EA595D"/>
    <w:rsid w:val="00EB1901"/>
    <w:rsid w:val="00EB5BE4"/>
    <w:rsid w:val="00EC1FBF"/>
    <w:rsid w:val="00ED2056"/>
    <w:rsid w:val="00EE4E20"/>
    <w:rsid w:val="00EE6EBF"/>
    <w:rsid w:val="00F07A8A"/>
    <w:rsid w:val="00F33720"/>
    <w:rsid w:val="00F3580E"/>
    <w:rsid w:val="00F37CF8"/>
    <w:rsid w:val="00F43CCC"/>
    <w:rsid w:val="00F479F8"/>
    <w:rsid w:val="00F52520"/>
    <w:rsid w:val="00F52B04"/>
    <w:rsid w:val="00F54561"/>
    <w:rsid w:val="00F55EBD"/>
    <w:rsid w:val="00F5697A"/>
    <w:rsid w:val="00F672DF"/>
    <w:rsid w:val="00FA14B5"/>
    <w:rsid w:val="00FA5013"/>
    <w:rsid w:val="00FB6A1C"/>
    <w:rsid w:val="00FC0F87"/>
    <w:rsid w:val="00FC680C"/>
    <w:rsid w:val="00FC7E43"/>
    <w:rsid w:val="00FD2847"/>
    <w:rsid w:val="00FD3DD0"/>
    <w:rsid w:val="00FD45EB"/>
    <w:rsid w:val="00FD4D9E"/>
    <w:rsid w:val="00FD7D63"/>
    <w:rsid w:val="00FD7F07"/>
    <w:rsid w:val="00FE09DF"/>
    <w:rsid w:val="00FE1C4E"/>
    <w:rsid w:val="00FE3921"/>
    <w:rsid w:val="00FE5065"/>
    <w:rsid w:val="00FE50E2"/>
    <w:rsid w:val="00FE5AE4"/>
    <w:rsid w:val="015F66B5"/>
    <w:rsid w:val="01774C45"/>
    <w:rsid w:val="021E28DF"/>
    <w:rsid w:val="030E0D80"/>
    <w:rsid w:val="03EF3C4E"/>
    <w:rsid w:val="0400193E"/>
    <w:rsid w:val="040449C1"/>
    <w:rsid w:val="043769E8"/>
    <w:rsid w:val="047664FF"/>
    <w:rsid w:val="05261923"/>
    <w:rsid w:val="06164C8A"/>
    <w:rsid w:val="063120DA"/>
    <w:rsid w:val="064F507D"/>
    <w:rsid w:val="069B6CC4"/>
    <w:rsid w:val="08687FE8"/>
    <w:rsid w:val="08E32209"/>
    <w:rsid w:val="0AE45A47"/>
    <w:rsid w:val="0BAB7191"/>
    <w:rsid w:val="0C297C87"/>
    <w:rsid w:val="0C53420D"/>
    <w:rsid w:val="0CF34325"/>
    <w:rsid w:val="0E0C21EE"/>
    <w:rsid w:val="0E3821B1"/>
    <w:rsid w:val="0ED64BB8"/>
    <w:rsid w:val="10133A4C"/>
    <w:rsid w:val="105A57A9"/>
    <w:rsid w:val="10DE68D9"/>
    <w:rsid w:val="11731473"/>
    <w:rsid w:val="11AC358A"/>
    <w:rsid w:val="11C47693"/>
    <w:rsid w:val="11FA7F03"/>
    <w:rsid w:val="12402AAD"/>
    <w:rsid w:val="12521768"/>
    <w:rsid w:val="134004FA"/>
    <w:rsid w:val="13BD37E3"/>
    <w:rsid w:val="15010DA3"/>
    <w:rsid w:val="1552722B"/>
    <w:rsid w:val="15586279"/>
    <w:rsid w:val="15C471A6"/>
    <w:rsid w:val="16313375"/>
    <w:rsid w:val="16BF21A1"/>
    <w:rsid w:val="173E7A4C"/>
    <w:rsid w:val="177A404B"/>
    <w:rsid w:val="17AE5E1A"/>
    <w:rsid w:val="181C2A93"/>
    <w:rsid w:val="185029F9"/>
    <w:rsid w:val="199A6B72"/>
    <w:rsid w:val="19ED659F"/>
    <w:rsid w:val="1A4662EA"/>
    <w:rsid w:val="1B85042F"/>
    <w:rsid w:val="1C44694B"/>
    <w:rsid w:val="1C5A38DC"/>
    <w:rsid w:val="1CD921BE"/>
    <w:rsid w:val="1E7C55BF"/>
    <w:rsid w:val="211D59BC"/>
    <w:rsid w:val="21204C3F"/>
    <w:rsid w:val="215E3677"/>
    <w:rsid w:val="24633E66"/>
    <w:rsid w:val="24EF612E"/>
    <w:rsid w:val="25984324"/>
    <w:rsid w:val="25D44347"/>
    <w:rsid w:val="26266D66"/>
    <w:rsid w:val="2729330D"/>
    <w:rsid w:val="2731346E"/>
    <w:rsid w:val="273E38EE"/>
    <w:rsid w:val="280212C2"/>
    <w:rsid w:val="286578D5"/>
    <w:rsid w:val="28795A8D"/>
    <w:rsid w:val="28AA0EB6"/>
    <w:rsid w:val="28BE6EEA"/>
    <w:rsid w:val="28DE0739"/>
    <w:rsid w:val="29005D54"/>
    <w:rsid w:val="292658FF"/>
    <w:rsid w:val="29C36D43"/>
    <w:rsid w:val="2A111BB6"/>
    <w:rsid w:val="2A6B0609"/>
    <w:rsid w:val="2AA34848"/>
    <w:rsid w:val="2AAF1030"/>
    <w:rsid w:val="2B1D79B5"/>
    <w:rsid w:val="2B82095E"/>
    <w:rsid w:val="2BB9206F"/>
    <w:rsid w:val="2C2900CE"/>
    <w:rsid w:val="2CCF3907"/>
    <w:rsid w:val="2CFC69B0"/>
    <w:rsid w:val="2DD80F57"/>
    <w:rsid w:val="2DFA4AA2"/>
    <w:rsid w:val="2F1E0F3B"/>
    <w:rsid w:val="2F686AEA"/>
    <w:rsid w:val="2FF60969"/>
    <w:rsid w:val="30EE1996"/>
    <w:rsid w:val="31352B82"/>
    <w:rsid w:val="320A3D3B"/>
    <w:rsid w:val="32674CE9"/>
    <w:rsid w:val="32DA0975"/>
    <w:rsid w:val="32F26CA9"/>
    <w:rsid w:val="337C2D46"/>
    <w:rsid w:val="33A04E9A"/>
    <w:rsid w:val="33AC57F9"/>
    <w:rsid w:val="33ED56C2"/>
    <w:rsid w:val="34216CB5"/>
    <w:rsid w:val="34332CFF"/>
    <w:rsid w:val="35516898"/>
    <w:rsid w:val="35737B08"/>
    <w:rsid w:val="37285654"/>
    <w:rsid w:val="374E3904"/>
    <w:rsid w:val="380B2EB5"/>
    <w:rsid w:val="38170C10"/>
    <w:rsid w:val="3A5169AB"/>
    <w:rsid w:val="3A8B353F"/>
    <w:rsid w:val="3BF654DA"/>
    <w:rsid w:val="3C3A2653"/>
    <w:rsid w:val="3CA347F6"/>
    <w:rsid w:val="3D0B5800"/>
    <w:rsid w:val="3DB17227"/>
    <w:rsid w:val="3E105579"/>
    <w:rsid w:val="3E177855"/>
    <w:rsid w:val="3E2B12C1"/>
    <w:rsid w:val="3E5F3D51"/>
    <w:rsid w:val="3E6F427D"/>
    <w:rsid w:val="3E9306F5"/>
    <w:rsid w:val="3E9A079F"/>
    <w:rsid w:val="41240F6C"/>
    <w:rsid w:val="41F12063"/>
    <w:rsid w:val="42584EFA"/>
    <w:rsid w:val="425F01CD"/>
    <w:rsid w:val="430130DC"/>
    <w:rsid w:val="43562FBF"/>
    <w:rsid w:val="43A42766"/>
    <w:rsid w:val="455D65BF"/>
    <w:rsid w:val="45AC5368"/>
    <w:rsid w:val="45B83343"/>
    <w:rsid w:val="45E5420D"/>
    <w:rsid w:val="45EA380F"/>
    <w:rsid w:val="460C5E7C"/>
    <w:rsid w:val="46853538"/>
    <w:rsid w:val="46F900F4"/>
    <w:rsid w:val="4725528A"/>
    <w:rsid w:val="47545474"/>
    <w:rsid w:val="47616FE5"/>
    <w:rsid w:val="479D6E67"/>
    <w:rsid w:val="489B1754"/>
    <w:rsid w:val="48B12D0A"/>
    <w:rsid w:val="49523735"/>
    <w:rsid w:val="49FE7C77"/>
    <w:rsid w:val="4A1C5B44"/>
    <w:rsid w:val="4A257767"/>
    <w:rsid w:val="4A30283D"/>
    <w:rsid w:val="4B036C30"/>
    <w:rsid w:val="4BC934B4"/>
    <w:rsid w:val="4C5916EF"/>
    <w:rsid w:val="4C76187B"/>
    <w:rsid w:val="4C802923"/>
    <w:rsid w:val="4D6942D2"/>
    <w:rsid w:val="4D972BDA"/>
    <w:rsid w:val="4E1D63D3"/>
    <w:rsid w:val="4F735F0B"/>
    <w:rsid w:val="4FA2558D"/>
    <w:rsid w:val="504D3319"/>
    <w:rsid w:val="512C7A49"/>
    <w:rsid w:val="519800DA"/>
    <w:rsid w:val="52493574"/>
    <w:rsid w:val="526A3E46"/>
    <w:rsid w:val="52F25032"/>
    <w:rsid w:val="5336304B"/>
    <w:rsid w:val="53670B95"/>
    <w:rsid w:val="5382152B"/>
    <w:rsid w:val="549C7622"/>
    <w:rsid w:val="54ED0C26"/>
    <w:rsid w:val="55006194"/>
    <w:rsid w:val="56831D28"/>
    <w:rsid w:val="57721FBF"/>
    <w:rsid w:val="57CF79E7"/>
    <w:rsid w:val="57EE241E"/>
    <w:rsid w:val="58097E4A"/>
    <w:rsid w:val="588C7A4B"/>
    <w:rsid w:val="591E1CF6"/>
    <w:rsid w:val="5928031A"/>
    <w:rsid w:val="59B73002"/>
    <w:rsid w:val="5AC4034D"/>
    <w:rsid w:val="5B652DFD"/>
    <w:rsid w:val="5CB8247E"/>
    <w:rsid w:val="5DC46FDD"/>
    <w:rsid w:val="5F2B63A9"/>
    <w:rsid w:val="5F8553C2"/>
    <w:rsid w:val="5F9C5723"/>
    <w:rsid w:val="60DD10DB"/>
    <w:rsid w:val="624C7065"/>
    <w:rsid w:val="628D3CEB"/>
    <w:rsid w:val="632A17F2"/>
    <w:rsid w:val="635B76A3"/>
    <w:rsid w:val="63B06D90"/>
    <w:rsid w:val="64762F8C"/>
    <w:rsid w:val="65C14135"/>
    <w:rsid w:val="65CE0600"/>
    <w:rsid w:val="666F4C74"/>
    <w:rsid w:val="667166D9"/>
    <w:rsid w:val="66764DAE"/>
    <w:rsid w:val="66BF6E85"/>
    <w:rsid w:val="672D1B45"/>
    <w:rsid w:val="67A90D8B"/>
    <w:rsid w:val="67D55E52"/>
    <w:rsid w:val="67DC5256"/>
    <w:rsid w:val="681840F7"/>
    <w:rsid w:val="69D452CC"/>
    <w:rsid w:val="69FF6FDA"/>
    <w:rsid w:val="6A2B3221"/>
    <w:rsid w:val="6ABF7AE8"/>
    <w:rsid w:val="6ACA782C"/>
    <w:rsid w:val="6AF01C67"/>
    <w:rsid w:val="6B225676"/>
    <w:rsid w:val="6B77616A"/>
    <w:rsid w:val="6BD9034E"/>
    <w:rsid w:val="6BFD0430"/>
    <w:rsid w:val="6C9E0D79"/>
    <w:rsid w:val="6CAF37E4"/>
    <w:rsid w:val="6CE54527"/>
    <w:rsid w:val="6D0062AF"/>
    <w:rsid w:val="6D013130"/>
    <w:rsid w:val="6D182B1D"/>
    <w:rsid w:val="6D262EC1"/>
    <w:rsid w:val="6F7959D9"/>
    <w:rsid w:val="704A0919"/>
    <w:rsid w:val="70E707C8"/>
    <w:rsid w:val="716427F3"/>
    <w:rsid w:val="717E2C8D"/>
    <w:rsid w:val="72BA6194"/>
    <w:rsid w:val="733B6EF7"/>
    <w:rsid w:val="7346367A"/>
    <w:rsid w:val="74E937E0"/>
    <w:rsid w:val="751E6B28"/>
    <w:rsid w:val="757A7E5C"/>
    <w:rsid w:val="75F672F7"/>
    <w:rsid w:val="788C54D3"/>
    <w:rsid w:val="78F340F3"/>
    <w:rsid w:val="79DC3C82"/>
    <w:rsid w:val="7A283373"/>
    <w:rsid w:val="7A5D4BDC"/>
    <w:rsid w:val="7A5D7636"/>
    <w:rsid w:val="7B241BD0"/>
    <w:rsid w:val="7C0E3517"/>
    <w:rsid w:val="7CBA0364"/>
    <w:rsid w:val="7D303E9B"/>
    <w:rsid w:val="7DCE50AD"/>
    <w:rsid w:val="7E3A6B44"/>
    <w:rsid w:val="7EB22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asciiTheme="minorHAnsi" w:hAnsiTheme="minorHAnsi" w:cstheme="minorBidi"/>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2"/>
    <w:qFormat/>
    <w:uiPriority w:val="0"/>
    <w:pPr>
      <w:spacing w:after="120"/>
    </w:pPr>
    <w:rPr>
      <w:rFonts w:ascii="Calibri" w:hAnsi="Calibri" w:eastAsia="Times New Roman"/>
    </w:rPr>
  </w:style>
  <w:style w:type="paragraph" w:styleId="3">
    <w:name w:val="Subtitle"/>
    <w:basedOn w:val="1"/>
    <w:next w:val="1"/>
    <w:qFormat/>
    <w:uiPriority w:val="0"/>
    <w:pPr>
      <w:spacing w:line="360" w:lineRule="auto"/>
      <w:ind w:firstLine="200" w:firstLineChars="200"/>
      <w:jc w:val="left"/>
      <w:outlineLvl w:val="1"/>
    </w:pPr>
    <w:rPr>
      <w:rFonts w:ascii="Cambria" w:hAnsi="Cambria" w:eastAsia="楷体_GB2312"/>
      <w:bCs/>
      <w:kern w:val="28"/>
      <w:sz w:val="32"/>
      <w:szCs w:val="32"/>
    </w:rPr>
  </w:style>
  <w:style w:type="paragraph" w:styleId="4">
    <w:name w:val="Block Text"/>
    <w:basedOn w:val="1"/>
    <w:qFormat/>
    <w:uiPriority w:val="0"/>
    <w:pPr>
      <w:spacing w:before="100" w:beforeAutospacing="1"/>
      <w:ind w:left="700" w:leftChars="700" w:right="700" w:rightChars="700"/>
    </w:pPr>
  </w:style>
  <w:style w:type="paragraph" w:styleId="5">
    <w:name w:val="Plain Text"/>
    <w:basedOn w:val="1"/>
    <w:qFormat/>
    <w:uiPriority w:val="0"/>
    <w:rPr>
      <w:rFonts w:ascii="宋体" w:hAnsi="Courier New" w:eastAsia="宋体"/>
    </w:rPr>
  </w:style>
  <w:style w:type="paragraph" w:styleId="6">
    <w:name w:val="Balloon Text"/>
    <w:basedOn w:val="1"/>
    <w:link w:val="2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rPr>
      <w:rFonts w:ascii="Calibri" w:hAnsi="Calibri" w:eastAsia="宋体" w:cs="Times New Roman"/>
    </w:rPr>
  </w:style>
  <w:style w:type="paragraph" w:styleId="10">
    <w:name w:val="toc 2"/>
    <w:basedOn w:val="1"/>
    <w:next w:val="1"/>
    <w:qFormat/>
    <w:uiPriority w:val="0"/>
    <w:pPr>
      <w:ind w:left="420" w:leftChars="200"/>
    </w:pPr>
  </w:style>
  <w:style w:type="paragraph" w:styleId="11">
    <w:name w:val="HTML Preformatted"/>
    <w:basedOn w:val="1"/>
    <w:link w:val="25"/>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rPr>
  </w:style>
  <w:style w:type="paragraph" w:styleId="12">
    <w:name w:val="Title"/>
    <w:basedOn w:val="1"/>
    <w:next w:val="1"/>
    <w:qFormat/>
    <w:uiPriority w:val="0"/>
    <w:pPr>
      <w:spacing w:line="360" w:lineRule="auto"/>
      <w:ind w:firstLine="200" w:firstLineChars="200"/>
      <w:jc w:val="left"/>
      <w:outlineLvl w:val="0"/>
    </w:pPr>
    <w:rPr>
      <w:rFonts w:ascii="Cambria" w:hAnsi="Cambria" w:eastAsia="黑体"/>
      <w:bCs/>
      <w:sz w:val="32"/>
      <w:szCs w:val="32"/>
    </w:rPr>
  </w:style>
  <w:style w:type="paragraph" w:styleId="13">
    <w:name w:val="Body Text First Indent"/>
    <w:basedOn w:val="2"/>
    <w:qFormat/>
    <w:uiPriority w:val="0"/>
    <w:pPr>
      <w:ind w:firstLine="420" w:firstLineChars="100"/>
    </w:pPr>
  </w:style>
  <w:style w:type="table" w:styleId="15">
    <w:name w:val="Table Grid"/>
    <w:basedOn w:val="14"/>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qFormat/>
    <w:uiPriority w:val="0"/>
  </w:style>
  <w:style w:type="character" w:customStyle="1" w:styleId="18">
    <w:name w:val="font01"/>
    <w:basedOn w:val="16"/>
    <w:qFormat/>
    <w:uiPriority w:val="0"/>
    <w:rPr>
      <w:rFonts w:hint="eastAsia" w:ascii="宋体" w:hAnsi="宋体" w:eastAsia="宋体" w:cs="宋体"/>
      <w:color w:val="000000"/>
      <w:sz w:val="24"/>
      <w:szCs w:val="24"/>
      <w:u w:val="none"/>
    </w:rPr>
  </w:style>
  <w:style w:type="character" w:customStyle="1" w:styleId="19">
    <w:name w:val="font21"/>
    <w:basedOn w:val="16"/>
    <w:qFormat/>
    <w:uiPriority w:val="0"/>
    <w:rPr>
      <w:rFonts w:hint="eastAsia" w:ascii="仿宋_GB2312" w:eastAsia="仿宋_GB2312" w:cs="仿宋_GB2312"/>
      <w:color w:val="000000"/>
      <w:sz w:val="22"/>
      <w:szCs w:val="22"/>
      <w:u w:val="none"/>
    </w:rPr>
  </w:style>
  <w:style w:type="paragraph" w:customStyle="1" w:styleId="20">
    <w:name w:val="闻政标题5"/>
    <w:basedOn w:val="1"/>
    <w:qFormat/>
    <w:uiPriority w:val="0"/>
    <w:pPr>
      <w:spacing w:before="120" w:after="60" w:line="500" w:lineRule="exact"/>
      <w:ind w:firstLine="200" w:firstLineChars="200"/>
    </w:pPr>
    <w:rPr>
      <w:rFonts w:ascii="Times New Roman" w:hAnsi="Times New Roman"/>
      <w:b/>
      <w:sz w:val="28"/>
      <w:szCs w:val="28"/>
    </w:rPr>
  </w:style>
  <w:style w:type="character" w:customStyle="1" w:styleId="21">
    <w:name w:val="font11"/>
    <w:basedOn w:val="16"/>
    <w:qFormat/>
    <w:uiPriority w:val="0"/>
    <w:rPr>
      <w:rFonts w:hint="eastAsia" w:ascii="宋体" w:hAnsi="宋体" w:eastAsia="宋体" w:cs="宋体"/>
      <w:color w:val="000000"/>
      <w:sz w:val="22"/>
      <w:szCs w:val="22"/>
      <w:u w:val="none"/>
    </w:rPr>
  </w:style>
  <w:style w:type="character" w:customStyle="1" w:styleId="22">
    <w:name w:val="正文文本 Char"/>
    <w:basedOn w:val="16"/>
    <w:link w:val="2"/>
    <w:qFormat/>
    <w:uiPriority w:val="0"/>
    <w:rPr>
      <w:rFonts w:ascii="Calibri" w:hAnsi="Calibri" w:eastAsia="Times New Roman" w:cstheme="minorBidi"/>
      <w:kern w:val="2"/>
      <w:sz w:val="21"/>
      <w:szCs w:val="24"/>
    </w:rPr>
  </w:style>
  <w:style w:type="paragraph" w:styleId="23">
    <w:name w:val="List Paragraph"/>
    <w:basedOn w:val="1"/>
    <w:qFormat/>
    <w:uiPriority w:val="99"/>
    <w:pPr>
      <w:ind w:firstLine="420" w:firstLineChars="200"/>
    </w:pPr>
  </w:style>
  <w:style w:type="paragraph" w:customStyle="1" w:styleId="24">
    <w:name w:val="列出段落1"/>
    <w:basedOn w:val="1"/>
    <w:qFormat/>
    <w:uiPriority w:val="0"/>
    <w:pPr>
      <w:ind w:firstLine="420" w:firstLineChars="200"/>
    </w:pPr>
    <w:rPr>
      <w:rFonts w:ascii="Calibri" w:hAnsi="Calibri" w:eastAsia="宋体" w:cs="Times New Roman"/>
      <w:szCs w:val="22"/>
    </w:rPr>
  </w:style>
  <w:style w:type="character" w:customStyle="1" w:styleId="25">
    <w:name w:val="HTML 预设格式 Char"/>
    <w:basedOn w:val="16"/>
    <w:link w:val="11"/>
    <w:qFormat/>
    <w:uiPriority w:val="99"/>
    <w:rPr>
      <w:rFonts w:ascii="宋体" w:hAnsi="宋体"/>
      <w:sz w:val="24"/>
      <w:szCs w:val="24"/>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8">
    <w:name w:val="批注框文本 Char"/>
    <w:basedOn w:val="16"/>
    <w:link w:val="6"/>
    <w:qFormat/>
    <w:uiPriority w:val="0"/>
    <w:rPr>
      <w:rFonts w:eastAsia="仿宋_GB2312"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292ACB-FBB5-433D-9743-4B62C0D21567}">
  <ds:schemaRefs/>
</ds:datastoreItem>
</file>

<file path=docProps/app.xml><?xml version="1.0" encoding="utf-8"?>
<Properties xmlns="http://schemas.openxmlformats.org/officeDocument/2006/extended-properties" xmlns:vt="http://schemas.openxmlformats.org/officeDocument/2006/docPropsVTypes">
  <Template>Normal</Template>
  <Company>市委宣传部</Company>
  <Pages>52</Pages>
  <Words>18938</Words>
  <Characters>20928</Characters>
  <Lines>172</Lines>
  <Paragraphs>48</Paragraphs>
  <TotalTime>0</TotalTime>
  <ScaleCrop>false</ScaleCrop>
  <LinksUpToDate>false</LinksUpToDate>
  <CharactersWithSpaces>21071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2020-08-25T01:47:00Z</dcterms:created>
  <dc:creator>Administrator</dc:creator>
  <cp:lastModifiedBy>Administrator</cp:lastModifiedBy>
  <cp:lastPrinted>2022-11-14T09:38:00Z</cp:lastPrinted>
  <dcterms:modified xsi:type="dcterms:W3CDTF">2022-11-16T07:55:04Z</dcterms:modified>
  <cp:revision>479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C7857E535EF048B1997A0E9F6EC81F07</vt:lpwstr>
  </property>
</Properties>
</file>