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0" w:line="440" w:lineRule="exact"/>
        <w:jc w:val="center"/>
        <w:rPr>
          <w:rFonts w:ascii="方正小标宋简体" w:eastAsia="方正小标宋简体" w:cs="FZXBSJW--GB1-0" w:hAnsiTheme="minorHAnsi"/>
          <w:sz w:val="44"/>
          <w:szCs w:val="44"/>
        </w:rPr>
      </w:pPr>
      <w:r>
        <w:rPr>
          <w:rFonts w:hint="eastAsia" w:ascii="方正小标宋简体" w:eastAsia="方正小标宋简体" w:cs="FZXBSJW--GB1-0" w:hAnsiTheme="minorHAnsi"/>
          <w:sz w:val="44"/>
          <w:szCs w:val="44"/>
        </w:rPr>
        <w:t>重大行政执法决定法制审核目录清单</w:t>
      </w:r>
    </w:p>
    <w:p>
      <w:pPr>
        <w:widowControl w:val="0"/>
        <w:autoSpaceDE w:val="0"/>
        <w:autoSpaceDN w:val="0"/>
        <w:snapToGrid/>
        <w:spacing w:after="0" w:line="440" w:lineRule="exact"/>
        <w:jc w:val="center"/>
        <w:rPr>
          <w:rFonts w:ascii="方正小标宋简体" w:eastAsia="方正小标宋简体" w:cs="FZXBSJW--GB1-0" w:hAnsiTheme="minorHAnsi"/>
          <w:sz w:val="44"/>
          <w:szCs w:val="44"/>
        </w:rPr>
      </w:pPr>
    </w:p>
    <w:tbl>
      <w:tblPr>
        <w:tblStyle w:val="13"/>
        <w:tblW w:w="13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64"/>
        <w:gridCol w:w="1079"/>
        <w:gridCol w:w="1063"/>
        <w:gridCol w:w="2610"/>
        <w:gridCol w:w="1078"/>
        <w:gridCol w:w="1063"/>
        <w:gridCol w:w="1480"/>
        <w:gridCol w:w="211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651" w:type="dxa"/>
          </w:tcPr>
          <w:p>
            <w:pPr>
              <w:widowControl w:val="0"/>
              <w:autoSpaceDE w:val="0"/>
              <w:autoSpaceDN w:val="0"/>
              <w:snapToGrid/>
              <w:spacing w:after="0" w:line="50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序号</w:t>
            </w:r>
          </w:p>
        </w:tc>
        <w:tc>
          <w:tcPr>
            <w:tcW w:w="1064" w:type="dxa"/>
          </w:tcPr>
          <w:p>
            <w:pPr>
              <w:widowControl w:val="0"/>
              <w:autoSpaceDE w:val="0"/>
              <w:autoSpaceDN w:val="0"/>
              <w:snapToGrid/>
              <w:spacing w:after="0" w:line="50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执法类别</w:t>
            </w:r>
          </w:p>
        </w:tc>
        <w:tc>
          <w:tcPr>
            <w:tcW w:w="1079"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审核项目</w:t>
            </w:r>
          </w:p>
        </w:tc>
        <w:tc>
          <w:tcPr>
            <w:tcW w:w="1063"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承办机构</w:t>
            </w:r>
          </w:p>
        </w:tc>
        <w:tc>
          <w:tcPr>
            <w:tcW w:w="2610"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审核条件</w:t>
            </w:r>
          </w:p>
        </w:tc>
        <w:tc>
          <w:tcPr>
            <w:tcW w:w="1078"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审核依据</w:t>
            </w:r>
          </w:p>
        </w:tc>
        <w:tc>
          <w:tcPr>
            <w:tcW w:w="1063"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审核机构</w:t>
            </w:r>
          </w:p>
        </w:tc>
        <w:tc>
          <w:tcPr>
            <w:tcW w:w="1480"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提交审核材料</w:t>
            </w:r>
          </w:p>
        </w:tc>
        <w:tc>
          <w:tcPr>
            <w:tcW w:w="2117"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审核重点</w:t>
            </w:r>
          </w:p>
        </w:tc>
        <w:tc>
          <w:tcPr>
            <w:tcW w:w="1107"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p>
        </w:tc>
        <w:tc>
          <w:tcPr>
            <w:tcW w:w="1064"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行政处罚</w:t>
            </w:r>
          </w:p>
        </w:tc>
        <w:tc>
          <w:tcPr>
            <w:tcW w:w="1079"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适用一般程序作出的行政处罚决定</w:t>
            </w:r>
          </w:p>
        </w:tc>
        <w:tc>
          <w:tcPr>
            <w:tcW w:w="1063"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市队稽查队</w:t>
            </w:r>
          </w:p>
        </w:tc>
        <w:tc>
          <w:tcPr>
            <w:tcW w:w="2610"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拟对公民、法人或者其他组织处以5000元以上较大数额罚款的</w:t>
            </w:r>
          </w:p>
        </w:tc>
        <w:tc>
          <w:tcPr>
            <w:tcW w:w="1078"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《山西省行政执法自由裁量基准制度》</w:t>
            </w:r>
          </w:p>
        </w:tc>
        <w:tc>
          <w:tcPr>
            <w:tcW w:w="1063"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市队法制建设装备科</w:t>
            </w:r>
          </w:p>
        </w:tc>
        <w:tc>
          <w:tcPr>
            <w:tcW w:w="1480" w:type="dxa"/>
            <w:vMerge w:val="restart"/>
            <w:vAlign w:val="center"/>
          </w:tcPr>
          <w:p>
            <w:pPr>
              <w:shd w:val="clear" w:color="auto" w:fill="FFFFFF"/>
              <w:spacing w:after="0"/>
              <w:jc w:val="center"/>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现场笔录、询问笔录、勘验笔录举报笔录等；视听资料等证据资料；行政强制措施决定书、证据保存清单等；法律依据；听证笔录、评估报告；陈述申辩书等；</w:t>
            </w:r>
          </w:p>
          <w:p>
            <w:pPr>
              <w:shd w:val="clear" w:color="auto" w:fill="FFFFFF"/>
              <w:spacing w:after="0"/>
              <w:jc w:val="center"/>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其他需要提交的材料。</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7"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1.执法主体是否合法，执法人员是否具备执法资格；2.主要事实是否清楚，证据是否确凿、充分；3.适用法律、法规、规章是否准确；罚执行裁量基准是否适当；4.程序是否合法，是否充分保障行政相对人权利；</w:t>
            </w:r>
          </w:p>
        </w:tc>
        <w:tc>
          <w:tcPr>
            <w:tcW w:w="1107"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7个工作日（案件复杂或因特殊情况的，经市队负责人批准，可延长5个工作日）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3"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610"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拟做出减轻处罚或按照情节需要加重处罚的决定</w:t>
            </w:r>
          </w:p>
        </w:tc>
        <w:tc>
          <w:tcPr>
            <w:tcW w:w="1078"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w:t>
            </w:r>
            <w:bookmarkStart w:id="0" w:name="_GoBack"/>
            <w:bookmarkEnd w:id="0"/>
            <w:r>
              <w:rPr>
                <w:rFonts w:hint="eastAsia" w:cs="仿宋_GB2312" w:asciiTheme="minorEastAsia" w:hAnsiTheme="minorEastAsia" w:eastAsiaTheme="minorEastAsia"/>
                <w:sz w:val="18"/>
                <w:szCs w:val="18"/>
              </w:rPr>
              <w:t>中华人民共和国行政处罚法》第二十七条</w:t>
            </w:r>
          </w:p>
        </w:tc>
        <w:tc>
          <w:tcPr>
            <w:tcW w:w="1063"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480"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7"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1.有无构成依法从轻或者减轻行政处罚的法律要件；2.需要作出具体规定的，必须在法律规定的给予行政处罚的行为、种类和幅度的范围内；</w:t>
            </w:r>
          </w:p>
        </w:tc>
        <w:tc>
          <w:tcPr>
            <w:tcW w:w="1107"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p>
        </w:tc>
        <w:tc>
          <w:tcPr>
            <w:tcW w:w="1064"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行政强制</w:t>
            </w:r>
          </w:p>
        </w:tc>
        <w:tc>
          <w:tcPr>
            <w:tcW w:w="1079" w:type="dxa"/>
            <w:vMerge w:val="restart"/>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依法对公民、法人或者其他组织的财物实施暂时性控制的行为及行政机关对不履行行政决定的公民、法人或者其他组织，依法强制履行义务的行为</w:t>
            </w:r>
          </w:p>
        </w:tc>
        <w:tc>
          <w:tcPr>
            <w:tcW w:w="1063"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市队稽查队</w:t>
            </w:r>
          </w:p>
        </w:tc>
        <w:tc>
          <w:tcPr>
            <w:tcW w:w="2610" w:type="dxa"/>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重大行政强制措施：1.查封公民、法人或者其他组织生产、经营场所；2.查封公民、法人或者其他组织主要生产、经营设施；3.查封、扣押公民财物，标的金额5000元以上的；查封、扣押法人或者其他组织财物，标的金额10万元以上的。</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8"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w:t>
            </w:r>
            <w:r>
              <w:rPr>
                <w:rFonts w:hint="eastAsia" w:cs="仿宋_GB2312" w:asciiTheme="minorEastAsia" w:hAnsiTheme="minorEastAsia" w:eastAsiaTheme="minorEastAsia"/>
                <w:sz w:val="18"/>
                <w:szCs w:val="18"/>
                <w:lang w:eastAsia="zh-CN"/>
              </w:rPr>
              <w:t>行政</w:t>
            </w:r>
            <w:r>
              <w:rPr>
                <w:rFonts w:hint="eastAsia" w:cs="仿宋_GB2312" w:asciiTheme="minorEastAsia" w:hAnsiTheme="minorEastAsia" w:eastAsiaTheme="minorEastAsia"/>
                <w:sz w:val="18"/>
                <w:szCs w:val="18"/>
              </w:rPr>
              <w:t>强制法》第四条、第四十四条、第七十条</w:t>
            </w:r>
          </w:p>
        </w:tc>
        <w:tc>
          <w:tcPr>
            <w:tcW w:w="1063"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市队法制建设装备科</w:t>
            </w:r>
          </w:p>
        </w:tc>
        <w:tc>
          <w:tcPr>
            <w:tcW w:w="1480" w:type="dxa"/>
            <w:vMerge w:val="restart"/>
            <w:vAlign w:val="center"/>
          </w:tcPr>
          <w:p>
            <w:pPr>
              <w:shd w:val="clear" w:color="auto" w:fill="FFFFFF"/>
              <w:spacing w:after="0"/>
              <w:jc w:val="both"/>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立案审批表、现场笔录、询问笔录、勘验笔录举报笔录等；视听资料等证据资料；行政强制措施决定书、证据保存清单等；法律依据；听证笔录、评估报告；陈述申辩书等；</w:t>
            </w:r>
          </w:p>
          <w:p>
            <w:pPr>
              <w:shd w:val="clear" w:color="auto" w:fill="FFFFFF"/>
              <w:spacing w:after="0"/>
              <w:jc w:val="both"/>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其他需要提交的材料。</w:t>
            </w:r>
          </w:p>
          <w:p>
            <w:pPr>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（1.重大行政强制执行决定调查终结报告；2.重大行政强制执行决定；3.重大行政强制执行决定书代拟稿；4.相关证据材料；5.其它需要提交的材料。）</w:t>
            </w:r>
          </w:p>
          <w:p>
            <w:pPr>
              <w:shd w:val="clear" w:color="auto" w:fill="FFFFFF"/>
              <w:spacing w:after="0"/>
              <w:jc w:val="both"/>
              <w:textAlignment w:val="baseline"/>
              <w:rPr>
                <w:rFonts w:cs="仿宋_GB2312" w:asciiTheme="minorEastAsia" w:hAnsiTheme="minorEastAsia" w:eastAsiaTheme="minorEastAsia"/>
                <w:sz w:val="18"/>
                <w:szCs w:val="18"/>
              </w:rPr>
            </w:pPr>
          </w:p>
          <w:p>
            <w:pPr>
              <w:widowControl w:val="0"/>
              <w:autoSpaceDE w:val="0"/>
              <w:autoSpaceDN w:val="0"/>
              <w:snapToGrid/>
              <w:spacing w:after="0"/>
              <w:jc w:val="both"/>
              <w:rPr>
                <w:rFonts w:cs="仿宋_GB2312" w:asciiTheme="minorEastAsia" w:hAnsiTheme="minorEastAsia" w:eastAsiaTheme="minorEastAsia"/>
                <w:sz w:val="18"/>
                <w:szCs w:val="18"/>
              </w:rPr>
            </w:pPr>
          </w:p>
        </w:tc>
        <w:tc>
          <w:tcPr>
            <w:tcW w:w="2117" w:type="dxa"/>
            <w:vMerge w:val="restart"/>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1.公民、法人或者其他组织对行政机关实施行政强制，享有陈述权、申辩权；有权依法申请行政复</w:t>
            </w:r>
          </w:p>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议或者提起行政诉讼；2.行政机关履行行政管理职责，依照法律、法规的规定，实施行政强制措施；3.行政机关在法定职权范围内实施。4.行政强制措施应当由行政机关具备资格的行政执法人员实施，其他人员不得实施。5.行政机关实施行政强制措施应当遵守下列规定：（1）实施前须向行政机关负责人报告并经批准；（2）由两名以上行政执法人员实施，并出示执法身份证件；（3）通知当事人到场；（4）当场告知当事人采取行政强制措施的理由、依据以及当事人依法享有的权利、救济途径；（5）听取当事人的陈述和申辩；（6）法律、法规规定的其他程序。</w:t>
            </w:r>
          </w:p>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是否属于重大行政执法决定；2.行政执法机关主体是否合法，行政执法人员是否具备执法资格。3.适用法律、法规、规章是否准确；4.程序是否合法；5.是否有超越本机关职权范围或滥用职权的情形；6.执法文书是否规范、齐备；7.违法行为是否涉嫌犯罪需要移送司法机关；8.其他应当审核的内容。）</w:t>
            </w:r>
          </w:p>
        </w:tc>
        <w:tc>
          <w:tcPr>
            <w:tcW w:w="1107"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7个工作日（案件复杂或因特殊情况的，经市队负责人批准，可延长5个工作日）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continue"/>
            <w:vAlign w:val="center"/>
          </w:tcPr>
          <w:p>
            <w:pPr>
              <w:widowControl w:val="0"/>
              <w:autoSpaceDE w:val="0"/>
              <w:autoSpaceDN w:val="0"/>
              <w:snapToGrid/>
              <w:spacing w:after="0"/>
              <w:jc w:val="both"/>
              <w:rPr>
                <w:rFonts w:cs="仿宋_GB2312" w:asciiTheme="minorEastAsia" w:hAnsiTheme="minorEastAsia" w:eastAsiaTheme="minorEastAsia"/>
                <w:sz w:val="18"/>
                <w:szCs w:val="18"/>
              </w:rPr>
            </w:pPr>
          </w:p>
        </w:tc>
        <w:tc>
          <w:tcPr>
            <w:tcW w:w="1063"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610" w:type="dxa"/>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重大行政强制执行：1.拍卖或者依法处理查封的公民、法人或者其他组织生产、经营场所；2.拍卖或者依法处理查封的公民、法人或者其他组织主要生产、经营设施；3.拍卖或者依法处理查封、扣押的公民财物，标的金额5000元以上的；拍卖或者依法处理查封、扣押的法人或者其他组织财物，标的金额10万元以上的；4.强制拆除违法的建筑物、构筑物或者设施等；5.代履行，履行费用5000元以上的。</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8"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3"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480"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7"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107"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r>
    </w:tbl>
    <w:p>
      <w:pPr>
        <w:widowControl w:val="0"/>
        <w:autoSpaceDE w:val="0"/>
        <w:autoSpaceDN w:val="0"/>
        <w:snapToGrid/>
        <w:spacing w:after="0" w:line="500" w:lineRule="exact"/>
        <w:rPr>
          <w:rFonts w:ascii="仿宋_GB2312" w:eastAsia="仿宋_GB2312" w:cs="仿宋_GB2312" w:hAnsiTheme="minorHAnsi"/>
          <w:sz w:val="32"/>
          <w:szCs w:val="32"/>
        </w:rPr>
      </w:pPr>
    </w:p>
    <w:p>
      <w:pPr>
        <w:spacing w:line="600" w:lineRule="exact"/>
        <w:rPr>
          <w:rFonts w:ascii="仿宋_GB2312" w:hAnsi="方正小标宋简体" w:eastAsia="仿宋_GB2312" w:cs="方正小标宋简体"/>
          <w:kern w:val="2"/>
          <w:sz w:val="32"/>
          <w:szCs w:val="32"/>
        </w:rPr>
      </w:pPr>
    </w:p>
    <w:sectPr>
      <w:headerReference r:id="rId3" w:type="default"/>
      <w:footerReference r:id="rId4" w:type="default"/>
      <w:pgSz w:w="16838" w:h="11906" w:orient="landscape"/>
      <w:pgMar w:top="1474" w:right="1871" w:bottom="1587" w:left="1871" w:header="851" w:footer="1417"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FZXBSJW--GB1-0">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53249" o:spid="_x0000_s532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joinstyle="miter"/>
          <v:imagedata o:title=""/>
          <o:lock v:ext="edit"/>
          <v:textbox inset="0mm,0mm,0mm,0mm" style="mso-fit-shape-to-text:t;">
            <w:txbxContent>
              <w:p>
                <w:pPr>
                  <w:pStyle w:val="6"/>
                  <w:rPr>
                    <w:rFonts w:ascii="宋体"/>
                    <w:sz w:val="28"/>
                  </w:rPr>
                </w:pPr>
                <w:r>
                  <w:rPr>
                    <w:rFonts w:ascii="宋体" w:hAnsi="宋体"/>
                    <w:color w:val="FFFFFF"/>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r>
                  <w:rPr>
                    <w:rFonts w:ascii="宋体" w:hAnsi="宋体"/>
                    <w:color w:val="FFFFFF"/>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52"/>
    </o:shapelayout>
  </w:hdrShapeDefaults>
  <w:compat>
    <w:useFELayout/>
    <w:compatSetting w:name="compatibilityMode" w:uri="http://schemas.microsoft.com/office/word" w:val="12"/>
  </w:compat>
  <w:rsids>
    <w:rsidRoot w:val="00D31D50"/>
    <w:rsid w:val="00006CA4"/>
    <w:rsid w:val="000072E9"/>
    <w:rsid w:val="0003294F"/>
    <w:rsid w:val="00055DE7"/>
    <w:rsid w:val="0007513C"/>
    <w:rsid w:val="000B522B"/>
    <w:rsid w:val="000C2885"/>
    <w:rsid w:val="000D6E13"/>
    <w:rsid w:val="000E3C89"/>
    <w:rsid w:val="001509C5"/>
    <w:rsid w:val="00155AB2"/>
    <w:rsid w:val="00170D0C"/>
    <w:rsid w:val="0018477A"/>
    <w:rsid w:val="0018677B"/>
    <w:rsid w:val="00191A56"/>
    <w:rsid w:val="001A7C7F"/>
    <w:rsid w:val="001C4D54"/>
    <w:rsid w:val="001D72DC"/>
    <w:rsid w:val="001F5A33"/>
    <w:rsid w:val="00206CFC"/>
    <w:rsid w:val="00220873"/>
    <w:rsid w:val="00257B4C"/>
    <w:rsid w:val="00283484"/>
    <w:rsid w:val="002D6F9B"/>
    <w:rsid w:val="002E1A18"/>
    <w:rsid w:val="002F224E"/>
    <w:rsid w:val="00310C0B"/>
    <w:rsid w:val="00313E5A"/>
    <w:rsid w:val="00321369"/>
    <w:rsid w:val="00323B43"/>
    <w:rsid w:val="00331074"/>
    <w:rsid w:val="00342902"/>
    <w:rsid w:val="003614D3"/>
    <w:rsid w:val="003636A1"/>
    <w:rsid w:val="00374BD7"/>
    <w:rsid w:val="00385E8E"/>
    <w:rsid w:val="0038754C"/>
    <w:rsid w:val="00396163"/>
    <w:rsid w:val="003D37D8"/>
    <w:rsid w:val="003F574E"/>
    <w:rsid w:val="0040381D"/>
    <w:rsid w:val="00404405"/>
    <w:rsid w:val="00426133"/>
    <w:rsid w:val="0042762F"/>
    <w:rsid w:val="004358AB"/>
    <w:rsid w:val="0044280B"/>
    <w:rsid w:val="00490818"/>
    <w:rsid w:val="004B1DC3"/>
    <w:rsid w:val="005144B9"/>
    <w:rsid w:val="005360F1"/>
    <w:rsid w:val="005573AF"/>
    <w:rsid w:val="005E03DF"/>
    <w:rsid w:val="005E4C9E"/>
    <w:rsid w:val="00602C6A"/>
    <w:rsid w:val="007132D5"/>
    <w:rsid w:val="007212C1"/>
    <w:rsid w:val="00760B84"/>
    <w:rsid w:val="00774C91"/>
    <w:rsid w:val="00784059"/>
    <w:rsid w:val="007A6916"/>
    <w:rsid w:val="007C334B"/>
    <w:rsid w:val="007D27A6"/>
    <w:rsid w:val="007D7B94"/>
    <w:rsid w:val="007F3945"/>
    <w:rsid w:val="007F7FAA"/>
    <w:rsid w:val="00820609"/>
    <w:rsid w:val="00834980"/>
    <w:rsid w:val="008401A1"/>
    <w:rsid w:val="008748E4"/>
    <w:rsid w:val="00883403"/>
    <w:rsid w:val="00884929"/>
    <w:rsid w:val="008B7726"/>
    <w:rsid w:val="008C01D4"/>
    <w:rsid w:val="008C0E44"/>
    <w:rsid w:val="008D102B"/>
    <w:rsid w:val="008D6869"/>
    <w:rsid w:val="008E778A"/>
    <w:rsid w:val="009A4A46"/>
    <w:rsid w:val="009B5DA4"/>
    <w:rsid w:val="009C2818"/>
    <w:rsid w:val="009C35FD"/>
    <w:rsid w:val="009C62BE"/>
    <w:rsid w:val="009D358C"/>
    <w:rsid w:val="009D6086"/>
    <w:rsid w:val="009E47A7"/>
    <w:rsid w:val="009F3C9E"/>
    <w:rsid w:val="009F7139"/>
    <w:rsid w:val="00A32E14"/>
    <w:rsid w:val="00A46AC3"/>
    <w:rsid w:val="00A634E7"/>
    <w:rsid w:val="00A75235"/>
    <w:rsid w:val="00A84208"/>
    <w:rsid w:val="00A91A27"/>
    <w:rsid w:val="00AA078F"/>
    <w:rsid w:val="00AE5D95"/>
    <w:rsid w:val="00AF5D91"/>
    <w:rsid w:val="00B36B05"/>
    <w:rsid w:val="00B46C04"/>
    <w:rsid w:val="00B74B2E"/>
    <w:rsid w:val="00B801EC"/>
    <w:rsid w:val="00B87EF9"/>
    <w:rsid w:val="00BC07E4"/>
    <w:rsid w:val="00BD02A3"/>
    <w:rsid w:val="00BF49BB"/>
    <w:rsid w:val="00C052F0"/>
    <w:rsid w:val="00C64C27"/>
    <w:rsid w:val="00C93A77"/>
    <w:rsid w:val="00CA3169"/>
    <w:rsid w:val="00CC4A65"/>
    <w:rsid w:val="00CD257C"/>
    <w:rsid w:val="00D2248D"/>
    <w:rsid w:val="00D31D50"/>
    <w:rsid w:val="00D97114"/>
    <w:rsid w:val="00DD59BD"/>
    <w:rsid w:val="00E20BB1"/>
    <w:rsid w:val="00E3346E"/>
    <w:rsid w:val="00E42833"/>
    <w:rsid w:val="00E61E69"/>
    <w:rsid w:val="00E86D1F"/>
    <w:rsid w:val="00E9271A"/>
    <w:rsid w:val="00ED33C1"/>
    <w:rsid w:val="00F26893"/>
    <w:rsid w:val="00F268D9"/>
    <w:rsid w:val="00F3797D"/>
    <w:rsid w:val="00F46411"/>
    <w:rsid w:val="00FB0135"/>
    <w:rsid w:val="00FD488C"/>
    <w:rsid w:val="0F51196F"/>
    <w:rsid w:val="5FB53A4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unhideWhenUsed/>
    <w:uiPriority w:val="99"/>
    <w:pPr>
      <w:spacing w:after="0"/>
    </w:pPr>
    <w:rPr>
      <w:sz w:val="18"/>
      <w:szCs w:val="18"/>
    </w:rPr>
  </w:style>
  <w:style w:type="paragraph" w:styleId="6">
    <w:name w:val="footer"/>
    <w:basedOn w:val="1"/>
    <w:link w:val="23"/>
    <w:unhideWhenUsed/>
    <w:qFormat/>
    <w:uiPriority w:val="0"/>
    <w:pPr>
      <w:tabs>
        <w:tab w:val="center" w:pos="4153"/>
        <w:tab w:val="right" w:pos="8306"/>
      </w:tabs>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table" w:styleId="13">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2 Char"/>
    <w:basedOn w:val="9"/>
    <w:link w:val="3"/>
    <w:qFormat/>
    <w:uiPriority w:val="9"/>
    <w:rPr>
      <w:rFonts w:ascii="宋体" w:hAnsi="宋体" w:eastAsia="宋体" w:cs="宋体"/>
      <w:b/>
      <w:bCs/>
      <w:sz w:val="36"/>
      <w:szCs w:val="36"/>
    </w:rPr>
  </w:style>
  <w:style w:type="character" w:customStyle="1" w:styleId="15">
    <w:name w:val="grey"/>
    <w:basedOn w:val="9"/>
    <w:uiPriority w:val="0"/>
  </w:style>
  <w:style w:type="paragraph" w:customStyle="1" w:styleId="16">
    <w:name w:val="summary"/>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7">
    <w:name w:val="List Paragraph"/>
    <w:basedOn w:val="1"/>
    <w:qFormat/>
    <w:uiPriority w:val="34"/>
    <w:pPr>
      <w:ind w:firstLine="420" w:firstLineChars="200"/>
    </w:pPr>
  </w:style>
  <w:style w:type="character" w:customStyle="1" w:styleId="18">
    <w:name w:val="标题 3 Char"/>
    <w:basedOn w:val="9"/>
    <w:link w:val="4"/>
    <w:qFormat/>
    <w:uiPriority w:val="9"/>
    <w:rPr>
      <w:rFonts w:ascii="Tahoma" w:hAnsi="Tahoma"/>
      <w:b/>
      <w:bCs/>
      <w:sz w:val="32"/>
      <w:szCs w:val="32"/>
    </w:rPr>
  </w:style>
  <w:style w:type="character" w:customStyle="1" w:styleId="19">
    <w:name w:val="p_r201"/>
    <w:basedOn w:val="9"/>
    <w:qFormat/>
    <w:uiPriority w:val="0"/>
  </w:style>
  <w:style w:type="character" w:customStyle="1" w:styleId="20">
    <w:name w:val="标题 1 Char"/>
    <w:basedOn w:val="9"/>
    <w:link w:val="2"/>
    <w:uiPriority w:val="9"/>
    <w:rPr>
      <w:rFonts w:ascii="Tahoma" w:hAnsi="Tahoma"/>
      <w:b/>
      <w:bCs/>
      <w:kern w:val="44"/>
      <w:sz w:val="44"/>
      <w:szCs w:val="44"/>
    </w:rPr>
  </w:style>
  <w:style w:type="character" w:customStyle="1" w:styleId="21">
    <w:name w:val="批注框文本 Char"/>
    <w:basedOn w:val="9"/>
    <w:link w:val="5"/>
    <w:semiHidden/>
    <w:uiPriority w:val="99"/>
    <w:rPr>
      <w:rFonts w:ascii="Tahoma" w:hAnsi="Tahoma"/>
      <w:sz w:val="18"/>
      <w:szCs w:val="18"/>
    </w:rPr>
  </w:style>
  <w:style w:type="character" w:customStyle="1" w:styleId="22">
    <w:name w:val="页眉 Char"/>
    <w:basedOn w:val="9"/>
    <w:link w:val="7"/>
    <w:semiHidden/>
    <w:uiPriority w:val="99"/>
    <w:rPr>
      <w:rFonts w:ascii="Tahoma" w:hAnsi="Tahoma"/>
      <w:sz w:val="18"/>
      <w:szCs w:val="18"/>
    </w:rPr>
  </w:style>
  <w:style w:type="character" w:customStyle="1" w:styleId="23">
    <w:name w:val="页脚 Char"/>
    <w:basedOn w:val="9"/>
    <w:link w:val="6"/>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32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233</Words>
  <Characters>1331</Characters>
  <Lines>11</Lines>
  <Paragraphs>3</Paragraphs>
  <ScaleCrop>false</ScaleCrop>
  <LinksUpToDate>false</LinksUpToDate>
  <CharactersWithSpaces>1561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2019-12-01T09:15:00Z</cp:lastPrinted>
  <dcterms:modified xsi:type="dcterms:W3CDTF">2022-06-29T04:05:00Z</dcterms:modified>
  <dc:title>重大行政执法决定法制审核目录清单</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