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keepNext w:val="0"/>
        <w:keepLines w:val="0"/>
        <w:pageBreakBefore w:val="0"/>
        <w:widowControl w:val="0"/>
        <w:kinsoku/>
        <w:wordWrap/>
        <w:overflowPunct/>
        <w:topLinePunct w:val="0"/>
        <w:autoSpaceDE/>
        <w:autoSpaceDN/>
        <w:bidi w:val="0"/>
        <w:adjustRightInd/>
        <w:snapToGrid/>
        <w:spacing w:line="600" w:lineRule="exact"/>
        <w:textAlignment w:val="auto"/>
        <w:rPr>
          <w:rFonts w:ascii="仿宋" w:hAnsi="仿宋" w:eastAsia="仿宋" w:cs="仿宋"/>
          <w:sz w:val="44"/>
          <w:szCs w:val="44"/>
        </w:rPr>
      </w:pPr>
    </w:p>
    <w:p>
      <w:pPr>
        <w:pStyle w:val="7"/>
        <w:keepNext w:val="0"/>
        <w:keepLines w:val="0"/>
        <w:pageBreakBefore w:val="0"/>
        <w:widowControl w:val="0"/>
        <w:kinsoku/>
        <w:wordWrap/>
        <w:overflowPunct/>
        <w:topLinePunct w:val="0"/>
        <w:autoSpaceDE/>
        <w:autoSpaceDN/>
        <w:bidi w:val="0"/>
        <w:adjustRightInd/>
        <w:snapToGrid/>
        <w:spacing w:line="600" w:lineRule="exact"/>
        <w:textAlignment w:val="auto"/>
        <w:rPr>
          <w:sz w:val="44"/>
          <w:szCs w:val="44"/>
        </w:rPr>
      </w:pPr>
    </w:p>
    <w:p>
      <w:pPr>
        <w:pStyle w:val="7"/>
        <w:keepNext w:val="0"/>
        <w:keepLines w:val="0"/>
        <w:pageBreakBefore w:val="0"/>
        <w:widowControl w:val="0"/>
        <w:kinsoku/>
        <w:wordWrap/>
        <w:overflowPunct/>
        <w:topLinePunct w:val="0"/>
        <w:autoSpaceDE/>
        <w:autoSpaceDN/>
        <w:bidi w:val="0"/>
        <w:adjustRightInd/>
        <w:snapToGrid/>
        <w:spacing w:line="600" w:lineRule="exact"/>
        <w:textAlignment w:val="auto"/>
        <w:rPr>
          <w:sz w:val="44"/>
          <w:szCs w:val="44"/>
        </w:rPr>
      </w:pPr>
    </w:p>
    <w:p>
      <w:pPr>
        <w:pStyle w:val="7"/>
        <w:keepNext w:val="0"/>
        <w:keepLines w:val="0"/>
        <w:pageBreakBefore w:val="0"/>
        <w:widowControl w:val="0"/>
        <w:kinsoku/>
        <w:wordWrap/>
        <w:overflowPunct/>
        <w:topLinePunct w:val="0"/>
        <w:autoSpaceDE/>
        <w:autoSpaceDN/>
        <w:bidi w:val="0"/>
        <w:adjustRightInd/>
        <w:snapToGrid/>
        <w:spacing w:line="600" w:lineRule="exact"/>
        <w:textAlignment w:val="auto"/>
        <w:rPr>
          <w:rFonts w:eastAsia="Times New Roman"/>
          <w:sz w:val="44"/>
          <w:szCs w:val="44"/>
        </w:rPr>
      </w:pPr>
      <w:r>
        <w:rPr>
          <w:rFonts w:eastAsia="Times New Roman"/>
          <w:sz w:val="44"/>
          <w:szCs w:val="44"/>
        </w:rPr>
        <w:t xml:space="preserve">            </w:t>
      </w:r>
    </w:p>
    <w:p>
      <w:pPr>
        <w:pStyle w:val="7"/>
        <w:keepNext w:val="0"/>
        <w:keepLines w:val="0"/>
        <w:pageBreakBefore w:val="0"/>
        <w:widowControl w:val="0"/>
        <w:kinsoku/>
        <w:wordWrap/>
        <w:overflowPunct/>
        <w:topLinePunct w:val="0"/>
        <w:autoSpaceDE/>
        <w:autoSpaceDN/>
        <w:bidi w:val="0"/>
        <w:adjustRightInd/>
        <w:snapToGrid/>
        <w:spacing w:line="600" w:lineRule="exact"/>
        <w:textAlignment w:val="auto"/>
        <w:rPr>
          <w:rFonts w:eastAsia="Times New Roman"/>
          <w:sz w:val="28"/>
          <w:szCs w:val="28"/>
        </w:rPr>
      </w:pPr>
    </w:p>
    <w:p>
      <w:pPr>
        <w:pStyle w:val="7"/>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ascii="仿宋" w:hAnsi="仿宋" w:eastAsia="仿宋" w:cs="仿宋"/>
          <w:sz w:val="32"/>
          <w:szCs w:val="32"/>
        </w:rPr>
      </w:pPr>
    </w:p>
    <w:p>
      <w:pPr>
        <w:pStyle w:val="7"/>
        <w:bidi w:val="0"/>
        <w:spacing w:beforeLines="65" w:afterLines="0" w:line="760" w:lineRule="atLeast"/>
        <w:jc w:val="center"/>
        <w:rPr>
          <w:rFonts w:hint="eastAsia" w:ascii="CESI仿宋-GB2312" w:hAnsi="CESI仿宋-GB2312" w:eastAsia="CESI仿宋-GB2312" w:cs="CESI仿宋-GB2312"/>
        </w:rPr>
      </w:pPr>
      <w:r>
        <w:rPr>
          <w:rFonts w:hint="eastAsia" w:ascii="CESI仿宋-GB2312" w:hAnsi="CESI仿宋-GB2312" w:eastAsia="CESI仿宋-GB2312" w:cs="CESI仿宋-GB2312"/>
          <w:sz w:val="32"/>
        </w:rPr>
        <w:t>运应急发〔2021〕</w:t>
      </w:r>
      <w:r>
        <w:rPr>
          <w:rFonts w:hint="default" w:ascii="CESI仿宋-GB2312" w:hAnsi="CESI仿宋-GB2312" w:eastAsia="CESI仿宋-GB2312" w:cs="CESI仿宋-GB2312"/>
          <w:sz w:val="32"/>
          <w:lang w:val="en" w:eastAsia="zh-CN"/>
        </w:rPr>
        <w:t>119</w:t>
      </w:r>
      <w:r>
        <w:rPr>
          <w:rFonts w:hint="eastAsia" w:ascii="CESI仿宋-GB2312" w:hAnsi="CESI仿宋-GB2312" w:eastAsia="CESI仿宋-GB2312" w:cs="CESI仿宋-GB2312"/>
          <w:sz w:val="32"/>
        </w:rPr>
        <w:t>号</w:t>
      </w:r>
    </w:p>
    <w:p>
      <w:pPr>
        <w:pStyle w:val="7"/>
        <w:bidi w:val="0"/>
        <w:spacing w:line="400" w:lineRule="atLeast"/>
        <w:jc w:val="center"/>
        <w:rPr>
          <w:rFonts w:ascii="仿宋" w:hAnsi="仿宋" w:eastAsia="仿宋" w:cs="仿宋"/>
          <w:sz w:val="3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CESI小标宋-GB2312" w:hAnsi="CESI小标宋-GB2312" w:eastAsia="CESI小标宋-GB2312" w:cs="CESI小标宋-GB2312"/>
          <w:sz w:val="44"/>
          <w:szCs w:val="44"/>
          <w:lang w:eastAsia="zh-CN"/>
        </w:rPr>
      </w:pPr>
      <w:r>
        <w:rPr>
          <w:rFonts w:hint="eastAsia" w:ascii="CESI小标宋-GB13000" w:hAnsi="CESI小标宋-GB13000" w:eastAsia="CESI小标宋-GB13000" w:cs="CESI小标宋-GB13000"/>
          <w:color w:val="000000"/>
          <w:sz w:val="44"/>
          <w:szCs w:val="44"/>
          <w:lang w:eastAsia="zh-CN"/>
        </w:rPr>
        <w:t>运城市</w:t>
      </w:r>
      <w:r>
        <w:rPr>
          <w:rFonts w:hint="eastAsia" w:ascii="CESI小标宋-GB13000" w:hAnsi="CESI小标宋-GB13000" w:eastAsia="CESI小标宋-GB13000" w:cs="CESI小标宋-GB13000"/>
          <w:color w:val="000000"/>
          <w:sz w:val="44"/>
          <w:szCs w:val="44"/>
        </w:rPr>
        <w:t>应急管理</w:t>
      </w:r>
      <w:r>
        <w:rPr>
          <w:rFonts w:hint="eastAsia" w:ascii="CESI小标宋-GB13000" w:hAnsi="CESI小标宋-GB13000" w:eastAsia="CESI小标宋-GB13000" w:cs="CESI小标宋-GB13000"/>
          <w:color w:val="000000"/>
          <w:sz w:val="44"/>
          <w:szCs w:val="44"/>
          <w:lang w:eastAsia="zh-CN"/>
        </w:rPr>
        <w:t>局</w:t>
      </w:r>
      <w:r>
        <w:rPr>
          <w:rFonts w:hint="eastAsia" w:ascii="CESI小标宋-GB2312" w:hAnsi="CESI小标宋-GB2312" w:eastAsia="CESI小标宋-GB2312" w:cs="CESI小标宋-GB2312"/>
          <w:sz w:val="44"/>
          <w:szCs w:val="44"/>
          <w:lang w:eastAsia="zh-CN"/>
        </w:rPr>
        <w:t>关于开展无仓</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CESI小标宋-GB2312" w:hAnsi="CESI小标宋-GB2312" w:eastAsia="CESI小标宋-GB2312" w:cs="CESI小标宋-GB2312"/>
          <w:sz w:val="44"/>
          <w:szCs w:val="44"/>
          <w:lang w:eastAsia="zh-CN"/>
        </w:rPr>
      </w:pPr>
      <w:r>
        <w:rPr>
          <w:rFonts w:hint="eastAsia" w:ascii="CESI小标宋-GB2312" w:hAnsi="CESI小标宋-GB2312" w:eastAsia="CESI小标宋-GB2312" w:cs="CESI小标宋-GB2312"/>
          <w:sz w:val="44"/>
          <w:szCs w:val="44"/>
          <w:lang w:eastAsia="zh-CN"/>
        </w:rPr>
        <w:t>储危险化学品经营专项整治工作的通知</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CESI仿宋-GB2312" w:hAnsi="CESI仿宋-GB2312" w:eastAsia="CESI仿宋-GB2312" w:cs="CESI仿宋-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650" w:lineRule="exact"/>
        <w:textAlignment w:val="auto"/>
        <w:rPr>
          <w:rFonts w:hint="eastAsia" w:ascii="CESI仿宋-GB2312" w:hAnsi="CESI仿宋-GB2312" w:eastAsia="CESI仿宋-GB2312" w:cs="CESI仿宋-GB2312"/>
          <w:sz w:val="32"/>
          <w:szCs w:val="32"/>
          <w:lang w:eastAsia="zh-CN"/>
        </w:rPr>
      </w:pPr>
      <w:r>
        <w:rPr>
          <w:rFonts w:hint="eastAsia" w:ascii="CESI仿宋-GB2312" w:hAnsi="CESI仿宋-GB2312" w:eastAsia="CESI仿宋-GB2312" w:cs="CESI仿宋-GB2312"/>
          <w:sz w:val="32"/>
          <w:szCs w:val="32"/>
          <w:lang w:eastAsia="zh-CN"/>
        </w:rPr>
        <w:t>各县（市、区）应急管理局、运城市经济技术开发区安全监管部：</w:t>
      </w:r>
    </w:p>
    <w:p>
      <w:pPr>
        <w:keepNext w:val="0"/>
        <w:keepLines w:val="0"/>
        <w:pageBreakBefore w:val="0"/>
        <w:widowControl w:val="0"/>
        <w:kinsoku/>
        <w:wordWrap/>
        <w:overflowPunct/>
        <w:topLinePunct w:val="0"/>
        <w:autoSpaceDE/>
        <w:autoSpaceDN/>
        <w:bidi w:val="0"/>
        <w:adjustRightInd/>
        <w:snapToGrid/>
        <w:spacing w:line="650" w:lineRule="exact"/>
        <w:ind w:firstLine="640" w:firstLineChars="200"/>
        <w:textAlignment w:val="auto"/>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为进一步规范我市无仓储危险学品经营秩序，全面整治无仓储危险化学品经营违法违规行为，及时防范安全风险，消除事故隐患，按照山西省人民政府办公厅《关于印发山西省安全生产专项整治三年行动计划的通知》（晋政办发【2020】45号文件）中关于危险化学品三年专项整治行动的有关要求，根据市应急管理局党委研究和上级统一部暑安排，决定在全市范围内开展无仓储危险化学品经营专项整治工作，现将有关事项通知如下：</w:t>
      </w:r>
    </w:p>
    <w:p>
      <w:pPr>
        <w:keepNext w:val="0"/>
        <w:keepLines w:val="0"/>
        <w:pageBreakBefore w:val="0"/>
        <w:widowControl w:val="0"/>
        <w:numPr>
          <w:ilvl w:val="0"/>
          <w:numId w:val="0"/>
        </w:numPr>
        <w:kinsoku/>
        <w:wordWrap/>
        <w:overflowPunct/>
        <w:topLinePunct w:val="0"/>
        <w:autoSpaceDE/>
        <w:autoSpaceDN/>
        <w:bidi w:val="0"/>
        <w:adjustRightInd/>
        <w:snapToGrid/>
        <w:spacing w:line="650" w:lineRule="exact"/>
        <w:ind w:left="160" w:leftChars="0" w:firstLine="640" w:firstLineChars="200"/>
        <w:textAlignment w:val="auto"/>
        <w:rPr>
          <w:rFonts w:hint="eastAsia" w:ascii="CESI黑体-GB2312" w:hAnsi="CESI黑体-GB2312" w:eastAsia="CESI黑体-GB2312" w:cs="CESI黑体-GB2312"/>
          <w:sz w:val="32"/>
          <w:szCs w:val="32"/>
          <w:lang w:val="en-US" w:eastAsia="zh-CN"/>
        </w:rPr>
      </w:pPr>
      <w:r>
        <w:rPr>
          <w:rFonts w:hint="eastAsia" w:ascii="CESI黑体-GB2312" w:hAnsi="CESI黑体-GB2312" w:eastAsia="CESI黑体-GB2312" w:cs="CESI黑体-GB2312"/>
          <w:sz w:val="32"/>
          <w:szCs w:val="32"/>
          <w:lang w:val="en-US" w:eastAsia="zh-CN"/>
        </w:rPr>
        <w:t>一、整治目标</w:t>
      </w:r>
    </w:p>
    <w:p>
      <w:pPr>
        <w:keepNext w:val="0"/>
        <w:keepLines w:val="0"/>
        <w:pageBreakBefore w:val="0"/>
        <w:widowControl w:val="0"/>
        <w:numPr>
          <w:ilvl w:val="0"/>
          <w:numId w:val="0"/>
        </w:numPr>
        <w:kinsoku/>
        <w:wordWrap/>
        <w:overflowPunct/>
        <w:topLinePunct w:val="0"/>
        <w:autoSpaceDE/>
        <w:autoSpaceDN/>
        <w:bidi w:val="0"/>
        <w:adjustRightInd/>
        <w:snapToGrid/>
        <w:spacing w:line="650" w:lineRule="exact"/>
        <w:ind w:firstLine="640" w:firstLineChars="200"/>
        <w:textAlignment w:val="auto"/>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以习近平总书记关于安全生产的重要指示批示精神为指导，认真贯彻国家、省、市关于危险化学品安全生产工作的决策部署，深入落实新修正的《安全生产法》和《危险化学品安全管理条例》、《危险化学品经营许可证管理办法》（以下简称原总局55号令)等规定要求，结合危险化学品安全生产工作《两办意见》实施和危险化学品安全生产专项整治三年行动的有关要求，全面排查，严厉打击、系统整治无仓储经营违法违规行为，通过专项整治，全面掌握无仓储经营企业现状，分门别类建立完善清单台帐；督促企业严格落实安全生产主体责任，依法依规从事无仓储经营业务；加强安全管理，强化安全监管，及时防范安全风险，消除事故隐患，为维护人民群众生命财产安全和社会稳定提供安全保障。</w:t>
      </w:r>
    </w:p>
    <w:p>
      <w:pPr>
        <w:keepNext w:val="0"/>
        <w:keepLines w:val="0"/>
        <w:pageBreakBefore w:val="0"/>
        <w:widowControl w:val="0"/>
        <w:numPr>
          <w:ilvl w:val="0"/>
          <w:numId w:val="0"/>
        </w:numPr>
        <w:kinsoku/>
        <w:wordWrap/>
        <w:overflowPunct/>
        <w:topLinePunct w:val="0"/>
        <w:autoSpaceDE/>
        <w:autoSpaceDN/>
        <w:bidi w:val="0"/>
        <w:adjustRightInd/>
        <w:snapToGrid/>
        <w:spacing w:line="650" w:lineRule="exact"/>
        <w:ind w:left="160" w:leftChars="0" w:firstLine="640" w:firstLineChars="200"/>
        <w:textAlignment w:val="auto"/>
        <w:rPr>
          <w:rFonts w:hint="eastAsia" w:ascii="CESI黑体-GB2312" w:hAnsi="CESI黑体-GB2312" w:eastAsia="CESI黑体-GB2312" w:cs="CESI黑体-GB2312"/>
          <w:sz w:val="32"/>
          <w:szCs w:val="32"/>
          <w:lang w:val="en-US" w:eastAsia="zh-CN"/>
        </w:rPr>
      </w:pPr>
      <w:r>
        <w:rPr>
          <w:rFonts w:hint="eastAsia" w:ascii="CESI黑体-GB2312" w:hAnsi="CESI黑体-GB2312" w:eastAsia="CESI黑体-GB2312" w:cs="CESI黑体-GB2312"/>
          <w:sz w:val="32"/>
          <w:szCs w:val="32"/>
          <w:lang w:val="en-US" w:eastAsia="zh-CN"/>
        </w:rPr>
        <w:t>二、整治任务</w:t>
      </w:r>
    </w:p>
    <w:p>
      <w:pPr>
        <w:keepNext w:val="0"/>
        <w:keepLines w:val="0"/>
        <w:pageBreakBefore w:val="0"/>
        <w:widowControl w:val="0"/>
        <w:numPr>
          <w:ilvl w:val="0"/>
          <w:numId w:val="0"/>
        </w:numPr>
        <w:kinsoku/>
        <w:wordWrap/>
        <w:overflowPunct/>
        <w:topLinePunct w:val="0"/>
        <w:autoSpaceDE/>
        <w:autoSpaceDN/>
        <w:bidi w:val="0"/>
        <w:adjustRightInd/>
        <w:snapToGrid/>
        <w:spacing w:line="650" w:lineRule="exact"/>
        <w:ind w:left="160" w:leftChars="0" w:firstLine="640" w:firstLineChars="200"/>
        <w:textAlignment w:val="auto"/>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无仓储经经营企业，特指经营场所不储存危险化学品实物，无危险化学品储存场所和设施，经营形式为票据贸易往来从事批发业务的危险化学品经营企业，无仓储经营企业从业人员少，注册地分散，监管难度大，存在问题多，亟待进行整治。</w:t>
      </w:r>
    </w:p>
    <w:p>
      <w:pPr>
        <w:keepNext w:val="0"/>
        <w:keepLines w:val="0"/>
        <w:pageBreakBefore w:val="0"/>
        <w:widowControl w:val="0"/>
        <w:numPr>
          <w:ilvl w:val="0"/>
          <w:numId w:val="0"/>
        </w:numPr>
        <w:kinsoku/>
        <w:wordWrap/>
        <w:overflowPunct/>
        <w:topLinePunct w:val="0"/>
        <w:autoSpaceDE/>
        <w:autoSpaceDN/>
        <w:bidi w:val="0"/>
        <w:adjustRightInd/>
        <w:snapToGrid/>
        <w:spacing w:line="650" w:lineRule="exact"/>
        <w:ind w:firstLine="640" w:firstLineChars="200"/>
        <w:textAlignment w:val="auto"/>
        <w:rPr>
          <w:rFonts w:hint="eastAsia" w:ascii="CESI仿宋-GB2312" w:hAnsi="CESI仿宋-GB2312" w:eastAsia="CESI仿宋-GB2312" w:cs="CESI仿宋-GB2312"/>
          <w:sz w:val="32"/>
          <w:szCs w:val="32"/>
          <w:lang w:val="en-US" w:eastAsia="zh-CN"/>
        </w:rPr>
      </w:pPr>
      <w:r>
        <w:rPr>
          <w:rFonts w:hint="eastAsia" w:ascii="CESI楷体-GB2312" w:hAnsi="CESI楷体-GB2312" w:eastAsia="CESI楷体-GB2312" w:cs="CESI楷体-GB2312"/>
          <w:b w:val="0"/>
          <w:bCs w:val="0"/>
          <w:sz w:val="32"/>
          <w:szCs w:val="32"/>
          <w:lang w:val="en-US" w:eastAsia="zh-CN"/>
        </w:rPr>
        <w:t>（一）全面查清企业相关情况。</w:t>
      </w:r>
      <w:r>
        <w:rPr>
          <w:rFonts w:hint="eastAsia" w:ascii="CESI仿宋-GB2312" w:hAnsi="CESI仿宋-GB2312" w:eastAsia="CESI仿宋-GB2312" w:cs="CESI仿宋-GB2312"/>
          <w:sz w:val="32"/>
          <w:szCs w:val="32"/>
          <w:lang w:val="en-US" w:eastAsia="zh-CN"/>
        </w:rPr>
        <w:t>严格落实属地监管责任，按照“谁发证谁负责”的原则组织全面排查，彻底查清辖区内无仓储经营企业情况，重点做好“六个查清”：</w:t>
      </w:r>
    </w:p>
    <w:p>
      <w:pPr>
        <w:keepNext w:val="0"/>
        <w:keepLines w:val="0"/>
        <w:pageBreakBefore w:val="0"/>
        <w:widowControl w:val="0"/>
        <w:numPr>
          <w:ilvl w:val="0"/>
          <w:numId w:val="0"/>
        </w:numPr>
        <w:kinsoku/>
        <w:wordWrap/>
        <w:overflowPunct/>
        <w:topLinePunct w:val="0"/>
        <w:autoSpaceDE/>
        <w:autoSpaceDN/>
        <w:bidi w:val="0"/>
        <w:adjustRightInd/>
        <w:snapToGrid/>
        <w:spacing w:line="650" w:lineRule="exact"/>
        <w:ind w:firstLine="640" w:firstLineChars="200"/>
        <w:textAlignment w:val="auto"/>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b/>
          <w:bCs/>
          <w:sz w:val="32"/>
          <w:szCs w:val="32"/>
          <w:lang w:val="en-US" w:eastAsia="zh-CN"/>
        </w:rPr>
        <w:t>一是查清经营场所情况。</w:t>
      </w:r>
      <w:r>
        <w:rPr>
          <w:rFonts w:hint="eastAsia" w:ascii="CESI仿宋-GB2312" w:hAnsi="CESI仿宋-GB2312" w:eastAsia="CESI仿宋-GB2312" w:cs="CESI仿宋-GB2312"/>
          <w:sz w:val="32"/>
          <w:szCs w:val="32"/>
          <w:lang w:val="en-US" w:eastAsia="zh-CN"/>
        </w:rPr>
        <w:t>主要查企业实际经营地址与许可注册地址是否一致，是否按标准规定设置配备防火设施设备器材，是否存放危险化学品实物，是否有“商住两用”现象，是否以无仓储经营为名从事异地非法生产、经营、储存活动等。</w:t>
      </w:r>
    </w:p>
    <w:p>
      <w:pPr>
        <w:keepNext w:val="0"/>
        <w:keepLines w:val="0"/>
        <w:pageBreakBefore w:val="0"/>
        <w:widowControl w:val="0"/>
        <w:numPr>
          <w:ilvl w:val="0"/>
          <w:numId w:val="0"/>
        </w:numPr>
        <w:kinsoku/>
        <w:wordWrap/>
        <w:overflowPunct/>
        <w:topLinePunct w:val="0"/>
        <w:autoSpaceDE/>
        <w:autoSpaceDN/>
        <w:bidi w:val="0"/>
        <w:adjustRightInd/>
        <w:snapToGrid/>
        <w:spacing w:line="650" w:lineRule="exact"/>
        <w:ind w:firstLine="640" w:firstLineChars="200"/>
        <w:textAlignment w:val="auto"/>
        <w:rPr>
          <w:rFonts w:hint="eastAsia" w:ascii="CESI仿宋-GB2312" w:hAnsi="CESI仿宋-GB2312" w:eastAsia="CESI仿宋-GB2312" w:cs="CESI仿宋-GB2312"/>
          <w:sz w:val="32"/>
          <w:szCs w:val="32"/>
          <w:lang w:val="en-US" w:eastAsia="zh-CN"/>
        </w:rPr>
      </w:pPr>
      <w:bookmarkStart w:id="0" w:name="_GoBack"/>
      <w:bookmarkEnd w:id="0"/>
      <w:r>
        <w:rPr>
          <w:rFonts w:hint="eastAsia" w:ascii="CESI仿宋-GB2312" w:hAnsi="CESI仿宋-GB2312" w:eastAsia="CESI仿宋-GB2312" w:cs="CESI仿宋-GB2312"/>
          <w:b/>
          <w:bCs/>
          <w:sz w:val="32"/>
          <w:szCs w:val="32"/>
          <w:lang w:val="en-US" w:eastAsia="zh-CN"/>
        </w:rPr>
        <w:t>二是查清资质管理情况。</w:t>
      </w:r>
      <w:r>
        <w:rPr>
          <w:rFonts w:hint="eastAsia" w:ascii="CESI仿宋-GB2312" w:hAnsi="CESI仿宋-GB2312" w:eastAsia="CESI仿宋-GB2312" w:cs="CESI仿宋-GB2312"/>
          <w:sz w:val="32"/>
          <w:szCs w:val="32"/>
          <w:lang w:val="en-US" w:eastAsia="zh-CN"/>
        </w:rPr>
        <w:t>主要查企业是否取得无仓储经营许可证，许可证是否在有效期内以及许可证的合法合规性，查有无不符合许可条件予以许可的，许可权限在市级（如剧毒化学品、易制爆危险化学品）却由县级许可的，有无出租、出借、转让经营许可证现象、有无“僵尸”企业未注销许可证等问题；查企业主要负责人、安全管理人员与申请取证时是否一致；结合经营往来票据，查供货企业、运输企业、购买企业资质是否齐全有效等。</w:t>
      </w:r>
    </w:p>
    <w:p>
      <w:pPr>
        <w:keepNext w:val="0"/>
        <w:keepLines w:val="0"/>
        <w:pageBreakBefore w:val="0"/>
        <w:widowControl w:val="0"/>
        <w:numPr>
          <w:ilvl w:val="0"/>
          <w:numId w:val="0"/>
        </w:numPr>
        <w:kinsoku/>
        <w:wordWrap/>
        <w:overflowPunct/>
        <w:topLinePunct w:val="0"/>
        <w:autoSpaceDE/>
        <w:autoSpaceDN/>
        <w:bidi w:val="0"/>
        <w:adjustRightInd/>
        <w:snapToGrid/>
        <w:spacing w:line="650" w:lineRule="exact"/>
        <w:ind w:firstLine="640" w:firstLineChars="200"/>
        <w:textAlignment w:val="auto"/>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b/>
          <w:bCs/>
          <w:sz w:val="32"/>
          <w:szCs w:val="32"/>
          <w:lang w:val="en-US" w:eastAsia="zh-CN"/>
        </w:rPr>
        <w:t>三是查清教育培训情况。</w:t>
      </w:r>
      <w:r>
        <w:rPr>
          <w:rFonts w:hint="eastAsia" w:ascii="CESI仿宋-GB2312" w:hAnsi="CESI仿宋-GB2312" w:eastAsia="CESI仿宋-GB2312" w:cs="CESI仿宋-GB2312"/>
          <w:sz w:val="32"/>
          <w:szCs w:val="32"/>
          <w:lang w:val="en-US" w:eastAsia="zh-CN"/>
        </w:rPr>
        <w:t>主要查企业安全管理机构设置或专职安全管理人员配备情况，企业主要负责人和安全管理人员取证情况；查企业定期组织事故警示教育、开展安全生产知识和管理能力培训和考核情况，有无未培训合格上岗的人员；现场随机抽查、考核从业人员，看是否具备相应的安全生产知识和管理能力等。</w:t>
      </w:r>
    </w:p>
    <w:p>
      <w:pPr>
        <w:keepNext w:val="0"/>
        <w:keepLines w:val="0"/>
        <w:pageBreakBefore w:val="0"/>
        <w:widowControl w:val="0"/>
        <w:numPr>
          <w:ilvl w:val="0"/>
          <w:numId w:val="0"/>
        </w:numPr>
        <w:kinsoku/>
        <w:wordWrap/>
        <w:overflowPunct/>
        <w:topLinePunct w:val="0"/>
        <w:autoSpaceDE/>
        <w:autoSpaceDN/>
        <w:bidi w:val="0"/>
        <w:adjustRightInd/>
        <w:snapToGrid/>
        <w:spacing w:line="650" w:lineRule="exact"/>
        <w:ind w:firstLine="640" w:firstLineChars="200"/>
        <w:textAlignment w:val="auto"/>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b/>
          <w:bCs/>
          <w:sz w:val="32"/>
          <w:szCs w:val="32"/>
          <w:lang w:val="en-US" w:eastAsia="zh-CN"/>
        </w:rPr>
        <w:t>四是查清规章制度情况。</w:t>
      </w:r>
      <w:r>
        <w:rPr>
          <w:rFonts w:hint="eastAsia" w:ascii="CESI仿宋-GB2312" w:hAnsi="CESI仿宋-GB2312" w:eastAsia="CESI仿宋-GB2312" w:cs="CESI仿宋-GB2312"/>
          <w:sz w:val="32"/>
          <w:szCs w:val="32"/>
          <w:lang w:val="en-US" w:eastAsia="zh-CN"/>
        </w:rPr>
        <w:t>主要查企业是否有全员的安全生产责任制，是否有健全实用的安全生产规章制度和操作规程；仔细核对原总局55号令规定必须制定的危险化学品购销管理制度、危险化学品安全管理制度、安全投入保障制度、安全生产奖惩制度、安全生产教育培训制度、隐患排查治理制度、风险分级管控制度、应急管理制度、事故管理制度等是否齐全、规范、实用等。</w:t>
      </w:r>
    </w:p>
    <w:p>
      <w:pPr>
        <w:keepNext w:val="0"/>
        <w:keepLines w:val="0"/>
        <w:pageBreakBefore w:val="0"/>
        <w:widowControl w:val="0"/>
        <w:numPr>
          <w:ilvl w:val="0"/>
          <w:numId w:val="0"/>
        </w:numPr>
        <w:kinsoku/>
        <w:wordWrap/>
        <w:overflowPunct/>
        <w:topLinePunct w:val="0"/>
        <w:autoSpaceDE/>
        <w:autoSpaceDN/>
        <w:bidi w:val="0"/>
        <w:adjustRightInd/>
        <w:snapToGrid/>
        <w:spacing w:line="650" w:lineRule="exact"/>
        <w:ind w:firstLine="640" w:firstLineChars="200"/>
        <w:textAlignment w:val="auto"/>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b/>
          <w:bCs/>
          <w:sz w:val="32"/>
          <w:szCs w:val="32"/>
          <w:lang w:val="en-US" w:eastAsia="zh-CN"/>
        </w:rPr>
        <w:t>五是查清经营活动情况。</w:t>
      </w:r>
      <w:r>
        <w:rPr>
          <w:rFonts w:hint="eastAsia" w:ascii="CESI仿宋-GB2312" w:hAnsi="CESI仿宋-GB2312" w:eastAsia="CESI仿宋-GB2312" w:cs="CESI仿宋-GB2312"/>
          <w:sz w:val="32"/>
          <w:szCs w:val="32"/>
          <w:lang w:val="en-US" w:eastAsia="zh-CN"/>
        </w:rPr>
        <w:t>结合往来票据，主要查企业经营过程中与上游供货企业、委托运输方、下游购买企业是否签定正规合同，是否存在以非正规渠道购销危险化学品（如向未经许可的企业采购、以普通货车运输危险化学品等）问题，是否存在无证经营、非法储存经营、超许可范围经营现象；仔细查阅、核对企业许可有效期内所经营的危险化学品“一书一签”、出入货票据、记录、台帐，如收货凭证、出货发票及发货单、委托运输单及销售流向登记等。</w:t>
      </w:r>
    </w:p>
    <w:p>
      <w:pPr>
        <w:keepNext w:val="0"/>
        <w:keepLines w:val="0"/>
        <w:pageBreakBefore w:val="0"/>
        <w:widowControl w:val="0"/>
        <w:numPr>
          <w:ilvl w:val="0"/>
          <w:numId w:val="0"/>
        </w:numPr>
        <w:kinsoku/>
        <w:wordWrap/>
        <w:overflowPunct/>
        <w:topLinePunct w:val="0"/>
        <w:autoSpaceDE/>
        <w:autoSpaceDN/>
        <w:bidi w:val="0"/>
        <w:adjustRightInd/>
        <w:snapToGrid/>
        <w:spacing w:line="650" w:lineRule="exact"/>
        <w:ind w:firstLine="640" w:firstLineChars="200"/>
        <w:textAlignment w:val="auto"/>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b/>
          <w:bCs/>
          <w:sz w:val="32"/>
          <w:szCs w:val="32"/>
          <w:lang w:val="en-US" w:eastAsia="zh-CN"/>
        </w:rPr>
        <w:t>六是查清应急管理情况。</w:t>
      </w:r>
      <w:r>
        <w:rPr>
          <w:rFonts w:hint="eastAsia" w:ascii="CESI仿宋-GB2312" w:hAnsi="CESI仿宋-GB2312" w:eastAsia="CESI仿宋-GB2312" w:cs="CESI仿宋-GB2312"/>
          <w:sz w:val="32"/>
          <w:szCs w:val="32"/>
          <w:lang w:val="en-US" w:eastAsia="zh-CN"/>
        </w:rPr>
        <w:t xml:space="preserve">主要查是否制定危险化学品事故应急预案，应急预案是否及时备案，是否有较强的可操作性；查应急预案培训情况，看从业人员是否熟知应急预案内容，是否掌握应急处置流程等；查应急预案演练情况，抽查演练记录和评估报告，看是否真实、规范、全面，是否存在形式主义，为演练而演练现象；查应急救援器材设备配备情况，看是否齐全到位，状况良好等。 </w:t>
      </w:r>
    </w:p>
    <w:p>
      <w:pPr>
        <w:keepNext w:val="0"/>
        <w:keepLines w:val="0"/>
        <w:pageBreakBefore w:val="0"/>
        <w:widowControl w:val="0"/>
        <w:numPr>
          <w:ilvl w:val="0"/>
          <w:numId w:val="0"/>
        </w:numPr>
        <w:kinsoku/>
        <w:wordWrap/>
        <w:overflowPunct/>
        <w:topLinePunct w:val="0"/>
        <w:autoSpaceDE/>
        <w:autoSpaceDN/>
        <w:bidi w:val="0"/>
        <w:adjustRightInd/>
        <w:snapToGrid/>
        <w:spacing w:line="650" w:lineRule="exact"/>
        <w:ind w:firstLine="640" w:firstLineChars="200"/>
        <w:textAlignment w:val="auto"/>
        <w:rPr>
          <w:rFonts w:hint="eastAsia" w:ascii="CESI仿宋-GB2312" w:hAnsi="CESI仿宋-GB2312" w:eastAsia="CESI仿宋-GB2312" w:cs="CESI仿宋-GB2312"/>
          <w:sz w:val="32"/>
          <w:szCs w:val="32"/>
          <w:lang w:val="en-US" w:eastAsia="zh-CN"/>
        </w:rPr>
      </w:pPr>
      <w:r>
        <w:rPr>
          <w:rFonts w:hint="eastAsia" w:ascii="CESI楷体-GB2312" w:hAnsi="CESI楷体-GB2312" w:eastAsia="CESI楷体-GB2312" w:cs="CESI楷体-GB2312"/>
          <w:b w:val="0"/>
          <w:bCs w:val="0"/>
          <w:sz w:val="32"/>
          <w:szCs w:val="32"/>
          <w:lang w:val="en-US" w:eastAsia="zh-CN"/>
        </w:rPr>
        <w:t>（二）切实加大安全监管力度。</w:t>
      </w:r>
      <w:r>
        <w:rPr>
          <w:rFonts w:hint="eastAsia" w:ascii="CESI仿宋-GB2312" w:hAnsi="CESI仿宋-GB2312" w:eastAsia="CESI仿宋-GB2312" w:cs="CESI仿宋-GB2312"/>
          <w:sz w:val="32"/>
          <w:szCs w:val="32"/>
          <w:lang w:val="en-US" w:eastAsia="zh-CN"/>
        </w:rPr>
        <w:t>加强精准执法，采取全面排查、专项执法、突击检查等方式，开展经常性明查暗访和执法检查活动。日常安全监管重点：企业经营场所安全管理情况，安全管理机构设置或专职安全管理人员配备情况，双重预防体系构建、应用情况，教育培训情况，应急管理情况，规章制度建立健全和落实情况，经营合法合规情况等。例如有无安全意识淡薄安全管理松懈、安全条件降低问题，有无未制定教育培训计划或教育培训流于形式现象，有无应急演练不落实、应急设备器材不齐全问题等。企业经营场所应有3年以上的租赁合同或产权证明。设置视频监控设备，配备应急电话且保持畅通；涉及经营重点监管危险化学品的新入职企业主要负责人，应具备化学、化工、安全等相关专业学历或化工类初级及以上职称；企业从省外购进危险化学品再销售给我省使用企业的或将我省生产企业生产的危险化学品销往省外的，应出具与我省具备储存条件的企业签订的委托储存协议和相关企业提供的储存设施符合安全生产条件的评价报告。</w:t>
      </w:r>
    </w:p>
    <w:p>
      <w:pPr>
        <w:keepNext w:val="0"/>
        <w:keepLines w:val="0"/>
        <w:pageBreakBefore w:val="0"/>
        <w:widowControl w:val="0"/>
        <w:numPr>
          <w:ilvl w:val="0"/>
          <w:numId w:val="0"/>
        </w:numPr>
        <w:kinsoku/>
        <w:wordWrap/>
        <w:overflowPunct/>
        <w:topLinePunct w:val="0"/>
        <w:autoSpaceDE/>
        <w:autoSpaceDN/>
        <w:bidi w:val="0"/>
        <w:adjustRightInd/>
        <w:snapToGrid/>
        <w:spacing w:line="650" w:lineRule="exact"/>
        <w:ind w:firstLine="640" w:firstLineChars="200"/>
        <w:textAlignment w:val="auto"/>
        <w:rPr>
          <w:rFonts w:hint="eastAsia" w:ascii="CESI仿宋-GB2312" w:hAnsi="CESI仿宋-GB2312" w:eastAsia="CESI仿宋-GB2312" w:cs="CESI仿宋-GB2312"/>
          <w:b w:val="0"/>
          <w:bCs w:val="0"/>
          <w:sz w:val="32"/>
          <w:szCs w:val="32"/>
          <w:lang w:val="en-US" w:eastAsia="zh-CN"/>
        </w:rPr>
      </w:pPr>
      <w:r>
        <w:rPr>
          <w:rFonts w:hint="eastAsia" w:ascii="CESI楷体-GB2312" w:hAnsi="CESI楷体-GB2312" w:eastAsia="CESI楷体-GB2312" w:cs="CESI楷体-GB2312"/>
          <w:b w:val="0"/>
          <w:bCs w:val="0"/>
          <w:sz w:val="32"/>
          <w:szCs w:val="32"/>
          <w:lang w:val="en-US" w:eastAsia="zh-CN"/>
        </w:rPr>
        <w:t>（三）严厉打击违法违规行为。</w:t>
      </w:r>
      <w:r>
        <w:rPr>
          <w:rFonts w:hint="eastAsia" w:ascii="CESI仿宋-GB2312" w:hAnsi="CESI仿宋-GB2312" w:eastAsia="CESI仿宋-GB2312" w:cs="CESI仿宋-GB2312"/>
          <w:b w:val="0"/>
          <w:bCs w:val="0"/>
          <w:sz w:val="32"/>
          <w:szCs w:val="32"/>
          <w:lang w:val="en-US" w:eastAsia="zh-CN"/>
        </w:rPr>
        <w:t>强化执法震慑，对无证经营、非法储存经营、超许可范围经营，经营没有化学品安全技术说明书或化学品安全标签的危险化学品，以及伪造、变造或者出租、出借、转让经营许可证的，依法从严从重处罚；构成犯罪的移交司法机关追究刑事责任，对于教育培训不落实、应急演练不实施、协议合同不签订的、向未经许可的企业采购危险化学品、向不具备条件的单位甚至个人销售剧毒化学品或易制爆危险化学品的，以及擅自改变经营场所后不变更、没有固定营业场所随处经营、长期联系不上无法监管的，依法依规严肃处理。通过全面排查、系统整治、严厉打击，切实管控一批重大风险，消除一批重大隐患，惩治一批违法行为，形成一批制度成果。</w:t>
      </w:r>
    </w:p>
    <w:p>
      <w:pPr>
        <w:keepNext w:val="0"/>
        <w:keepLines w:val="0"/>
        <w:pageBreakBefore w:val="0"/>
        <w:widowControl w:val="0"/>
        <w:numPr>
          <w:ilvl w:val="0"/>
          <w:numId w:val="0"/>
        </w:numPr>
        <w:kinsoku/>
        <w:wordWrap/>
        <w:overflowPunct/>
        <w:topLinePunct w:val="0"/>
        <w:autoSpaceDE/>
        <w:autoSpaceDN/>
        <w:bidi w:val="0"/>
        <w:adjustRightInd/>
        <w:snapToGrid/>
        <w:spacing w:line="650" w:lineRule="exact"/>
        <w:ind w:firstLine="640" w:firstLineChars="200"/>
        <w:textAlignment w:val="auto"/>
        <w:rPr>
          <w:rFonts w:hint="eastAsia" w:ascii="CESI仿宋-GB2312" w:hAnsi="CESI仿宋-GB2312" w:eastAsia="CESI仿宋-GB2312" w:cs="CESI仿宋-GB2312"/>
          <w:b w:val="0"/>
          <w:bCs w:val="0"/>
          <w:sz w:val="32"/>
          <w:szCs w:val="32"/>
          <w:lang w:val="en-US" w:eastAsia="zh-CN"/>
        </w:rPr>
      </w:pPr>
      <w:r>
        <w:rPr>
          <w:rFonts w:hint="eastAsia" w:ascii="CESI楷体-GB2312" w:hAnsi="CESI楷体-GB2312" w:eastAsia="CESI楷体-GB2312" w:cs="CESI楷体-GB2312"/>
          <w:b w:val="0"/>
          <w:bCs w:val="0"/>
          <w:sz w:val="32"/>
          <w:szCs w:val="32"/>
          <w:lang w:val="en-US" w:eastAsia="zh-CN"/>
        </w:rPr>
        <w:t>（四）建立健全联动监管机制。</w:t>
      </w:r>
      <w:r>
        <w:rPr>
          <w:rFonts w:hint="eastAsia" w:ascii="CESI仿宋-GB2312" w:hAnsi="CESI仿宋-GB2312" w:eastAsia="CESI仿宋-GB2312" w:cs="CESI仿宋-GB2312"/>
          <w:b w:val="0"/>
          <w:bCs w:val="0"/>
          <w:sz w:val="32"/>
          <w:szCs w:val="32"/>
          <w:lang w:val="en-US" w:eastAsia="zh-CN"/>
        </w:rPr>
        <w:t>按照“三管三必管”和“谁主管谁负责”，严格落实相关部门危险化学品各环节安全监管职责，采取重点巡查、明查暗访、举报核查、联合执法等多种方式，努力消除安全监管盲区，堵塞安全监管漏洞，积极协同配合公安、工信、市场监管、交通运输和生态环境等部门，按照职责分工，加强协调配合，形成监管合力，建立健全信息共享和联动监管长效机制，努力提高安全监管水平和能力。充分发挥社会监督的重要作用，公布举报电话，开通举报渠道，建立举报受理、核查、奖励等工作制度。形成社会广泛参与、共同打击无仓储经营危险化学品非法违法行为的良好氛围。</w:t>
      </w:r>
    </w:p>
    <w:p>
      <w:pPr>
        <w:keepNext w:val="0"/>
        <w:keepLines w:val="0"/>
        <w:pageBreakBefore w:val="0"/>
        <w:widowControl w:val="0"/>
        <w:numPr>
          <w:ilvl w:val="0"/>
          <w:numId w:val="0"/>
        </w:numPr>
        <w:kinsoku/>
        <w:wordWrap/>
        <w:overflowPunct/>
        <w:topLinePunct w:val="0"/>
        <w:autoSpaceDE/>
        <w:autoSpaceDN/>
        <w:bidi w:val="0"/>
        <w:adjustRightInd/>
        <w:snapToGrid/>
        <w:spacing w:line="650" w:lineRule="exact"/>
        <w:ind w:left="160" w:leftChars="0" w:firstLine="640" w:firstLineChars="200"/>
        <w:textAlignment w:val="auto"/>
        <w:rPr>
          <w:rFonts w:hint="eastAsia" w:ascii="CESI黑体-GB2312" w:hAnsi="CESI黑体-GB2312" w:eastAsia="CESI黑体-GB2312" w:cs="CESI黑体-GB2312"/>
          <w:sz w:val="32"/>
          <w:szCs w:val="32"/>
          <w:lang w:val="en-US" w:eastAsia="zh-CN"/>
        </w:rPr>
      </w:pPr>
      <w:r>
        <w:rPr>
          <w:rFonts w:hint="eastAsia" w:ascii="CESI黑体-GB2312" w:hAnsi="CESI黑体-GB2312" w:eastAsia="CESI黑体-GB2312" w:cs="CESI黑体-GB2312"/>
          <w:sz w:val="32"/>
          <w:szCs w:val="32"/>
          <w:lang w:val="en-US" w:eastAsia="zh-CN"/>
        </w:rPr>
        <w:t>三、时间安排</w:t>
      </w:r>
    </w:p>
    <w:p>
      <w:pPr>
        <w:keepNext w:val="0"/>
        <w:keepLines w:val="0"/>
        <w:pageBreakBefore w:val="0"/>
        <w:widowControl w:val="0"/>
        <w:numPr>
          <w:ilvl w:val="0"/>
          <w:numId w:val="0"/>
        </w:numPr>
        <w:kinsoku/>
        <w:wordWrap/>
        <w:overflowPunct/>
        <w:topLinePunct w:val="0"/>
        <w:autoSpaceDE/>
        <w:autoSpaceDN/>
        <w:bidi w:val="0"/>
        <w:adjustRightInd/>
        <w:snapToGrid/>
        <w:spacing w:line="650" w:lineRule="exact"/>
        <w:ind w:firstLine="640" w:firstLineChars="200"/>
        <w:textAlignment w:val="auto"/>
        <w:rPr>
          <w:rFonts w:hint="eastAsia" w:ascii="CESI仿宋-GB2312" w:hAnsi="CESI仿宋-GB2312" w:eastAsia="CESI仿宋-GB2312" w:cs="CESI仿宋-GB2312"/>
          <w:b w:val="0"/>
          <w:bCs w:val="0"/>
          <w:sz w:val="32"/>
          <w:szCs w:val="32"/>
          <w:lang w:val="en-US" w:eastAsia="zh-CN"/>
        </w:rPr>
      </w:pPr>
      <w:r>
        <w:rPr>
          <w:rFonts w:hint="eastAsia" w:ascii="CESI仿宋-GB2312" w:hAnsi="CESI仿宋-GB2312" w:eastAsia="CESI仿宋-GB2312" w:cs="CESI仿宋-GB2312"/>
          <w:b w:val="0"/>
          <w:bCs w:val="0"/>
          <w:sz w:val="32"/>
          <w:szCs w:val="32"/>
          <w:lang w:val="en-US" w:eastAsia="zh-CN"/>
        </w:rPr>
        <w:t>专项整治工作从2021年10月15日至12月25日，分三个阶段进行。</w:t>
      </w:r>
    </w:p>
    <w:p>
      <w:pPr>
        <w:keepNext w:val="0"/>
        <w:keepLines w:val="0"/>
        <w:pageBreakBefore w:val="0"/>
        <w:widowControl w:val="0"/>
        <w:numPr>
          <w:ilvl w:val="0"/>
          <w:numId w:val="0"/>
        </w:numPr>
        <w:kinsoku/>
        <w:wordWrap/>
        <w:overflowPunct/>
        <w:topLinePunct w:val="0"/>
        <w:autoSpaceDE/>
        <w:autoSpaceDN/>
        <w:bidi w:val="0"/>
        <w:adjustRightInd/>
        <w:snapToGrid/>
        <w:spacing w:line="650" w:lineRule="exact"/>
        <w:ind w:firstLine="640" w:firstLineChars="200"/>
        <w:textAlignment w:val="auto"/>
        <w:rPr>
          <w:rFonts w:hint="eastAsia" w:ascii="CESI仿宋-GB2312" w:hAnsi="CESI仿宋-GB2312" w:eastAsia="CESI仿宋-GB2312" w:cs="CESI仿宋-GB2312"/>
          <w:b w:val="0"/>
          <w:bCs w:val="0"/>
          <w:sz w:val="32"/>
          <w:szCs w:val="32"/>
          <w:lang w:val="en-US" w:eastAsia="zh-CN"/>
        </w:rPr>
      </w:pPr>
      <w:r>
        <w:rPr>
          <w:rFonts w:hint="eastAsia" w:ascii="CESI楷体-GB2312" w:hAnsi="CESI楷体-GB2312" w:eastAsia="CESI楷体-GB2312" w:cs="CESI楷体-GB2312"/>
          <w:b w:val="0"/>
          <w:bCs w:val="0"/>
          <w:sz w:val="32"/>
          <w:szCs w:val="32"/>
          <w:lang w:val="en-US" w:eastAsia="zh-CN"/>
        </w:rPr>
        <w:t>（一）动员部署阶段（10月15日至10月31日）。</w:t>
      </w:r>
      <w:r>
        <w:rPr>
          <w:rFonts w:hint="eastAsia" w:ascii="CESI仿宋-GB2312" w:hAnsi="CESI仿宋-GB2312" w:eastAsia="CESI仿宋-GB2312" w:cs="CESI仿宋-GB2312"/>
          <w:b w:val="0"/>
          <w:bCs w:val="0"/>
          <w:sz w:val="32"/>
          <w:szCs w:val="32"/>
          <w:lang w:val="en-US" w:eastAsia="zh-CN"/>
        </w:rPr>
        <w:t>结合具体实际，细化整治内容，编制检查表格；充分利用电视、网络、微信等多种形媒体和现代手段，广泛进行宣传动员，讲明无仓储经营专项整治的重大意义，讲清违法违规行为的严重危害和法律后果，统一思想、形成共识，提高参与专项整治工作的积极性和创造性。</w:t>
      </w:r>
    </w:p>
    <w:p>
      <w:pPr>
        <w:keepNext w:val="0"/>
        <w:keepLines w:val="0"/>
        <w:pageBreakBefore w:val="0"/>
        <w:widowControl w:val="0"/>
        <w:numPr>
          <w:ilvl w:val="0"/>
          <w:numId w:val="0"/>
        </w:numPr>
        <w:kinsoku/>
        <w:wordWrap/>
        <w:overflowPunct/>
        <w:topLinePunct w:val="0"/>
        <w:autoSpaceDE/>
        <w:autoSpaceDN/>
        <w:bidi w:val="0"/>
        <w:adjustRightInd/>
        <w:snapToGrid/>
        <w:spacing w:line="650" w:lineRule="exact"/>
        <w:ind w:firstLine="640" w:firstLineChars="200"/>
        <w:textAlignment w:val="auto"/>
        <w:rPr>
          <w:rFonts w:hint="eastAsia" w:ascii="CESI仿宋-GB2312" w:hAnsi="CESI仿宋-GB2312" w:eastAsia="CESI仿宋-GB2312" w:cs="CESI仿宋-GB2312"/>
          <w:b w:val="0"/>
          <w:bCs w:val="0"/>
          <w:sz w:val="32"/>
          <w:szCs w:val="32"/>
          <w:lang w:val="en-US" w:eastAsia="zh-CN"/>
        </w:rPr>
      </w:pPr>
      <w:r>
        <w:rPr>
          <w:rFonts w:hint="eastAsia" w:ascii="CESI楷体-GB2312" w:hAnsi="CESI楷体-GB2312" w:eastAsia="CESI楷体-GB2312" w:cs="CESI楷体-GB2312"/>
          <w:b w:val="0"/>
          <w:bCs w:val="0"/>
          <w:sz w:val="32"/>
          <w:szCs w:val="32"/>
          <w:lang w:val="en-US" w:eastAsia="zh-CN"/>
        </w:rPr>
        <w:t>（二）排查整治阶段（11月1日至11月30日）。</w:t>
      </w:r>
      <w:r>
        <w:rPr>
          <w:rFonts w:hint="eastAsia" w:ascii="CESI仿宋-GB2312" w:hAnsi="CESI仿宋-GB2312" w:eastAsia="CESI仿宋-GB2312" w:cs="CESI仿宋-GB2312"/>
          <w:b w:val="0"/>
          <w:bCs w:val="0"/>
          <w:sz w:val="32"/>
          <w:szCs w:val="32"/>
          <w:lang w:val="en-US" w:eastAsia="zh-CN"/>
        </w:rPr>
        <w:t>明确整治任务，压实整治责任，加强组织领导，建立工作机制，组织、协调力量集中开展全面排查，彻度查清无仓储经营企业有关情况，建立完善清单台帐；依据相关法律法规，严厉打击非法违法行为，进一步规范经营秩序。</w:t>
      </w:r>
    </w:p>
    <w:p>
      <w:pPr>
        <w:keepNext w:val="0"/>
        <w:keepLines w:val="0"/>
        <w:pageBreakBefore w:val="0"/>
        <w:widowControl w:val="0"/>
        <w:numPr>
          <w:ilvl w:val="0"/>
          <w:numId w:val="0"/>
        </w:numPr>
        <w:kinsoku/>
        <w:wordWrap/>
        <w:overflowPunct/>
        <w:topLinePunct w:val="0"/>
        <w:autoSpaceDE/>
        <w:autoSpaceDN/>
        <w:bidi w:val="0"/>
        <w:adjustRightInd/>
        <w:snapToGrid/>
        <w:spacing w:line="650" w:lineRule="exact"/>
        <w:ind w:firstLine="640" w:firstLineChars="200"/>
        <w:textAlignment w:val="auto"/>
        <w:rPr>
          <w:rFonts w:hint="eastAsia" w:ascii="CESI仿宋-GB2312" w:hAnsi="CESI仿宋-GB2312" w:eastAsia="CESI仿宋-GB2312" w:cs="CESI仿宋-GB2312"/>
          <w:b w:val="0"/>
          <w:bCs w:val="0"/>
          <w:sz w:val="32"/>
          <w:szCs w:val="32"/>
          <w:lang w:val="en-US" w:eastAsia="zh-CN"/>
        </w:rPr>
      </w:pPr>
      <w:r>
        <w:rPr>
          <w:rFonts w:hint="eastAsia" w:ascii="CESI楷体-GB2312" w:hAnsi="CESI楷体-GB2312" w:eastAsia="CESI楷体-GB2312" w:cs="CESI楷体-GB2312"/>
          <w:b w:val="0"/>
          <w:bCs w:val="0"/>
          <w:sz w:val="32"/>
          <w:szCs w:val="32"/>
          <w:lang w:val="en-US" w:eastAsia="zh-CN"/>
        </w:rPr>
        <w:t>（三）巩固提升阶段（12月1日至12月25日）。</w:t>
      </w:r>
      <w:r>
        <w:rPr>
          <w:rFonts w:hint="eastAsia" w:ascii="CESI仿宋-GB2312" w:hAnsi="CESI仿宋-GB2312" w:eastAsia="CESI仿宋-GB2312" w:cs="CESI仿宋-GB2312"/>
          <w:b w:val="0"/>
          <w:bCs w:val="0"/>
          <w:sz w:val="32"/>
          <w:szCs w:val="32"/>
          <w:lang w:val="en-US" w:eastAsia="zh-CN"/>
        </w:rPr>
        <w:t>认真总结专项整治经验做法，深入查找问题不足，积极提出意见建议，形成长效机制。各县（市、区）、运城经济技术开发区要认真统计企业情况，全面梳理整治情况，及时形成工作报告，</w:t>
      </w:r>
    </w:p>
    <w:p>
      <w:pPr>
        <w:keepNext w:val="0"/>
        <w:keepLines w:val="0"/>
        <w:pageBreakBefore w:val="0"/>
        <w:widowControl w:val="0"/>
        <w:numPr>
          <w:ilvl w:val="0"/>
          <w:numId w:val="0"/>
        </w:numPr>
        <w:kinsoku/>
        <w:wordWrap/>
        <w:overflowPunct/>
        <w:topLinePunct w:val="0"/>
        <w:autoSpaceDE/>
        <w:autoSpaceDN/>
        <w:bidi w:val="0"/>
        <w:adjustRightInd/>
        <w:snapToGrid/>
        <w:spacing w:line="650" w:lineRule="exact"/>
        <w:ind w:left="160" w:leftChars="0" w:firstLine="640" w:firstLineChars="200"/>
        <w:textAlignment w:val="auto"/>
        <w:rPr>
          <w:rFonts w:hint="eastAsia" w:ascii="CESI黑体-GB2312" w:hAnsi="CESI黑体-GB2312" w:eastAsia="CESI黑体-GB2312" w:cs="CESI黑体-GB2312"/>
          <w:sz w:val="32"/>
          <w:szCs w:val="32"/>
          <w:lang w:val="en-US" w:eastAsia="zh-CN"/>
        </w:rPr>
      </w:pPr>
      <w:r>
        <w:rPr>
          <w:rFonts w:hint="eastAsia" w:ascii="CESI黑体-GB2312" w:hAnsi="CESI黑体-GB2312" w:eastAsia="CESI黑体-GB2312" w:cs="CESI黑体-GB2312"/>
          <w:sz w:val="32"/>
          <w:szCs w:val="32"/>
          <w:lang w:val="en-US" w:eastAsia="zh-CN"/>
        </w:rPr>
        <w:t>四、工作要求</w:t>
      </w:r>
    </w:p>
    <w:p>
      <w:pPr>
        <w:keepNext w:val="0"/>
        <w:keepLines w:val="0"/>
        <w:pageBreakBefore w:val="0"/>
        <w:widowControl w:val="0"/>
        <w:numPr>
          <w:ilvl w:val="0"/>
          <w:numId w:val="0"/>
        </w:numPr>
        <w:kinsoku/>
        <w:wordWrap/>
        <w:overflowPunct/>
        <w:topLinePunct w:val="0"/>
        <w:autoSpaceDE/>
        <w:autoSpaceDN/>
        <w:bidi w:val="0"/>
        <w:adjustRightInd/>
        <w:snapToGrid/>
        <w:spacing w:line="650" w:lineRule="exact"/>
        <w:ind w:firstLine="640" w:firstLineChars="200"/>
        <w:textAlignment w:val="auto"/>
        <w:rPr>
          <w:rFonts w:hint="eastAsia" w:ascii="CESI仿宋-GB2312" w:hAnsi="CESI仿宋-GB2312" w:eastAsia="CESI仿宋-GB2312" w:cs="CESI仿宋-GB2312"/>
          <w:b w:val="0"/>
          <w:bCs w:val="0"/>
          <w:sz w:val="32"/>
          <w:szCs w:val="32"/>
          <w:lang w:val="en-US" w:eastAsia="zh-CN"/>
        </w:rPr>
      </w:pPr>
      <w:r>
        <w:rPr>
          <w:rFonts w:hint="eastAsia" w:ascii="CESI楷体-GB2312" w:hAnsi="CESI楷体-GB2312" w:eastAsia="CESI楷体-GB2312" w:cs="CESI楷体-GB2312"/>
          <w:b w:val="0"/>
          <w:bCs w:val="0"/>
          <w:sz w:val="32"/>
          <w:szCs w:val="32"/>
          <w:lang w:val="en-US" w:eastAsia="zh-CN"/>
        </w:rPr>
        <w:t>（一）高度重视、深入排查。</w:t>
      </w:r>
      <w:r>
        <w:rPr>
          <w:rFonts w:hint="eastAsia" w:ascii="CESI仿宋-GB2312" w:hAnsi="CESI仿宋-GB2312" w:eastAsia="CESI仿宋-GB2312" w:cs="CESI仿宋-GB2312"/>
          <w:b w:val="0"/>
          <w:bCs w:val="0"/>
          <w:sz w:val="32"/>
          <w:szCs w:val="32"/>
          <w:lang w:val="en-US" w:eastAsia="zh-CN"/>
        </w:rPr>
        <w:t>要提高政治站位，牢固树立安全发展理念，按照习近平总书记“全覆盖、零容忍、严执法、重实效”的指示要求，逐一排查相关企业，认真做好“六个查清”，深入排查问题隐患，及时提出整改意见，督促企业全面落实主体责任，切实增强安全意识、法制观念。</w:t>
      </w:r>
    </w:p>
    <w:p>
      <w:pPr>
        <w:keepNext w:val="0"/>
        <w:keepLines w:val="0"/>
        <w:pageBreakBefore w:val="0"/>
        <w:widowControl w:val="0"/>
        <w:numPr>
          <w:ilvl w:val="0"/>
          <w:numId w:val="0"/>
        </w:numPr>
        <w:kinsoku/>
        <w:wordWrap/>
        <w:overflowPunct/>
        <w:topLinePunct w:val="0"/>
        <w:autoSpaceDE/>
        <w:autoSpaceDN/>
        <w:bidi w:val="0"/>
        <w:adjustRightInd/>
        <w:snapToGrid/>
        <w:spacing w:line="650" w:lineRule="exact"/>
        <w:ind w:firstLine="640" w:firstLineChars="200"/>
        <w:textAlignment w:val="auto"/>
        <w:rPr>
          <w:rFonts w:hint="eastAsia" w:ascii="CESI仿宋-GB2312" w:hAnsi="CESI仿宋-GB2312" w:eastAsia="CESI仿宋-GB2312" w:cs="CESI仿宋-GB2312"/>
          <w:b w:val="0"/>
          <w:bCs w:val="0"/>
          <w:sz w:val="32"/>
          <w:szCs w:val="32"/>
          <w:lang w:val="en-US" w:eastAsia="zh-CN"/>
        </w:rPr>
      </w:pPr>
      <w:r>
        <w:rPr>
          <w:rFonts w:hint="eastAsia" w:ascii="CESI楷体-GB2312" w:hAnsi="CESI楷体-GB2312" w:eastAsia="CESI楷体-GB2312" w:cs="CESI楷体-GB2312"/>
          <w:b w:val="0"/>
          <w:bCs w:val="0"/>
          <w:sz w:val="32"/>
          <w:szCs w:val="32"/>
          <w:lang w:val="en-US" w:eastAsia="zh-CN"/>
        </w:rPr>
        <w:t>（二）加强领导、注重实效。</w:t>
      </w:r>
      <w:r>
        <w:rPr>
          <w:rFonts w:hint="eastAsia" w:ascii="CESI仿宋-GB2312" w:hAnsi="CESI仿宋-GB2312" w:eastAsia="CESI仿宋-GB2312" w:cs="CESI仿宋-GB2312"/>
          <w:b w:val="0"/>
          <w:bCs w:val="0"/>
          <w:sz w:val="32"/>
          <w:szCs w:val="32"/>
          <w:lang w:val="en-US" w:eastAsia="zh-CN"/>
        </w:rPr>
        <w:t>要坚密结合实际，明确工作目标、任务和要求，层层分解、落实到人，倒排整治工期，严把时间节点，做到边查边改、限期整改，防止图形式、走过场；要深化“放管服”改革，加强和规范事中事后监管，努力提高无仓储经营企业信息化管理和监控水平，充分发挥专家技术支撑作用，确保整治取得实实在在的效果。</w:t>
      </w:r>
    </w:p>
    <w:p>
      <w:pPr>
        <w:keepNext w:val="0"/>
        <w:keepLines w:val="0"/>
        <w:pageBreakBefore w:val="0"/>
        <w:widowControl w:val="0"/>
        <w:numPr>
          <w:ilvl w:val="0"/>
          <w:numId w:val="0"/>
        </w:numPr>
        <w:kinsoku/>
        <w:wordWrap/>
        <w:overflowPunct/>
        <w:topLinePunct w:val="0"/>
        <w:autoSpaceDE/>
        <w:autoSpaceDN/>
        <w:bidi w:val="0"/>
        <w:adjustRightInd/>
        <w:snapToGrid/>
        <w:spacing w:line="650" w:lineRule="exact"/>
        <w:ind w:firstLine="640" w:firstLineChars="200"/>
        <w:textAlignment w:val="auto"/>
        <w:rPr>
          <w:rFonts w:hint="eastAsia" w:ascii="CESI仿宋-GB2312" w:hAnsi="CESI仿宋-GB2312" w:eastAsia="CESI仿宋-GB2312" w:cs="CESI仿宋-GB2312"/>
          <w:b w:val="0"/>
          <w:bCs w:val="0"/>
          <w:sz w:val="32"/>
          <w:szCs w:val="32"/>
          <w:lang w:val="en-US" w:eastAsia="zh-CN"/>
        </w:rPr>
      </w:pPr>
      <w:r>
        <w:rPr>
          <w:rFonts w:hint="eastAsia" w:ascii="CESI楷体-GB2312" w:hAnsi="CESI楷体-GB2312" w:eastAsia="CESI楷体-GB2312" w:cs="CESI楷体-GB2312"/>
          <w:b w:val="0"/>
          <w:bCs w:val="0"/>
          <w:sz w:val="32"/>
          <w:szCs w:val="32"/>
          <w:lang w:val="en-US" w:eastAsia="zh-CN"/>
        </w:rPr>
        <w:t>（三）严格执法、严厉打击。</w:t>
      </w:r>
      <w:r>
        <w:rPr>
          <w:rFonts w:hint="eastAsia" w:ascii="CESI仿宋-GB2312" w:hAnsi="CESI仿宋-GB2312" w:eastAsia="CESI仿宋-GB2312" w:cs="CESI仿宋-GB2312"/>
          <w:b w:val="0"/>
          <w:bCs w:val="0"/>
          <w:sz w:val="32"/>
          <w:szCs w:val="32"/>
          <w:lang w:val="en-US" w:eastAsia="zh-CN"/>
        </w:rPr>
        <w:t>要切实加强安全监管，深入开展专项执法，坚决打击无仓储经营非法违法行为，按照“提升一批、整改一批、惩治一批、取缔一批”原则，努力达到“整改提升一批经营企业、依法惩治一批违法违规企业、关闭取缔一批不符合安全生产条件的企业、问责曝光一批严重违法单位和个人”的工作目的，努力管控安全风险，消除事故隐患，遏制事故发生。</w:t>
      </w:r>
    </w:p>
    <w:p>
      <w:pPr>
        <w:keepNext w:val="0"/>
        <w:keepLines w:val="0"/>
        <w:pageBreakBefore w:val="0"/>
        <w:widowControl w:val="0"/>
        <w:numPr>
          <w:ilvl w:val="0"/>
          <w:numId w:val="0"/>
        </w:numPr>
        <w:kinsoku/>
        <w:wordWrap/>
        <w:overflowPunct/>
        <w:topLinePunct w:val="0"/>
        <w:autoSpaceDE/>
        <w:autoSpaceDN/>
        <w:bidi w:val="0"/>
        <w:adjustRightInd/>
        <w:snapToGrid/>
        <w:spacing w:line="650" w:lineRule="exact"/>
        <w:ind w:firstLine="640" w:firstLineChars="200"/>
        <w:textAlignment w:val="auto"/>
        <w:rPr>
          <w:rFonts w:hint="eastAsia" w:ascii="CESI仿宋-GB2312" w:hAnsi="CESI仿宋-GB2312" w:eastAsia="CESI仿宋-GB2312" w:cs="CESI仿宋-GB2312"/>
          <w:b w:val="0"/>
          <w:bCs w:val="0"/>
          <w:sz w:val="32"/>
          <w:szCs w:val="32"/>
          <w:lang w:val="en-US" w:eastAsia="zh-CN"/>
        </w:rPr>
      </w:pPr>
      <w:r>
        <w:rPr>
          <w:rFonts w:hint="eastAsia" w:ascii="CESI楷体-GB2312" w:hAnsi="CESI楷体-GB2312" w:eastAsia="CESI楷体-GB2312" w:cs="CESI楷体-GB2312"/>
          <w:b w:val="0"/>
          <w:bCs w:val="0"/>
          <w:sz w:val="32"/>
          <w:szCs w:val="32"/>
          <w:lang w:val="en-US" w:eastAsia="zh-CN"/>
        </w:rPr>
        <w:t>（四）依法监管、从严管控。</w:t>
      </w:r>
      <w:r>
        <w:rPr>
          <w:rFonts w:hint="eastAsia" w:ascii="CESI仿宋-GB2312" w:hAnsi="CESI仿宋-GB2312" w:eastAsia="CESI仿宋-GB2312" w:cs="CESI仿宋-GB2312"/>
          <w:b w:val="0"/>
          <w:bCs w:val="0"/>
          <w:sz w:val="32"/>
          <w:szCs w:val="32"/>
          <w:lang w:val="en-US" w:eastAsia="zh-CN"/>
        </w:rPr>
        <w:t>对于企业未依法延期换证的、已终止经营活动的、许可证不合法合规的、不具备安全生产条件的，依法撤销、吊销或注销经营许可证；对于经营剧毒、易制毒易制爆的，加强监管，从严管控；对于经营范围过多、不符合实际需要、许可有效期三年内从未经营过的危险化学品，缩减许可范围、控制许可数量。</w:t>
      </w:r>
    </w:p>
    <w:p>
      <w:pPr>
        <w:keepNext w:val="0"/>
        <w:keepLines w:val="0"/>
        <w:pageBreakBefore w:val="0"/>
        <w:widowControl w:val="0"/>
        <w:numPr>
          <w:ilvl w:val="0"/>
          <w:numId w:val="0"/>
        </w:numPr>
        <w:kinsoku/>
        <w:wordWrap/>
        <w:overflowPunct/>
        <w:topLinePunct w:val="0"/>
        <w:autoSpaceDE/>
        <w:autoSpaceDN/>
        <w:bidi w:val="0"/>
        <w:adjustRightInd/>
        <w:snapToGrid/>
        <w:spacing w:line="650" w:lineRule="exact"/>
        <w:ind w:firstLine="640" w:firstLineChars="200"/>
        <w:jc w:val="left"/>
        <w:textAlignment w:val="auto"/>
        <w:rPr>
          <w:rFonts w:hint="eastAsia" w:ascii="CESI仿宋-GB2312" w:hAnsi="CESI仿宋-GB2312" w:eastAsia="CESI仿宋-GB2312" w:cs="CESI仿宋-GB2312"/>
          <w:b w:val="0"/>
          <w:bCs w:val="0"/>
          <w:sz w:val="32"/>
          <w:szCs w:val="32"/>
          <w:lang w:val="en-US" w:eastAsia="zh-CN"/>
        </w:rPr>
      </w:pPr>
      <w:r>
        <w:rPr>
          <w:rFonts w:hint="eastAsia" w:ascii="CESI仿宋-GB2312" w:hAnsi="CESI仿宋-GB2312" w:eastAsia="CESI仿宋-GB2312" w:cs="CESI仿宋-GB2312"/>
          <w:b w:val="0"/>
          <w:bCs w:val="0"/>
          <w:sz w:val="32"/>
          <w:szCs w:val="32"/>
          <w:lang w:val="en-US" w:eastAsia="zh-CN"/>
        </w:rPr>
        <w:t>各县（市、区）应急管理局、运城经济技术开发区安监部，请于10月30日前上报《无仓储危险化学品经营基本情况统计表》（附件1）；12月25日前上报《无仓储危险化学品经营专项整治开展情况统计表》（附件2）。市应急管理局将持续跟踪专项整治情况，并适时对无仓储经营企业的主要负责人进行安全知识培训，并对专项整治情况组织督导检查。</w:t>
      </w:r>
    </w:p>
    <w:p>
      <w:pPr>
        <w:keepNext w:val="0"/>
        <w:keepLines w:val="0"/>
        <w:pageBreakBefore w:val="0"/>
        <w:widowControl w:val="0"/>
        <w:numPr>
          <w:ilvl w:val="0"/>
          <w:numId w:val="0"/>
        </w:numPr>
        <w:kinsoku/>
        <w:wordWrap/>
        <w:overflowPunct/>
        <w:topLinePunct w:val="0"/>
        <w:autoSpaceDE/>
        <w:autoSpaceDN/>
        <w:bidi w:val="0"/>
        <w:adjustRightInd/>
        <w:snapToGrid/>
        <w:spacing w:line="650" w:lineRule="exact"/>
        <w:ind w:firstLine="640" w:firstLineChars="200"/>
        <w:jc w:val="left"/>
        <w:textAlignment w:val="auto"/>
        <w:rPr>
          <w:rFonts w:hint="eastAsia" w:ascii="CESI仿宋-GB2312" w:hAnsi="CESI仿宋-GB2312" w:eastAsia="CESI仿宋-GB2312" w:cs="CESI仿宋-GB2312"/>
          <w:b w:val="0"/>
          <w:bCs w:val="0"/>
          <w:sz w:val="32"/>
          <w:szCs w:val="32"/>
          <w:lang w:val="en-US" w:eastAsia="zh-CN"/>
        </w:rPr>
      </w:pPr>
      <w:r>
        <w:rPr>
          <w:rFonts w:hint="eastAsia" w:ascii="CESI仿宋-GB2312" w:hAnsi="CESI仿宋-GB2312" w:eastAsia="CESI仿宋-GB2312" w:cs="CESI仿宋-GB2312"/>
          <w:b w:val="0"/>
          <w:bCs w:val="0"/>
          <w:sz w:val="32"/>
          <w:szCs w:val="32"/>
          <w:lang w:val="en-US" w:eastAsia="zh-CN"/>
        </w:rPr>
        <w:t>联系人：李国霞</w:t>
      </w:r>
    </w:p>
    <w:p>
      <w:pPr>
        <w:keepNext w:val="0"/>
        <w:keepLines w:val="0"/>
        <w:pageBreakBefore w:val="0"/>
        <w:widowControl w:val="0"/>
        <w:numPr>
          <w:ilvl w:val="0"/>
          <w:numId w:val="0"/>
        </w:numPr>
        <w:kinsoku/>
        <w:wordWrap/>
        <w:overflowPunct/>
        <w:topLinePunct w:val="0"/>
        <w:autoSpaceDE/>
        <w:autoSpaceDN/>
        <w:bidi w:val="0"/>
        <w:adjustRightInd/>
        <w:snapToGrid/>
        <w:spacing w:line="650" w:lineRule="exact"/>
        <w:ind w:firstLine="640" w:firstLineChars="200"/>
        <w:jc w:val="left"/>
        <w:textAlignment w:val="auto"/>
        <w:rPr>
          <w:rFonts w:hint="eastAsia" w:ascii="CESI仿宋-GB2312" w:hAnsi="CESI仿宋-GB2312" w:eastAsia="CESI仿宋-GB2312" w:cs="CESI仿宋-GB2312"/>
          <w:b w:val="0"/>
          <w:bCs w:val="0"/>
          <w:sz w:val="32"/>
          <w:szCs w:val="32"/>
          <w:lang w:val="en-US" w:eastAsia="zh-CN"/>
        </w:rPr>
      </w:pPr>
      <w:r>
        <w:rPr>
          <w:rFonts w:hint="eastAsia" w:ascii="CESI仿宋-GB2312" w:hAnsi="CESI仿宋-GB2312" w:eastAsia="CESI仿宋-GB2312" w:cs="CESI仿宋-GB2312"/>
          <w:b w:val="0"/>
          <w:bCs w:val="0"/>
          <w:sz w:val="32"/>
          <w:szCs w:val="32"/>
          <w:lang w:val="en-US" w:eastAsia="zh-CN"/>
        </w:rPr>
        <w:t>联系电话：0359-2092015</w:t>
      </w:r>
    </w:p>
    <w:p>
      <w:pPr>
        <w:keepNext w:val="0"/>
        <w:keepLines w:val="0"/>
        <w:pageBreakBefore w:val="0"/>
        <w:widowControl w:val="0"/>
        <w:numPr>
          <w:ilvl w:val="0"/>
          <w:numId w:val="0"/>
        </w:numPr>
        <w:kinsoku/>
        <w:wordWrap/>
        <w:overflowPunct/>
        <w:topLinePunct w:val="0"/>
        <w:autoSpaceDE/>
        <w:autoSpaceDN/>
        <w:bidi w:val="0"/>
        <w:adjustRightInd/>
        <w:snapToGrid/>
        <w:spacing w:line="650" w:lineRule="exact"/>
        <w:ind w:firstLine="640" w:firstLineChars="200"/>
        <w:jc w:val="left"/>
        <w:textAlignment w:val="auto"/>
        <w:rPr>
          <w:rFonts w:hint="eastAsia" w:ascii="CESI仿宋-GB2312" w:hAnsi="CESI仿宋-GB2312" w:eastAsia="CESI仿宋-GB2312" w:cs="CESI仿宋-GB2312"/>
          <w:b w:val="0"/>
          <w:bCs w:val="0"/>
          <w:sz w:val="32"/>
          <w:szCs w:val="32"/>
          <w:lang w:val="en-US" w:eastAsia="zh-CN"/>
        </w:rPr>
      </w:pPr>
      <w:r>
        <w:rPr>
          <w:rFonts w:hint="eastAsia" w:ascii="CESI仿宋-GB2312" w:hAnsi="CESI仿宋-GB2312" w:eastAsia="CESI仿宋-GB2312" w:cs="CESI仿宋-GB2312"/>
          <w:b w:val="0"/>
          <w:bCs w:val="0"/>
          <w:sz w:val="32"/>
          <w:szCs w:val="32"/>
          <w:lang w:val="en-US" w:eastAsia="zh-CN"/>
        </w:rPr>
        <w:t>附件：1、无仓储危险化学品经营基本情况统计表</w:t>
      </w:r>
    </w:p>
    <w:p>
      <w:pPr>
        <w:keepNext w:val="0"/>
        <w:keepLines w:val="0"/>
        <w:pageBreakBefore w:val="0"/>
        <w:widowControl w:val="0"/>
        <w:numPr>
          <w:ilvl w:val="0"/>
          <w:numId w:val="1"/>
        </w:numPr>
        <w:kinsoku/>
        <w:wordWrap/>
        <w:overflowPunct/>
        <w:topLinePunct w:val="0"/>
        <w:autoSpaceDE/>
        <w:autoSpaceDN/>
        <w:bidi w:val="0"/>
        <w:adjustRightInd/>
        <w:snapToGrid/>
        <w:spacing w:line="650" w:lineRule="exact"/>
        <w:ind w:left="960" w:leftChars="0" w:firstLine="640" w:firstLineChars="200"/>
        <w:jc w:val="left"/>
        <w:textAlignment w:val="auto"/>
        <w:rPr>
          <w:rFonts w:hint="eastAsia" w:ascii="CESI仿宋-GB2312" w:hAnsi="CESI仿宋-GB2312" w:eastAsia="CESI仿宋-GB2312" w:cs="CESI仿宋-GB2312"/>
          <w:b w:val="0"/>
          <w:bCs w:val="0"/>
          <w:sz w:val="32"/>
          <w:szCs w:val="32"/>
          <w:lang w:val="en-US" w:eastAsia="zh-CN"/>
        </w:rPr>
      </w:pPr>
      <w:r>
        <w:rPr>
          <w:rFonts w:hint="eastAsia" w:ascii="CESI仿宋-GB2312" w:hAnsi="CESI仿宋-GB2312" w:eastAsia="CESI仿宋-GB2312" w:cs="CESI仿宋-GB2312"/>
          <w:b w:val="0"/>
          <w:bCs w:val="0"/>
          <w:sz w:val="32"/>
          <w:szCs w:val="32"/>
          <w:lang w:val="en-US" w:eastAsia="zh-CN"/>
        </w:rPr>
        <w:t>无仓储危险化学品经营专项整治开展情况统计表</w:t>
      </w:r>
    </w:p>
    <w:p>
      <w:pPr>
        <w:keepNext w:val="0"/>
        <w:keepLines w:val="0"/>
        <w:pageBreakBefore w:val="0"/>
        <w:widowControl w:val="0"/>
        <w:numPr>
          <w:ilvl w:val="0"/>
          <w:numId w:val="0"/>
        </w:numPr>
        <w:kinsoku/>
        <w:wordWrap/>
        <w:overflowPunct/>
        <w:topLinePunct w:val="0"/>
        <w:autoSpaceDE/>
        <w:autoSpaceDN/>
        <w:bidi w:val="0"/>
        <w:adjustRightInd/>
        <w:snapToGrid/>
        <w:spacing w:line="650" w:lineRule="exact"/>
        <w:ind w:leftChars="200"/>
        <w:jc w:val="left"/>
        <w:textAlignment w:val="auto"/>
        <w:rPr>
          <w:rFonts w:hint="eastAsia" w:ascii="CESI仿宋-GB2312" w:hAnsi="CESI仿宋-GB2312" w:eastAsia="CESI仿宋-GB2312" w:cs="CESI仿宋-GB2312"/>
          <w:b w:val="0"/>
          <w:bCs w:val="0"/>
          <w:sz w:val="32"/>
          <w:szCs w:val="32"/>
          <w:lang w:val="en-US" w:eastAsia="zh-CN"/>
        </w:rPr>
      </w:pPr>
      <w:r>
        <w:rPr>
          <w:rFonts w:hint="eastAsia" w:ascii="CESI仿宋-GB2312" w:hAnsi="CESI仿宋-GB2312" w:eastAsia="CESI仿宋-GB2312" w:cs="CESI仿宋-GB2312"/>
          <w:b w:val="0"/>
          <w:bCs w:val="0"/>
          <w:sz w:val="32"/>
          <w:szCs w:val="32"/>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650" w:lineRule="exact"/>
        <w:ind w:leftChars="200"/>
        <w:jc w:val="left"/>
        <w:textAlignment w:val="auto"/>
        <w:rPr>
          <w:rFonts w:hint="eastAsia" w:ascii="CESI仿宋-GB2312" w:hAnsi="CESI仿宋-GB2312" w:eastAsia="CESI仿宋-GB2312" w:cs="CESI仿宋-GB2312"/>
          <w:b w:val="0"/>
          <w:bCs w:val="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50" w:lineRule="exact"/>
        <w:ind w:leftChars="200"/>
        <w:jc w:val="left"/>
        <w:textAlignment w:val="auto"/>
        <w:rPr>
          <w:rFonts w:hint="default" w:ascii="CESI仿宋-GB2312" w:hAnsi="CESI仿宋-GB2312" w:eastAsia="CESI仿宋-GB2312" w:cs="CESI仿宋-GB2312"/>
          <w:b w:val="0"/>
          <w:bCs w:val="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50" w:lineRule="exact"/>
        <w:ind w:left="960" w:leftChars="0"/>
        <w:jc w:val="right"/>
        <w:textAlignment w:val="auto"/>
        <w:rPr>
          <w:rFonts w:hint="eastAsia" w:ascii="CESI仿宋-GB2312" w:hAnsi="CESI仿宋-GB2312" w:eastAsia="CESI仿宋-GB2312" w:cs="CESI仿宋-GB2312"/>
          <w:b w:val="0"/>
          <w:bCs w:val="0"/>
          <w:sz w:val="32"/>
          <w:szCs w:val="32"/>
          <w:lang w:val="en-US" w:eastAsia="zh-CN"/>
        </w:rPr>
      </w:pPr>
      <w:r>
        <w:rPr>
          <w:rFonts w:hint="eastAsia" w:ascii="CESI仿宋-GB2312" w:hAnsi="CESI仿宋-GB2312" w:eastAsia="CESI仿宋-GB2312" w:cs="CESI仿宋-GB2312"/>
          <w:b w:val="0"/>
          <w:bCs w:val="0"/>
          <w:sz w:val="32"/>
          <w:szCs w:val="32"/>
          <w:lang w:val="en-US" w:eastAsia="zh-CN"/>
        </w:rPr>
        <w:t>运城市应急管理局</w:t>
      </w:r>
    </w:p>
    <w:p>
      <w:pPr>
        <w:keepNext w:val="0"/>
        <w:keepLines w:val="0"/>
        <w:pageBreakBefore w:val="0"/>
        <w:widowControl w:val="0"/>
        <w:numPr>
          <w:ilvl w:val="0"/>
          <w:numId w:val="0"/>
        </w:numPr>
        <w:kinsoku/>
        <w:wordWrap/>
        <w:overflowPunct/>
        <w:topLinePunct w:val="0"/>
        <w:autoSpaceDE/>
        <w:autoSpaceDN/>
        <w:bidi w:val="0"/>
        <w:adjustRightInd/>
        <w:snapToGrid/>
        <w:spacing w:line="650" w:lineRule="exact"/>
        <w:ind w:left="960" w:leftChars="0"/>
        <w:jc w:val="right"/>
        <w:textAlignment w:val="auto"/>
        <w:rPr>
          <w:rFonts w:hint="eastAsia" w:ascii="CESI仿宋-GB2312" w:hAnsi="CESI仿宋-GB2312" w:eastAsia="CESI仿宋-GB2312" w:cs="CESI仿宋-GB2312"/>
          <w:b w:val="0"/>
          <w:bCs w:val="0"/>
          <w:sz w:val="32"/>
          <w:szCs w:val="32"/>
          <w:lang w:val="en-US" w:eastAsia="zh-CN"/>
        </w:rPr>
      </w:pPr>
      <w:r>
        <w:rPr>
          <w:rFonts w:hint="eastAsia" w:ascii="CESI仿宋-GB2312" w:hAnsi="CESI仿宋-GB2312" w:eastAsia="CESI仿宋-GB2312" w:cs="CESI仿宋-GB2312"/>
          <w:b w:val="0"/>
          <w:bCs w:val="0"/>
          <w:sz w:val="32"/>
          <w:szCs w:val="32"/>
          <w:lang w:val="en-US" w:eastAsia="zh-CN"/>
        </w:rPr>
        <w:t>2021年10月9日</w:t>
      </w:r>
    </w:p>
    <w:p>
      <w:pPr>
        <w:keepNext w:val="0"/>
        <w:keepLines w:val="0"/>
        <w:pageBreakBefore w:val="0"/>
        <w:widowControl w:val="0"/>
        <w:kinsoku/>
        <w:wordWrap/>
        <w:overflowPunct/>
        <w:topLinePunct w:val="0"/>
        <w:autoSpaceDE/>
        <w:autoSpaceDN/>
        <w:bidi w:val="0"/>
        <w:adjustRightInd/>
        <w:snapToGrid/>
        <w:spacing w:line="650" w:lineRule="exact"/>
        <w:ind w:left="0" w:leftChars="0" w:right="640" w:firstLine="0" w:firstLine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650" w:lineRule="exact"/>
        <w:ind w:left="0" w:leftChars="0" w:right="640" w:firstLine="0" w:firstLineChars="0"/>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50" w:lineRule="exact"/>
        <w:ind w:left="0" w:leftChars="0" w:right="640" w:firstLine="0" w:firstLineChars="0"/>
        <w:jc w:val="both"/>
        <w:textAlignment w:val="auto"/>
        <w:rPr>
          <w:rFonts w:hint="eastAsia" w:ascii="仿宋_GB2312" w:hAnsi="仿宋_GB2312" w:eastAsia="仿宋_GB2312" w:cs="仿宋_GB2312"/>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650" w:lineRule="exact"/>
        <w:jc w:val="left"/>
        <w:textAlignment w:val="auto"/>
        <w:rPr>
          <w:rFonts w:hint="eastAsia" w:ascii="CESI仿宋-GB2312" w:hAnsi="CESI仿宋-GB2312" w:eastAsia="CESI仿宋-GB2312" w:cs="CESI仿宋-GB2312"/>
          <w:b w:val="0"/>
          <w:bCs w:val="0"/>
          <w:sz w:val="32"/>
          <w:szCs w:val="32"/>
          <w:lang w:val="en-US" w:eastAsia="zh-CN"/>
        </w:rPr>
      </w:pPr>
      <w:r>
        <w:rPr>
          <w:rFonts w:hint="eastAsia" w:ascii="CESI仿宋-GB2312" w:hAnsi="CESI仿宋-GB2312" w:eastAsia="CESI仿宋-GB2312" w:cs="CESI仿宋-GB2312"/>
          <w:b w:val="0"/>
          <w:bCs w:val="0"/>
          <w:sz w:val="32"/>
          <w:szCs w:val="32"/>
          <w:lang w:val="en-US" w:eastAsia="zh-CN"/>
        </w:rPr>
        <w:t>（此件主动公开）</w:t>
      </w:r>
    </w:p>
    <w:p>
      <w:pPr>
        <w:keepNext w:val="0"/>
        <w:keepLines w:val="0"/>
        <w:pageBreakBefore w:val="0"/>
        <w:widowControl w:val="0"/>
        <w:numPr>
          <w:ilvl w:val="0"/>
          <w:numId w:val="0"/>
        </w:numPr>
        <w:kinsoku/>
        <w:wordWrap/>
        <w:overflowPunct/>
        <w:topLinePunct w:val="0"/>
        <w:autoSpaceDE/>
        <w:autoSpaceDN/>
        <w:bidi w:val="0"/>
        <w:adjustRightInd/>
        <w:snapToGrid/>
        <w:spacing w:line="650" w:lineRule="exact"/>
        <w:ind w:left="960" w:leftChars="0"/>
        <w:jc w:val="right"/>
        <w:textAlignment w:val="auto"/>
        <w:rPr>
          <w:rFonts w:hint="eastAsia" w:ascii="CESI仿宋-GB2312" w:hAnsi="CESI仿宋-GB2312" w:eastAsia="CESI仿宋-GB2312" w:cs="CESI仿宋-GB2312"/>
          <w:b w:val="0"/>
          <w:bCs w:val="0"/>
          <w:sz w:val="32"/>
          <w:szCs w:val="32"/>
          <w:lang w:val="en-US" w:eastAsia="zh-CN"/>
        </w:rPr>
        <w:sectPr>
          <w:pgSz w:w="11906" w:h="16838"/>
          <w:pgMar w:top="1871" w:right="1474" w:bottom="1871" w:left="1587" w:header="851" w:footer="992" w:gutter="0"/>
          <w:cols w:space="0" w:num="1"/>
          <w:rtlGutter w:val="0"/>
          <w:docGrid w:type="lines" w:linePitch="312" w:charSpace="0"/>
        </w:sect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left"/>
        <w:textAlignment w:val="auto"/>
        <w:rPr>
          <w:rFonts w:hint="eastAsia" w:ascii="CESI仿宋-GB2312" w:hAnsi="CESI仿宋-GB2312" w:eastAsia="CESI仿宋-GB2312" w:cs="CESI仿宋-GB2312"/>
          <w:b w:val="0"/>
          <w:bCs w:val="0"/>
          <w:sz w:val="32"/>
          <w:szCs w:val="32"/>
          <w:lang w:val="en-US" w:eastAsia="zh-CN"/>
        </w:rPr>
      </w:pPr>
      <w:r>
        <w:rPr>
          <w:rFonts w:hint="eastAsia" w:ascii="CESI仿宋-GB2312" w:hAnsi="CESI仿宋-GB2312" w:eastAsia="CESI仿宋-GB2312" w:cs="CESI仿宋-GB2312"/>
          <w:b w:val="0"/>
          <w:bCs w:val="0"/>
          <w:sz w:val="32"/>
          <w:szCs w:val="32"/>
          <w:lang w:val="en-US" w:eastAsia="zh-CN"/>
        </w:rPr>
        <w:t>附件1</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880" w:firstLineChars="200"/>
        <w:jc w:val="center"/>
        <w:textAlignment w:val="auto"/>
        <w:rPr>
          <w:rFonts w:hint="eastAsia" w:ascii="CESI仿宋-GB2312" w:hAnsi="CESI仿宋-GB2312" w:eastAsia="CESI仿宋-GB2312" w:cs="CESI仿宋-GB2312"/>
          <w:b w:val="0"/>
          <w:bCs w:val="0"/>
          <w:sz w:val="44"/>
          <w:szCs w:val="44"/>
          <w:lang w:val="en-US" w:eastAsia="zh-CN"/>
        </w:rPr>
      </w:pPr>
      <w:r>
        <w:rPr>
          <w:rFonts w:hint="eastAsia" w:ascii="CESI仿宋-GB2312" w:hAnsi="CESI仿宋-GB2312" w:eastAsia="CESI仿宋-GB2312" w:cs="CESI仿宋-GB2312"/>
          <w:b w:val="0"/>
          <w:bCs w:val="0"/>
          <w:sz w:val="44"/>
          <w:szCs w:val="44"/>
          <w:lang w:val="en-US" w:eastAsia="zh-CN"/>
        </w:rPr>
        <w:t>无仓储危险化学品经营基本情况统计表</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880" w:firstLineChars="200"/>
        <w:jc w:val="center"/>
        <w:textAlignment w:val="auto"/>
        <w:rPr>
          <w:rFonts w:hint="eastAsia" w:ascii="CESI仿宋-GB2312" w:hAnsi="CESI仿宋-GB2312" w:eastAsia="CESI仿宋-GB2312" w:cs="CESI仿宋-GB2312"/>
          <w:b w:val="0"/>
          <w:bCs w:val="0"/>
          <w:sz w:val="44"/>
          <w:szCs w:val="4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left"/>
        <w:textAlignment w:val="auto"/>
        <w:rPr>
          <w:rFonts w:hint="eastAsia" w:ascii="CESI仿宋-GB2312" w:hAnsi="CESI仿宋-GB2312" w:eastAsia="CESI仿宋-GB2312" w:cs="CESI仿宋-GB2312"/>
          <w:b w:val="0"/>
          <w:bCs w:val="0"/>
          <w:sz w:val="32"/>
          <w:szCs w:val="32"/>
          <w:lang w:val="en-US" w:eastAsia="zh-CN"/>
        </w:rPr>
      </w:pPr>
      <w:r>
        <w:rPr>
          <w:rFonts w:hint="eastAsia" w:ascii="CESI仿宋-GB2312" w:hAnsi="CESI仿宋-GB2312" w:eastAsia="CESI仿宋-GB2312" w:cs="CESI仿宋-GB2312"/>
          <w:b w:val="0"/>
          <w:bCs w:val="0"/>
          <w:sz w:val="32"/>
          <w:szCs w:val="32"/>
          <w:lang w:val="en-US" w:eastAsia="zh-CN"/>
        </w:rPr>
        <w:t>县区：           填报人：           联系电话：            统计日期：2021年  月  日</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4"/>
        <w:gridCol w:w="1024"/>
        <w:gridCol w:w="1024"/>
        <w:gridCol w:w="1134"/>
        <w:gridCol w:w="914"/>
        <w:gridCol w:w="1024"/>
        <w:gridCol w:w="1024"/>
        <w:gridCol w:w="1024"/>
        <w:gridCol w:w="1227"/>
        <w:gridCol w:w="821"/>
        <w:gridCol w:w="1024"/>
        <w:gridCol w:w="1024"/>
        <w:gridCol w:w="10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CESI仿宋-GB2312" w:hAnsi="CESI仿宋-GB2312" w:eastAsia="CESI仿宋-GB2312" w:cs="CESI仿宋-GB2312"/>
                <w:b w:val="0"/>
                <w:bCs w:val="0"/>
                <w:sz w:val="24"/>
                <w:szCs w:val="24"/>
                <w:vertAlign w:val="baseline"/>
                <w:lang w:val="en-US" w:eastAsia="zh-CN"/>
              </w:rPr>
            </w:pPr>
            <w:r>
              <w:rPr>
                <w:rFonts w:hint="eastAsia" w:ascii="CESI仿宋-GB2312" w:hAnsi="CESI仿宋-GB2312" w:eastAsia="CESI仿宋-GB2312" w:cs="CESI仿宋-GB2312"/>
                <w:b w:val="0"/>
                <w:bCs w:val="0"/>
                <w:sz w:val="24"/>
                <w:szCs w:val="24"/>
                <w:vertAlign w:val="baseline"/>
                <w:lang w:val="en-US" w:eastAsia="zh-CN"/>
              </w:rPr>
              <w:t>序号</w:t>
            </w:r>
          </w:p>
        </w:tc>
        <w:tc>
          <w:tcPr>
            <w:tcW w:w="102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CESI仿宋-GB2312" w:hAnsi="CESI仿宋-GB2312" w:eastAsia="CESI仿宋-GB2312" w:cs="CESI仿宋-GB2312"/>
                <w:b w:val="0"/>
                <w:bCs w:val="0"/>
                <w:sz w:val="24"/>
                <w:szCs w:val="24"/>
                <w:vertAlign w:val="baseline"/>
                <w:lang w:val="en-US" w:eastAsia="zh-CN"/>
              </w:rPr>
            </w:pPr>
            <w:r>
              <w:rPr>
                <w:rFonts w:hint="eastAsia" w:ascii="CESI仿宋-GB2312" w:hAnsi="CESI仿宋-GB2312" w:eastAsia="CESI仿宋-GB2312" w:cs="CESI仿宋-GB2312"/>
                <w:b w:val="0"/>
                <w:bCs w:val="0"/>
                <w:sz w:val="24"/>
                <w:szCs w:val="24"/>
                <w:vertAlign w:val="baseline"/>
                <w:lang w:val="en-US" w:eastAsia="zh-CN"/>
              </w:rPr>
              <w:t>企业</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CESI仿宋-GB2312" w:hAnsi="CESI仿宋-GB2312" w:eastAsia="CESI仿宋-GB2312" w:cs="CESI仿宋-GB2312"/>
                <w:b w:val="0"/>
                <w:bCs w:val="0"/>
                <w:sz w:val="24"/>
                <w:szCs w:val="24"/>
                <w:vertAlign w:val="baseline"/>
                <w:lang w:val="en-US" w:eastAsia="zh-CN"/>
              </w:rPr>
            </w:pPr>
            <w:r>
              <w:rPr>
                <w:rFonts w:hint="eastAsia" w:ascii="CESI仿宋-GB2312" w:hAnsi="CESI仿宋-GB2312" w:eastAsia="CESI仿宋-GB2312" w:cs="CESI仿宋-GB2312"/>
                <w:b w:val="0"/>
                <w:bCs w:val="0"/>
                <w:sz w:val="24"/>
                <w:szCs w:val="24"/>
                <w:vertAlign w:val="baseline"/>
                <w:lang w:val="en-US" w:eastAsia="zh-CN"/>
              </w:rPr>
              <w:t>名称</w:t>
            </w:r>
          </w:p>
        </w:tc>
        <w:tc>
          <w:tcPr>
            <w:tcW w:w="1024" w:type="dxa"/>
            <w:vAlign w:val="center"/>
          </w:tcPr>
          <w:p>
            <w:pPr>
              <w:keepNext w:val="0"/>
              <w:keepLines w:val="0"/>
              <w:pageBreakBefore w:val="0"/>
              <w:widowControl w:val="0"/>
              <w:numPr>
                <w:ilvl w:val="0"/>
                <w:numId w:val="0"/>
              </w:numPr>
              <w:tabs>
                <w:tab w:val="left" w:pos="238"/>
              </w:tabs>
              <w:kinsoku/>
              <w:wordWrap/>
              <w:overflowPunct/>
              <w:topLinePunct w:val="0"/>
              <w:autoSpaceDE/>
              <w:autoSpaceDN/>
              <w:bidi w:val="0"/>
              <w:adjustRightInd/>
              <w:snapToGrid/>
              <w:spacing w:line="400" w:lineRule="exact"/>
              <w:jc w:val="center"/>
              <w:textAlignment w:val="auto"/>
              <w:rPr>
                <w:rFonts w:hint="eastAsia" w:ascii="CESI仿宋-GB2312" w:hAnsi="CESI仿宋-GB2312" w:eastAsia="CESI仿宋-GB2312" w:cs="CESI仿宋-GB2312"/>
                <w:b w:val="0"/>
                <w:bCs w:val="0"/>
                <w:sz w:val="24"/>
                <w:szCs w:val="24"/>
                <w:vertAlign w:val="baseline"/>
                <w:lang w:val="en-US" w:eastAsia="zh-CN"/>
              </w:rPr>
            </w:pPr>
            <w:r>
              <w:rPr>
                <w:rFonts w:hint="eastAsia" w:ascii="CESI仿宋-GB2312" w:hAnsi="CESI仿宋-GB2312" w:eastAsia="CESI仿宋-GB2312" w:cs="CESI仿宋-GB2312"/>
                <w:b w:val="0"/>
                <w:bCs w:val="0"/>
                <w:sz w:val="24"/>
                <w:szCs w:val="24"/>
                <w:vertAlign w:val="baseline"/>
                <w:lang w:val="en-US" w:eastAsia="zh-CN"/>
              </w:rPr>
              <w:t>注册</w:t>
            </w:r>
          </w:p>
          <w:p>
            <w:pPr>
              <w:keepNext w:val="0"/>
              <w:keepLines w:val="0"/>
              <w:pageBreakBefore w:val="0"/>
              <w:widowControl w:val="0"/>
              <w:numPr>
                <w:ilvl w:val="0"/>
                <w:numId w:val="0"/>
              </w:numPr>
              <w:tabs>
                <w:tab w:val="left" w:pos="238"/>
              </w:tabs>
              <w:kinsoku/>
              <w:wordWrap/>
              <w:overflowPunct/>
              <w:topLinePunct w:val="0"/>
              <w:autoSpaceDE/>
              <w:autoSpaceDN/>
              <w:bidi w:val="0"/>
              <w:adjustRightInd/>
              <w:snapToGrid/>
              <w:spacing w:line="400" w:lineRule="exact"/>
              <w:jc w:val="center"/>
              <w:textAlignment w:val="auto"/>
              <w:rPr>
                <w:rFonts w:hint="eastAsia" w:ascii="CESI仿宋-GB2312" w:hAnsi="CESI仿宋-GB2312" w:eastAsia="CESI仿宋-GB2312" w:cs="CESI仿宋-GB2312"/>
                <w:b w:val="0"/>
                <w:bCs w:val="0"/>
                <w:sz w:val="24"/>
                <w:szCs w:val="24"/>
                <w:vertAlign w:val="baseline"/>
                <w:lang w:val="en-US" w:eastAsia="zh-CN"/>
              </w:rPr>
            </w:pPr>
            <w:r>
              <w:rPr>
                <w:rFonts w:hint="eastAsia" w:ascii="CESI仿宋-GB2312" w:hAnsi="CESI仿宋-GB2312" w:eastAsia="CESI仿宋-GB2312" w:cs="CESI仿宋-GB2312"/>
                <w:b w:val="0"/>
                <w:bCs w:val="0"/>
                <w:sz w:val="24"/>
                <w:szCs w:val="24"/>
                <w:vertAlign w:val="baseline"/>
                <w:lang w:val="en-US" w:eastAsia="zh-CN"/>
              </w:rPr>
              <w:t>地址</w:t>
            </w:r>
          </w:p>
        </w:tc>
        <w:tc>
          <w:tcPr>
            <w:tcW w:w="113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CESI仿宋-GB2312" w:hAnsi="CESI仿宋-GB2312" w:eastAsia="CESI仿宋-GB2312" w:cs="CESI仿宋-GB2312"/>
                <w:b w:val="0"/>
                <w:bCs w:val="0"/>
                <w:sz w:val="24"/>
                <w:szCs w:val="24"/>
                <w:vertAlign w:val="baseline"/>
                <w:lang w:val="en-US" w:eastAsia="zh-CN"/>
              </w:rPr>
            </w:pPr>
            <w:r>
              <w:rPr>
                <w:rFonts w:hint="eastAsia" w:ascii="CESI仿宋-GB2312" w:hAnsi="CESI仿宋-GB2312" w:eastAsia="CESI仿宋-GB2312" w:cs="CESI仿宋-GB2312"/>
                <w:b w:val="0"/>
                <w:bCs w:val="0"/>
                <w:sz w:val="24"/>
                <w:szCs w:val="24"/>
                <w:vertAlign w:val="baseline"/>
                <w:lang w:val="en-US" w:eastAsia="zh-CN"/>
              </w:rPr>
              <w:t>主要负责人</w:t>
            </w:r>
          </w:p>
        </w:tc>
        <w:tc>
          <w:tcPr>
            <w:tcW w:w="91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CESI仿宋-GB2312" w:hAnsi="CESI仿宋-GB2312" w:eastAsia="CESI仿宋-GB2312" w:cs="CESI仿宋-GB2312"/>
                <w:b w:val="0"/>
                <w:bCs w:val="0"/>
                <w:sz w:val="24"/>
                <w:szCs w:val="24"/>
                <w:vertAlign w:val="baseline"/>
                <w:lang w:val="en-US" w:eastAsia="zh-CN"/>
              </w:rPr>
            </w:pPr>
            <w:r>
              <w:rPr>
                <w:rFonts w:hint="eastAsia" w:ascii="CESI仿宋-GB2312" w:hAnsi="CESI仿宋-GB2312" w:eastAsia="CESI仿宋-GB2312" w:cs="CESI仿宋-GB2312"/>
                <w:b w:val="0"/>
                <w:bCs w:val="0"/>
                <w:sz w:val="24"/>
                <w:szCs w:val="24"/>
                <w:vertAlign w:val="baseline"/>
                <w:lang w:val="en-US" w:eastAsia="zh-CN"/>
              </w:rPr>
              <w:t>联系方式</w:t>
            </w:r>
          </w:p>
        </w:tc>
        <w:tc>
          <w:tcPr>
            <w:tcW w:w="102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CESI仿宋-GB2312" w:hAnsi="CESI仿宋-GB2312" w:eastAsia="CESI仿宋-GB2312" w:cs="CESI仿宋-GB2312"/>
                <w:b w:val="0"/>
                <w:bCs w:val="0"/>
                <w:sz w:val="24"/>
                <w:szCs w:val="24"/>
                <w:vertAlign w:val="baseline"/>
                <w:lang w:val="en-US" w:eastAsia="zh-CN"/>
              </w:rPr>
            </w:pPr>
            <w:r>
              <w:rPr>
                <w:rFonts w:hint="eastAsia" w:ascii="CESI仿宋-GB2312" w:hAnsi="CESI仿宋-GB2312" w:eastAsia="CESI仿宋-GB2312" w:cs="CESI仿宋-GB2312"/>
                <w:b w:val="0"/>
                <w:bCs w:val="0"/>
                <w:sz w:val="24"/>
                <w:szCs w:val="24"/>
                <w:vertAlign w:val="baseline"/>
                <w:lang w:val="en-US" w:eastAsia="zh-CN"/>
              </w:rPr>
              <w:t>许可证编号</w:t>
            </w:r>
          </w:p>
        </w:tc>
        <w:tc>
          <w:tcPr>
            <w:tcW w:w="102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CESI仿宋-GB2312" w:hAnsi="CESI仿宋-GB2312" w:eastAsia="CESI仿宋-GB2312" w:cs="CESI仿宋-GB2312"/>
                <w:b w:val="0"/>
                <w:bCs w:val="0"/>
                <w:sz w:val="24"/>
                <w:szCs w:val="24"/>
                <w:vertAlign w:val="baseline"/>
                <w:lang w:val="en-US" w:eastAsia="zh-CN"/>
              </w:rPr>
            </w:pPr>
            <w:r>
              <w:rPr>
                <w:rFonts w:hint="eastAsia" w:ascii="CESI仿宋-GB2312" w:hAnsi="CESI仿宋-GB2312" w:eastAsia="CESI仿宋-GB2312" w:cs="CESI仿宋-GB2312"/>
                <w:b w:val="0"/>
                <w:bCs w:val="0"/>
                <w:sz w:val="24"/>
                <w:szCs w:val="24"/>
                <w:vertAlign w:val="baseline"/>
                <w:lang w:val="en-US" w:eastAsia="zh-CN"/>
              </w:rPr>
              <w:t>许可证到期日期</w:t>
            </w:r>
          </w:p>
        </w:tc>
        <w:tc>
          <w:tcPr>
            <w:tcW w:w="102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CESI仿宋-GB2312" w:hAnsi="CESI仿宋-GB2312" w:eastAsia="CESI仿宋-GB2312" w:cs="CESI仿宋-GB2312"/>
                <w:b w:val="0"/>
                <w:bCs w:val="0"/>
                <w:sz w:val="24"/>
                <w:szCs w:val="24"/>
                <w:vertAlign w:val="baseline"/>
                <w:lang w:val="en-US" w:eastAsia="zh-CN"/>
              </w:rPr>
            </w:pPr>
            <w:r>
              <w:rPr>
                <w:rFonts w:hint="eastAsia" w:ascii="CESI仿宋-GB2312" w:hAnsi="CESI仿宋-GB2312" w:eastAsia="CESI仿宋-GB2312" w:cs="CESI仿宋-GB2312"/>
                <w:b w:val="0"/>
                <w:bCs w:val="0"/>
                <w:sz w:val="24"/>
                <w:szCs w:val="24"/>
                <w:vertAlign w:val="baseline"/>
                <w:lang w:val="en-US" w:eastAsia="zh-CN"/>
              </w:rPr>
              <w:t>许可</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CESI仿宋-GB2312" w:hAnsi="CESI仿宋-GB2312" w:eastAsia="CESI仿宋-GB2312" w:cs="CESI仿宋-GB2312"/>
                <w:b w:val="0"/>
                <w:bCs w:val="0"/>
                <w:sz w:val="24"/>
                <w:szCs w:val="24"/>
                <w:vertAlign w:val="baseline"/>
                <w:lang w:val="en-US" w:eastAsia="zh-CN"/>
              </w:rPr>
            </w:pPr>
            <w:r>
              <w:rPr>
                <w:rFonts w:hint="eastAsia" w:ascii="CESI仿宋-GB2312" w:hAnsi="CESI仿宋-GB2312" w:eastAsia="CESI仿宋-GB2312" w:cs="CESI仿宋-GB2312"/>
                <w:b w:val="0"/>
                <w:bCs w:val="0"/>
                <w:sz w:val="24"/>
                <w:szCs w:val="24"/>
                <w:vertAlign w:val="baseline"/>
                <w:lang w:val="en-US" w:eastAsia="zh-CN"/>
              </w:rPr>
              <w:t>范围</w:t>
            </w:r>
          </w:p>
        </w:tc>
        <w:tc>
          <w:tcPr>
            <w:tcW w:w="122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CESI仿宋-GB2312" w:hAnsi="CESI仿宋-GB2312" w:eastAsia="CESI仿宋-GB2312" w:cs="CESI仿宋-GB2312"/>
                <w:b w:val="0"/>
                <w:bCs w:val="0"/>
                <w:sz w:val="24"/>
                <w:szCs w:val="24"/>
                <w:vertAlign w:val="baseline"/>
                <w:lang w:val="en-US" w:eastAsia="zh-CN"/>
              </w:rPr>
            </w:pPr>
            <w:r>
              <w:rPr>
                <w:rFonts w:hint="eastAsia" w:ascii="CESI仿宋-GB2312" w:hAnsi="CESI仿宋-GB2312" w:eastAsia="CESI仿宋-GB2312" w:cs="CESI仿宋-GB2312"/>
                <w:b w:val="0"/>
                <w:bCs w:val="0"/>
                <w:sz w:val="24"/>
                <w:szCs w:val="24"/>
                <w:vertAlign w:val="baseline"/>
                <w:lang w:val="en-US" w:eastAsia="zh-CN"/>
              </w:rPr>
              <w:t>重点监管的危险化学品</w:t>
            </w:r>
          </w:p>
        </w:tc>
        <w:tc>
          <w:tcPr>
            <w:tcW w:w="82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CESI仿宋-GB2312" w:hAnsi="CESI仿宋-GB2312" w:eastAsia="CESI仿宋-GB2312" w:cs="CESI仿宋-GB2312"/>
                <w:b w:val="0"/>
                <w:bCs w:val="0"/>
                <w:sz w:val="24"/>
                <w:szCs w:val="24"/>
                <w:vertAlign w:val="baseline"/>
                <w:lang w:val="en-US" w:eastAsia="zh-CN"/>
              </w:rPr>
            </w:pPr>
            <w:r>
              <w:rPr>
                <w:rFonts w:hint="eastAsia" w:ascii="CESI仿宋-GB2312" w:hAnsi="CESI仿宋-GB2312" w:eastAsia="CESI仿宋-GB2312" w:cs="CESI仿宋-GB2312"/>
                <w:b w:val="0"/>
                <w:bCs w:val="0"/>
                <w:sz w:val="24"/>
                <w:szCs w:val="24"/>
                <w:vertAlign w:val="baseline"/>
                <w:lang w:val="en-US" w:eastAsia="zh-CN"/>
              </w:rPr>
              <w:t>易制毒危险化学品</w:t>
            </w:r>
          </w:p>
        </w:tc>
        <w:tc>
          <w:tcPr>
            <w:tcW w:w="102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CESI仿宋-GB2312" w:hAnsi="CESI仿宋-GB2312" w:eastAsia="CESI仿宋-GB2312" w:cs="CESI仿宋-GB2312"/>
                <w:b w:val="0"/>
                <w:bCs w:val="0"/>
                <w:sz w:val="24"/>
                <w:szCs w:val="24"/>
                <w:vertAlign w:val="baseline"/>
                <w:lang w:val="en-US" w:eastAsia="zh-CN"/>
              </w:rPr>
            </w:pPr>
            <w:r>
              <w:rPr>
                <w:rFonts w:hint="eastAsia" w:ascii="CESI仿宋-GB2312" w:hAnsi="CESI仿宋-GB2312" w:eastAsia="CESI仿宋-GB2312" w:cs="CESI仿宋-GB2312"/>
                <w:b w:val="0"/>
                <w:bCs w:val="0"/>
                <w:sz w:val="24"/>
                <w:szCs w:val="24"/>
                <w:vertAlign w:val="baseline"/>
                <w:lang w:val="en-US" w:eastAsia="zh-CN"/>
              </w:rPr>
              <w:t>易制爆危险化学品</w:t>
            </w:r>
          </w:p>
        </w:tc>
        <w:tc>
          <w:tcPr>
            <w:tcW w:w="102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CESI仿宋-GB2312" w:hAnsi="CESI仿宋-GB2312" w:eastAsia="CESI仿宋-GB2312" w:cs="CESI仿宋-GB2312"/>
                <w:b w:val="0"/>
                <w:bCs w:val="0"/>
                <w:sz w:val="24"/>
                <w:szCs w:val="24"/>
                <w:vertAlign w:val="baseline"/>
                <w:lang w:val="en-US" w:eastAsia="zh-CN"/>
              </w:rPr>
            </w:pPr>
            <w:r>
              <w:rPr>
                <w:rFonts w:hint="eastAsia" w:ascii="CESI仿宋-GB2312" w:hAnsi="CESI仿宋-GB2312" w:eastAsia="CESI仿宋-GB2312" w:cs="CESI仿宋-GB2312"/>
                <w:b w:val="0"/>
                <w:bCs w:val="0"/>
                <w:sz w:val="24"/>
                <w:szCs w:val="24"/>
                <w:vertAlign w:val="baseline"/>
                <w:lang w:val="en-US" w:eastAsia="zh-CN"/>
              </w:rPr>
              <w:t>剧毒化学品</w:t>
            </w:r>
          </w:p>
        </w:tc>
        <w:tc>
          <w:tcPr>
            <w:tcW w:w="102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CESI仿宋-GB2312" w:hAnsi="CESI仿宋-GB2312" w:eastAsia="CESI仿宋-GB2312" w:cs="CESI仿宋-GB2312"/>
                <w:b w:val="0"/>
                <w:bCs w:val="0"/>
                <w:sz w:val="24"/>
                <w:szCs w:val="24"/>
                <w:vertAlign w:val="baseline"/>
                <w:lang w:val="en-US" w:eastAsia="zh-CN"/>
              </w:rPr>
            </w:pPr>
            <w:r>
              <w:rPr>
                <w:rFonts w:hint="eastAsia" w:ascii="CESI仿宋-GB2312" w:hAnsi="CESI仿宋-GB2312" w:eastAsia="CESI仿宋-GB2312" w:cs="CESI仿宋-GB2312"/>
                <w:b w:val="0"/>
                <w:bCs w:val="0"/>
                <w:sz w:val="24"/>
                <w:szCs w:val="24"/>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4" w:type="dxa"/>
          </w:tcPr>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rPr>
                <w:rFonts w:hint="eastAsia" w:ascii="CESI仿宋-GB2312" w:hAnsi="CESI仿宋-GB2312" w:eastAsia="CESI仿宋-GB2312" w:cs="CESI仿宋-GB2312"/>
                <w:b w:val="0"/>
                <w:bCs w:val="0"/>
                <w:sz w:val="44"/>
                <w:szCs w:val="44"/>
                <w:vertAlign w:val="baseline"/>
                <w:lang w:val="en-US" w:eastAsia="zh-CN"/>
              </w:rPr>
            </w:pPr>
          </w:p>
        </w:tc>
        <w:tc>
          <w:tcPr>
            <w:tcW w:w="1024" w:type="dxa"/>
          </w:tcPr>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rPr>
                <w:rFonts w:hint="eastAsia" w:ascii="CESI仿宋-GB2312" w:hAnsi="CESI仿宋-GB2312" w:eastAsia="CESI仿宋-GB2312" w:cs="CESI仿宋-GB2312"/>
                <w:b w:val="0"/>
                <w:bCs w:val="0"/>
                <w:sz w:val="44"/>
                <w:szCs w:val="44"/>
                <w:vertAlign w:val="baseline"/>
                <w:lang w:val="en-US" w:eastAsia="zh-CN"/>
              </w:rPr>
            </w:pPr>
          </w:p>
        </w:tc>
        <w:tc>
          <w:tcPr>
            <w:tcW w:w="1024" w:type="dxa"/>
          </w:tcPr>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rPr>
                <w:rFonts w:hint="eastAsia" w:ascii="CESI仿宋-GB2312" w:hAnsi="CESI仿宋-GB2312" w:eastAsia="CESI仿宋-GB2312" w:cs="CESI仿宋-GB2312"/>
                <w:b w:val="0"/>
                <w:bCs w:val="0"/>
                <w:sz w:val="44"/>
                <w:szCs w:val="44"/>
                <w:vertAlign w:val="baseline"/>
                <w:lang w:val="en-US" w:eastAsia="zh-CN"/>
              </w:rPr>
            </w:pPr>
          </w:p>
        </w:tc>
        <w:tc>
          <w:tcPr>
            <w:tcW w:w="1134" w:type="dxa"/>
          </w:tcPr>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rPr>
                <w:rFonts w:hint="eastAsia" w:ascii="CESI仿宋-GB2312" w:hAnsi="CESI仿宋-GB2312" w:eastAsia="CESI仿宋-GB2312" w:cs="CESI仿宋-GB2312"/>
                <w:b w:val="0"/>
                <w:bCs w:val="0"/>
                <w:sz w:val="44"/>
                <w:szCs w:val="44"/>
                <w:vertAlign w:val="baseline"/>
                <w:lang w:val="en-US" w:eastAsia="zh-CN"/>
              </w:rPr>
            </w:pPr>
          </w:p>
        </w:tc>
        <w:tc>
          <w:tcPr>
            <w:tcW w:w="914" w:type="dxa"/>
          </w:tcPr>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rPr>
                <w:rFonts w:hint="eastAsia" w:ascii="CESI仿宋-GB2312" w:hAnsi="CESI仿宋-GB2312" w:eastAsia="CESI仿宋-GB2312" w:cs="CESI仿宋-GB2312"/>
                <w:b w:val="0"/>
                <w:bCs w:val="0"/>
                <w:sz w:val="44"/>
                <w:szCs w:val="44"/>
                <w:vertAlign w:val="baseline"/>
                <w:lang w:val="en-US" w:eastAsia="zh-CN"/>
              </w:rPr>
            </w:pPr>
          </w:p>
        </w:tc>
        <w:tc>
          <w:tcPr>
            <w:tcW w:w="1024" w:type="dxa"/>
          </w:tcPr>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rPr>
                <w:rFonts w:hint="eastAsia" w:ascii="CESI仿宋-GB2312" w:hAnsi="CESI仿宋-GB2312" w:eastAsia="CESI仿宋-GB2312" w:cs="CESI仿宋-GB2312"/>
                <w:b w:val="0"/>
                <w:bCs w:val="0"/>
                <w:sz w:val="44"/>
                <w:szCs w:val="44"/>
                <w:vertAlign w:val="baseline"/>
                <w:lang w:val="en-US" w:eastAsia="zh-CN"/>
              </w:rPr>
            </w:pPr>
          </w:p>
        </w:tc>
        <w:tc>
          <w:tcPr>
            <w:tcW w:w="1024" w:type="dxa"/>
          </w:tcPr>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rPr>
                <w:rFonts w:hint="eastAsia" w:ascii="CESI仿宋-GB2312" w:hAnsi="CESI仿宋-GB2312" w:eastAsia="CESI仿宋-GB2312" w:cs="CESI仿宋-GB2312"/>
                <w:b w:val="0"/>
                <w:bCs w:val="0"/>
                <w:sz w:val="44"/>
                <w:szCs w:val="44"/>
                <w:vertAlign w:val="baseline"/>
                <w:lang w:val="en-US" w:eastAsia="zh-CN"/>
              </w:rPr>
            </w:pPr>
          </w:p>
        </w:tc>
        <w:tc>
          <w:tcPr>
            <w:tcW w:w="1024" w:type="dxa"/>
          </w:tcPr>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rPr>
                <w:rFonts w:hint="eastAsia" w:ascii="CESI仿宋-GB2312" w:hAnsi="CESI仿宋-GB2312" w:eastAsia="CESI仿宋-GB2312" w:cs="CESI仿宋-GB2312"/>
                <w:b w:val="0"/>
                <w:bCs w:val="0"/>
                <w:sz w:val="44"/>
                <w:szCs w:val="44"/>
                <w:vertAlign w:val="baseline"/>
                <w:lang w:val="en-US" w:eastAsia="zh-CN"/>
              </w:rPr>
            </w:pPr>
          </w:p>
        </w:tc>
        <w:tc>
          <w:tcPr>
            <w:tcW w:w="1227" w:type="dxa"/>
          </w:tcPr>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rPr>
                <w:rFonts w:hint="eastAsia" w:ascii="CESI仿宋-GB2312" w:hAnsi="CESI仿宋-GB2312" w:eastAsia="CESI仿宋-GB2312" w:cs="CESI仿宋-GB2312"/>
                <w:b w:val="0"/>
                <w:bCs w:val="0"/>
                <w:sz w:val="44"/>
                <w:szCs w:val="44"/>
                <w:vertAlign w:val="baseline"/>
                <w:lang w:val="en-US" w:eastAsia="zh-CN"/>
              </w:rPr>
            </w:pPr>
          </w:p>
        </w:tc>
        <w:tc>
          <w:tcPr>
            <w:tcW w:w="821" w:type="dxa"/>
          </w:tcPr>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rPr>
                <w:rFonts w:hint="eastAsia" w:ascii="CESI仿宋-GB2312" w:hAnsi="CESI仿宋-GB2312" w:eastAsia="CESI仿宋-GB2312" w:cs="CESI仿宋-GB2312"/>
                <w:b w:val="0"/>
                <w:bCs w:val="0"/>
                <w:sz w:val="44"/>
                <w:szCs w:val="44"/>
                <w:vertAlign w:val="baseline"/>
                <w:lang w:val="en-US" w:eastAsia="zh-CN"/>
              </w:rPr>
            </w:pPr>
          </w:p>
        </w:tc>
        <w:tc>
          <w:tcPr>
            <w:tcW w:w="1024" w:type="dxa"/>
          </w:tcPr>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rPr>
                <w:rFonts w:hint="eastAsia" w:ascii="CESI仿宋-GB2312" w:hAnsi="CESI仿宋-GB2312" w:eastAsia="CESI仿宋-GB2312" w:cs="CESI仿宋-GB2312"/>
                <w:b w:val="0"/>
                <w:bCs w:val="0"/>
                <w:sz w:val="44"/>
                <w:szCs w:val="44"/>
                <w:vertAlign w:val="baseline"/>
                <w:lang w:val="en-US" w:eastAsia="zh-CN"/>
              </w:rPr>
            </w:pPr>
          </w:p>
        </w:tc>
        <w:tc>
          <w:tcPr>
            <w:tcW w:w="1024" w:type="dxa"/>
          </w:tcPr>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rPr>
                <w:rFonts w:hint="eastAsia" w:ascii="CESI仿宋-GB2312" w:hAnsi="CESI仿宋-GB2312" w:eastAsia="CESI仿宋-GB2312" w:cs="CESI仿宋-GB2312"/>
                <w:b w:val="0"/>
                <w:bCs w:val="0"/>
                <w:sz w:val="44"/>
                <w:szCs w:val="44"/>
                <w:vertAlign w:val="baseline"/>
                <w:lang w:val="en-US" w:eastAsia="zh-CN"/>
              </w:rPr>
            </w:pPr>
          </w:p>
        </w:tc>
        <w:tc>
          <w:tcPr>
            <w:tcW w:w="1024" w:type="dxa"/>
          </w:tcPr>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rPr>
                <w:rFonts w:hint="eastAsia" w:ascii="CESI仿宋-GB2312" w:hAnsi="CESI仿宋-GB2312" w:eastAsia="CESI仿宋-GB2312" w:cs="CESI仿宋-GB2312"/>
                <w:b w:val="0"/>
                <w:bCs w:val="0"/>
                <w:sz w:val="44"/>
                <w:szCs w:val="4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4" w:type="dxa"/>
          </w:tcPr>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rPr>
                <w:rFonts w:hint="eastAsia" w:ascii="CESI仿宋-GB2312" w:hAnsi="CESI仿宋-GB2312" w:eastAsia="CESI仿宋-GB2312" w:cs="CESI仿宋-GB2312"/>
                <w:b w:val="0"/>
                <w:bCs w:val="0"/>
                <w:sz w:val="44"/>
                <w:szCs w:val="44"/>
                <w:vertAlign w:val="baseline"/>
                <w:lang w:val="en-US" w:eastAsia="zh-CN"/>
              </w:rPr>
            </w:pPr>
          </w:p>
        </w:tc>
        <w:tc>
          <w:tcPr>
            <w:tcW w:w="1024" w:type="dxa"/>
          </w:tcPr>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rPr>
                <w:rFonts w:hint="eastAsia" w:ascii="CESI仿宋-GB2312" w:hAnsi="CESI仿宋-GB2312" w:eastAsia="CESI仿宋-GB2312" w:cs="CESI仿宋-GB2312"/>
                <w:b w:val="0"/>
                <w:bCs w:val="0"/>
                <w:sz w:val="44"/>
                <w:szCs w:val="44"/>
                <w:vertAlign w:val="baseline"/>
                <w:lang w:val="en-US" w:eastAsia="zh-CN"/>
              </w:rPr>
            </w:pPr>
          </w:p>
        </w:tc>
        <w:tc>
          <w:tcPr>
            <w:tcW w:w="1024" w:type="dxa"/>
          </w:tcPr>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rPr>
                <w:rFonts w:hint="eastAsia" w:ascii="CESI仿宋-GB2312" w:hAnsi="CESI仿宋-GB2312" w:eastAsia="CESI仿宋-GB2312" w:cs="CESI仿宋-GB2312"/>
                <w:b w:val="0"/>
                <w:bCs w:val="0"/>
                <w:sz w:val="44"/>
                <w:szCs w:val="44"/>
                <w:vertAlign w:val="baseline"/>
                <w:lang w:val="en-US" w:eastAsia="zh-CN"/>
              </w:rPr>
            </w:pPr>
          </w:p>
        </w:tc>
        <w:tc>
          <w:tcPr>
            <w:tcW w:w="1134" w:type="dxa"/>
          </w:tcPr>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rPr>
                <w:rFonts w:hint="eastAsia" w:ascii="CESI仿宋-GB2312" w:hAnsi="CESI仿宋-GB2312" w:eastAsia="CESI仿宋-GB2312" w:cs="CESI仿宋-GB2312"/>
                <w:b w:val="0"/>
                <w:bCs w:val="0"/>
                <w:sz w:val="44"/>
                <w:szCs w:val="44"/>
                <w:vertAlign w:val="baseline"/>
                <w:lang w:val="en-US" w:eastAsia="zh-CN"/>
              </w:rPr>
            </w:pPr>
          </w:p>
        </w:tc>
        <w:tc>
          <w:tcPr>
            <w:tcW w:w="914" w:type="dxa"/>
          </w:tcPr>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rPr>
                <w:rFonts w:hint="eastAsia" w:ascii="CESI仿宋-GB2312" w:hAnsi="CESI仿宋-GB2312" w:eastAsia="CESI仿宋-GB2312" w:cs="CESI仿宋-GB2312"/>
                <w:b w:val="0"/>
                <w:bCs w:val="0"/>
                <w:sz w:val="44"/>
                <w:szCs w:val="44"/>
                <w:vertAlign w:val="baseline"/>
                <w:lang w:val="en-US" w:eastAsia="zh-CN"/>
              </w:rPr>
            </w:pPr>
          </w:p>
        </w:tc>
        <w:tc>
          <w:tcPr>
            <w:tcW w:w="1024" w:type="dxa"/>
          </w:tcPr>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rPr>
                <w:rFonts w:hint="eastAsia" w:ascii="CESI仿宋-GB2312" w:hAnsi="CESI仿宋-GB2312" w:eastAsia="CESI仿宋-GB2312" w:cs="CESI仿宋-GB2312"/>
                <w:b w:val="0"/>
                <w:bCs w:val="0"/>
                <w:sz w:val="44"/>
                <w:szCs w:val="44"/>
                <w:vertAlign w:val="baseline"/>
                <w:lang w:val="en-US" w:eastAsia="zh-CN"/>
              </w:rPr>
            </w:pPr>
          </w:p>
        </w:tc>
        <w:tc>
          <w:tcPr>
            <w:tcW w:w="1024" w:type="dxa"/>
          </w:tcPr>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rPr>
                <w:rFonts w:hint="eastAsia" w:ascii="CESI仿宋-GB2312" w:hAnsi="CESI仿宋-GB2312" w:eastAsia="CESI仿宋-GB2312" w:cs="CESI仿宋-GB2312"/>
                <w:b w:val="0"/>
                <w:bCs w:val="0"/>
                <w:sz w:val="44"/>
                <w:szCs w:val="44"/>
                <w:vertAlign w:val="baseline"/>
                <w:lang w:val="en-US" w:eastAsia="zh-CN"/>
              </w:rPr>
            </w:pPr>
          </w:p>
        </w:tc>
        <w:tc>
          <w:tcPr>
            <w:tcW w:w="1024" w:type="dxa"/>
          </w:tcPr>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rPr>
                <w:rFonts w:hint="eastAsia" w:ascii="CESI仿宋-GB2312" w:hAnsi="CESI仿宋-GB2312" w:eastAsia="CESI仿宋-GB2312" w:cs="CESI仿宋-GB2312"/>
                <w:b w:val="0"/>
                <w:bCs w:val="0"/>
                <w:sz w:val="44"/>
                <w:szCs w:val="44"/>
                <w:vertAlign w:val="baseline"/>
                <w:lang w:val="en-US" w:eastAsia="zh-CN"/>
              </w:rPr>
            </w:pPr>
          </w:p>
        </w:tc>
        <w:tc>
          <w:tcPr>
            <w:tcW w:w="1227" w:type="dxa"/>
          </w:tcPr>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rPr>
                <w:rFonts w:hint="eastAsia" w:ascii="CESI仿宋-GB2312" w:hAnsi="CESI仿宋-GB2312" w:eastAsia="CESI仿宋-GB2312" w:cs="CESI仿宋-GB2312"/>
                <w:b w:val="0"/>
                <w:bCs w:val="0"/>
                <w:sz w:val="44"/>
                <w:szCs w:val="44"/>
                <w:vertAlign w:val="baseline"/>
                <w:lang w:val="en-US" w:eastAsia="zh-CN"/>
              </w:rPr>
            </w:pPr>
          </w:p>
        </w:tc>
        <w:tc>
          <w:tcPr>
            <w:tcW w:w="821" w:type="dxa"/>
          </w:tcPr>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rPr>
                <w:rFonts w:hint="eastAsia" w:ascii="CESI仿宋-GB2312" w:hAnsi="CESI仿宋-GB2312" w:eastAsia="CESI仿宋-GB2312" w:cs="CESI仿宋-GB2312"/>
                <w:b w:val="0"/>
                <w:bCs w:val="0"/>
                <w:sz w:val="44"/>
                <w:szCs w:val="44"/>
                <w:vertAlign w:val="baseline"/>
                <w:lang w:val="en-US" w:eastAsia="zh-CN"/>
              </w:rPr>
            </w:pPr>
          </w:p>
        </w:tc>
        <w:tc>
          <w:tcPr>
            <w:tcW w:w="1024" w:type="dxa"/>
          </w:tcPr>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rPr>
                <w:rFonts w:hint="eastAsia" w:ascii="CESI仿宋-GB2312" w:hAnsi="CESI仿宋-GB2312" w:eastAsia="CESI仿宋-GB2312" w:cs="CESI仿宋-GB2312"/>
                <w:b w:val="0"/>
                <w:bCs w:val="0"/>
                <w:sz w:val="44"/>
                <w:szCs w:val="44"/>
                <w:vertAlign w:val="baseline"/>
                <w:lang w:val="en-US" w:eastAsia="zh-CN"/>
              </w:rPr>
            </w:pPr>
          </w:p>
        </w:tc>
        <w:tc>
          <w:tcPr>
            <w:tcW w:w="1024" w:type="dxa"/>
          </w:tcPr>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rPr>
                <w:rFonts w:hint="eastAsia" w:ascii="CESI仿宋-GB2312" w:hAnsi="CESI仿宋-GB2312" w:eastAsia="CESI仿宋-GB2312" w:cs="CESI仿宋-GB2312"/>
                <w:b w:val="0"/>
                <w:bCs w:val="0"/>
                <w:sz w:val="44"/>
                <w:szCs w:val="44"/>
                <w:vertAlign w:val="baseline"/>
                <w:lang w:val="en-US" w:eastAsia="zh-CN"/>
              </w:rPr>
            </w:pPr>
          </w:p>
        </w:tc>
        <w:tc>
          <w:tcPr>
            <w:tcW w:w="1024" w:type="dxa"/>
          </w:tcPr>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rPr>
                <w:rFonts w:hint="eastAsia" w:ascii="CESI仿宋-GB2312" w:hAnsi="CESI仿宋-GB2312" w:eastAsia="CESI仿宋-GB2312" w:cs="CESI仿宋-GB2312"/>
                <w:b w:val="0"/>
                <w:bCs w:val="0"/>
                <w:sz w:val="44"/>
                <w:szCs w:val="4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24" w:type="dxa"/>
          </w:tcPr>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rPr>
                <w:rFonts w:hint="eastAsia" w:ascii="CESI仿宋-GB2312" w:hAnsi="CESI仿宋-GB2312" w:eastAsia="CESI仿宋-GB2312" w:cs="CESI仿宋-GB2312"/>
                <w:b w:val="0"/>
                <w:bCs w:val="0"/>
                <w:sz w:val="44"/>
                <w:szCs w:val="44"/>
                <w:vertAlign w:val="baseline"/>
                <w:lang w:val="en-US" w:eastAsia="zh-CN"/>
              </w:rPr>
            </w:pPr>
          </w:p>
        </w:tc>
        <w:tc>
          <w:tcPr>
            <w:tcW w:w="1024" w:type="dxa"/>
          </w:tcPr>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rPr>
                <w:rFonts w:hint="eastAsia" w:ascii="CESI仿宋-GB2312" w:hAnsi="CESI仿宋-GB2312" w:eastAsia="CESI仿宋-GB2312" w:cs="CESI仿宋-GB2312"/>
                <w:b w:val="0"/>
                <w:bCs w:val="0"/>
                <w:sz w:val="44"/>
                <w:szCs w:val="44"/>
                <w:vertAlign w:val="baseline"/>
                <w:lang w:val="en-US" w:eastAsia="zh-CN"/>
              </w:rPr>
            </w:pPr>
          </w:p>
        </w:tc>
        <w:tc>
          <w:tcPr>
            <w:tcW w:w="1024" w:type="dxa"/>
          </w:tcPr>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rPr>
                <w:rFonts w:hint="eastAsia" w:ascii="CESI仿宋-GB2312" w:hAnsi="CESI仿宋-GB2312" w:eastAsia="CESI仿宋-GB2312" w:cs="CESI仿宋-GB2312"/>
                <w:b w:val="0"/>
                <w:bCs w:val="0"/>
                <w:sz w:val="44"/>
                <w:szCs w:val="44"/>
                <w:vertAlign w:val="baseline"/>
                <w:lang w:val="en-US" w:eastAsia="zh-CN"/>
              </w:rPr>
            </w:pPr>
          </w:p>
        </w:tc>
        <w:tc>
          <w:tcPr>
            <w:tcW w:w="1134" w:type="dxa"/>
          </w:tcPr>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rPr>
                <w:rFonts w:hint="eastAsia" w:ascii="CESI仿宋-GB2312" w:hAnsi="CESI仿宋-GB2312" w:eastAsia="CESI仿宋-GB2312" w:cs="CESI仿宋-GB2312"/>
                <w:b w:val="0"/>
                <w:bCs w:val="0"/>
                <w:sz w:val="44"/>
                <w:szCs w:val="44"/>
                <w:vertAlign w:val="baseline"/>
                <w:lang w:val="en-US" w:eastAsia="zh-CN"/>
              </w:rPr>
            </w:pPr>
          </w:p>
        </w:tc>
        <w:tc>
          <w:tcPr>
            <w:tcW w:w="914" w:type="dxa"/>
          </w:tcPr>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rPr>
                <w:rFonts w:hint="eastAsia" w:ascii="CESI仿宋-GB2312" w:hAnsi="CESI仿宋-GB2312" w:eastAsia="CESI仿宋-GB2312" w:cs="CESI仿宋-GB2312"/>
                <w:b w:val="0"/>
                <w:bCs w:val="0"/>
                <w:sz w:val="44"/>
                <w:szCs w:val="44"/>
                <w:vertAlign w:val="baseline"/>
                <w:lang w:val="en-US" w:eastAsia="zh-CN"/>
              </w:rPr>
            </w:pPr>
          </w:p>
        </w:tc>
        <w:tc>
          <w:tcPr>
            <w:tcW w:w="1024" w:type="dxa"/>
          </w:tcPr>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rPr>
                <w:rFonts w:hint="eastAsia" w:ascii="CESI仿宋-GB2312" w:hAnsi="CESI仿宋-GB2312" w:eastAsia="CESI仿宋-GB2312" w:cs="CESI仿宋-GB2312"/>
                <w:b w:val="0"/>
                <w:bCs w:val="0"/>
                <w:sz w:val="44"/>
                <w:szCs w:val="44"/>
                <w:vertAlign w:val="baseline"/>
                <w:lang w:val="en-US" w:eastAsia="zh-CN"/>
              </w:rPr>
            </w:pPr>
          </w:p>
        </w:tc>
        <w:tc>
          <w:tcPr>
            <w:tcW w:w="1024" w:type="dxa"/>
          </w:tcPr>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rPr>
                <w:rFonts w:hint="eastAsia" w:ascii="CESI仿宋-GB2312" w:hAnsi="CESI仿宋-GB2312" w:eastAsia="CESI仿宋-GB2312" w:cs="CESI仿宋-GB2312"/>
                <w:b w:val="0"/>
                <w:bCs w:val="0"/>
                <w:sz w:val="44"/>
                <w:szCs w:val="44"/>
                <w:vertAlign w:val="baseline"/>
                <w:lang w:val="en-US" w:eastAsia="zh-CN"/>
              </w:rPr>
            </w:pPr>
          </w:p>
        </w:tc>
        <w:tc>
          <w:tcPr>
            <w:tcW w:w="1024" w:type="dxa"/>
          </w:tcPr>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rPr>
                <w:rFonts w:hint="eastAsia" w:ascii="CESI仿宋-GB2312" w:hAnsi="CESI仿宋-GB2312" w:eastAsia="CESI仿宋-GB2312" w:cs="CESI仿宋-GB2312"/>
                <w:b w:val="0"/>
                <w:bCs w:val="0"/>
                <w:sz w:val="44"/>
                <w:szCs w:val="44"/>
                <w:vertAlign w:val="baseline"/>
                <w:lang w:val="en-US" w:eastAsia="zh-CN"/>
              </w:rPr>
            </w:pPr>
          </w:p>
        </w:tc>
        <w:tc>
          <w:tcPr>
            <w:tcW w:w="1227" w:type="dxa"/>
          </w:tcPr>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rPr>
                <w:rFonts w:hint="eastAsia" w:ascii="CESI仿宋-GB2312" w:hAnsi="CESI仿宋-GB2312" w:eastAsia="CESI仿宋-GB2312" w:cs="CESI仿宋-GB2312"/>
                <w:b w:val="0"/>
                <w:bCs w:val="0"/>
                <w:sz w:val="44"/>
                <w:szCs w:val="44"/>
                <w:vertAlign w:val="baseline"/>
                <w:lang w:val="en-US" w:eastAsia="zh-CN"/>
              </w:rPr>
            </w:pPr>
          </w:p>
        </w:tc>
        <w:tc>
          <w:tcPr>
            <w:tcW w:w="821" w:type="dxa"/>
          </w:tcPr>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rPr>
                <w:rFonts w:hint="eastAsia" w:ascii="CESI仿宋-GB2312" w:hAnsi="CESI仿宋-GB2312" w:eastAsia="CESI仿宋-GB2312" w:cs="CESI仿宋-GB2312"/>
                <w:b w:val="0"/>
                <w:bCs w:val="0"/>
                <w:sz w:val="44"/>
                <w:szCs w:val="44"/>
                <w:vertAlign w:val="baseline"/>
                <w:lang w:val="en-US" w:eastAsia="zh-CN"/>
              </w:rPr>
            </w:pPr>
          </w:p>
        </w:tc>
        <w:tc>
          <w:tcPr>
            <w:tcW w:w="1024" w:type="dxa"/>
          </w:tcPr>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rPr>
                <w:rFonts w:hint="eastAsia" w:ascii="CESI仿宋-GB2312" w:hAnsi="CESI仿宋-GB2312" w:eastAsia="CESI仿宋-GB2312" w:cs="CESI仿宋-GB2312"/>
                <w:b w:val="0"/>
                <w:bCs w:val="0"/>
                <w:sz w:val="44"/>
                <w:szCs w:val="44"/>
                <w:vertAlign w:val="baseline"/>
                <w:lang w:val="en-US" w:eastAsia="zh-CN"/>
              </w:rPr>
            </w:pPr>
          </w:p>
        </w:tc>
        <w:tc>
          <w:tcPr>
            <w:tcW w:w="1024" w:type="dxa"/>
          </w:tcPr>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rPr>
                <w:rFonts w:hint="eastAsia" w:ascii="CESI仿宋-GB2312" w:hAnsi="CESI仿宋-GB2312" w:eastAsia="CESI仿宋-GB2312" w:cs="CESI仿宋-GB2312"/>
                <w:b w:val="0"/>
                <w:bCs w:val="0"/>
                <w:sz w:val="44"/>
                <w:szCs w:val="44"/>
                <w:vertAlign w:val="baseline"/>
                <w:lang w:val="en-US" w:eastAsia="zh-CN"/>
              </w:rPr>
            </w:pPr>
          </w:p>
        </w:tc>
        <w:tc>
          <w:tcPr>
            <w:tcW w:w="1024" w:type="dxa"/>
          </w:tcPr>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rPr>
                <w:rFonts w:hint="eastAsia" w:ascii="CESI仿宋-GB2312" w:hAnsi="CESI仿宋-GB2312" w:eastAsia="CESI仿宋-GB2312" w:cs="CESI仿宋-GB2312"/>
                <w:b w:val="0"/>
                <w:bCs w:val="0"/>
                <w:sz w:val="44"/>
                <w:szCs w:val="4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4" w:type="dxa"/>
          </w:tcPr>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rPr>
                <w:rFonts w:hint="eastAsia" w:ascii="CESI仿宋-GB2312" w:hAnsi="CESI仿宋-GB2312" w:eastAsia="CESI仿宋-GB2312" w:cs="CESI仿宋-GB2312"/>
                <w:b w:val="0"/>
                <w:bCs w:val="0"/>
                <w:sz w:val="44"/>
                <w:szCs w:val="44"/>
                <w:vertAlign w:val="baseline"/>
                <w:lang w:val="en-US" w:eastAsia="zh-CN"/>
              </w:rPr>
            </w:pPr>
          </w:p>
        </w:tc>
        <w:tc>
          <w:tcPr>
            <w:tcW w:w="1024" w:type="dxa"/>
          </w:tcPr>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rPr>
                <w:rFonts w:hint="eastAsia" w:ascii="CESI仿宋-GB2312" w:hAnsi="CESI仿宋-GB2312" w:eastAsia="CESI仿宋-GB2312" w:cs="CESI仿宋-GB2312"/>
                <w:b w:val="0"/>
                <w:bCs w:val="0"/>
                <w:sz w:val="44"/>
                <w:szCs w:val="44"/>
                <w:vertAlign w:val="baseline"/>
                <w:lang w:val="en-US" w:eastAsia="zh-CN"/>
              </w:rPr>
            </w:pPr>
          </w:p>
        </w:tc>
        <w:tc>
          <w:tcPr>
            <w:tcW w:w="1024" w:type="dxa"/>
          </w:tcPr>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rPr>
                <w:rFonts w:hint="eastAsia" w:ascii="CESI仿宋-GB2312" w:hAnsi="CESI仿宋-GB2312" w:eastAsia="CESI仿宋-GB2312" w:cs="CESI仿宋-GB2312"/>
                <w:b w:val="0"/>
                <w:bCs w:val="0"/>
                <w:sz w:val="44"/>
                <w:szCs w:val="44"/>
                <w:vertAlign w:val="baseline"/>
                <w:lang w:val="en-US" w:eastAsia="zh-CN"/>
              </w:rPr>
            </w:pPr>
          </w:p>
        </w:tc>
        <w:tc>
          <w:tcPr>
            <w:tcW w:w="1134" w:type="dxa"/>
          </w:tcPr>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rPr>
                <w:rFonts w:hint="eastAsia" w:ascii="CESI仿宋-GB2312" w:hAnsi="CESI仿宋-GB2312" w:eastAsia="CESI仿宋-GB2312" w:cs="CESI仿宋-GB2312"/>
                <w:b w:val="0"/>
                <w:bCs w:val="0"/>
                <w:sz w:val="44"/>
                <w:szCs w:val="44"/>
                <w:vertAlign w:val="baseline"/>
                <w:lang w:val="en-US" w:eastAsia="zh-CN"/>
              </w:rPr>
            </w:pPr>
          </w:p>
        </w:tc>
        <w:tc>
          <w:tcPr>
            <w:tcW w:w="914" w:type="dxa"/>
          </w:tcPr>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rPr>
                <w:rFonts w:hint="eastAsia" w:ascii="CESI仿宋-GB2312" w:hAnsi="CESI仿宋-GB2312" w:eastAsia="CESI仿宋-GB2312" w:cs="CESI仿宋-GB2312"/>
                <w:b w:val="0"/>
                <w:bCs w:val="0"/>
                <w:sz w:val="44"/>
                <w:szCs w:val="44"/>
                <w:vertAlign w:val="baseline"/>
                <w:lang w:val="en-US" w:eastAsia="zh-CN"/>
              </w:rPr>
            </w:pPr>
          </w:p>
        </w:tc>
        <w:tc>
          <w:tcPr>
            <w:tcW w:w="1024" w:type="dxa"/>
          </w:tcPr>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rPr>
                <w:rFonts w:hint="eastAsia" w:ascii="CESI仿宋-GB2312" w:hAnsi="CESI仿宋-GB2312" w:eastAsia="CESI仿宋-GB2312" w:cs="CESI仿宋-GB2312"/>
                <w:b w:val="0"/>
                <w:bCs w:val="0"/>
                <w:sz w:val="44"/>
                <w:szCs w:val="44"/>
                <w:vertAlign w:val="baseline"/>
                <w:lang w:val="en-US" w:eastAsia="zh-CN"/>
              </w:rPr>
            </w:pPr>
          </w:p>
        </w:tc>
        <w:tc>
          <w:tcPr>
            <w:tcW w:w="1024" w:type="dxa"/>
          </w:tcPr>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rPr>
                <w:rFonts w:hint="eastAsia" w:ascii="CESI仿宋-GB2312" w:hAnsi="CESI仿宋-GB2312" w:eastAsia="CESI仿宋-GB2312" w:cs="CESI仿宋-GB2312"/>
                <w:b w:val="0"/>
                <w:bCs w:val="0"/>
                <w:sz w:val="44"/>
                <w:szCs w:val="44"/>
                <w:vertAlign w:val="baseline"/>
                <w:lang w:val="en-US" w:eastAsia="zh-CN"/>
              </w:rPr>
            </w:pPr>
          </w:p>
        </w:tc>
        <w:tc>
          <w:tcPr>
            <w:tcW w:w="1024" w:type="dxa"/>
          </w:tcPr>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rPr>
                <w:rFonts w:hint="eastAsia" w:ascii="CESI仿宋-GB2312" w:hAnsi="CESI仿宋-GB2312" w:eastAsia="CESI仿宋-GB2312" w:cs="CESI仿宋-GB2312"/>
                <w:b w:val="0"/>
                <w:bCs w:val="0"/>
                <w:sz w:val="44"/>
                <w:szCs w:val="44"/>
                <w:vertAlign w:val="baseline"/>
                <w:lang w:val="en-US" w:eastAsia="zh-CN"/>
              </w:rPr>
            </w:pPr>
          </w:p>
        </w:tc>
        <w:tc>
          <w:tcPr>
            <w:tcW w:w="1227" w:type="dxa"/>
          </w:tcPr>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rPr>
                <w:rFonts w:hint="eastAsia" w:ascii="CESI仿宋-GB2312" w:hAnsi="CESI仿宋-GB2312" w:eastAsia="CESI仿宋-GB2312" w:cs="CESI仿宋-GB2312"/>
                <w:b w:val="0"/>
                <w:bCs w:val="0"/>
                <w:sz w:val="44"/>
                <w:szCs w:val="44"/>
                <w:vertAlign w:val="baseline"/>
                <w:lang w:val="en-US" w:eastAsia="zh-CN"/>
              </w:rPr>
            </w:pPr>
          </w:p>
        </w:tc>
        <w:tc>
          <w:tcPr>
            <w:tcW w:w="821" w:type="dxa"/>
          </w:tcPr>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rPr>
                <w:rFonts w:hint="eastAsia" w:ascii="CESI仿宋-GB2312" w:hAnsi="CESI仿宋-GB2312" w:eastAsia="CESI仿宋-GB2312" w:cs="CESI仿宋-GB2312"/>
                <w:b w:val="0"/>
                <w:bCs w:val="0"/>
                <w:sz w:val="44"/>
                <w:szCs w:val="44"/>
                <w:vertAlign w:val="baseline"/>
                <w:lang w:val="en-US" w:eastAsia="zh-CN"/>
              </w:rPr>
            </w:pPr>
          </w:p>
        </w:tc>
        <w:tc>
          <w:tcPr>
            <w:tcW w:w="1024" w:type="dxa"/>
          </w:tcPr>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rPr>
                <w:rFonts w:hint="eastAsia" w:ascii="CESI仿宋-GB2312" w:hAnsi="CESI仿宋-GB2312" w:eastAsia="CESI仿宋-GB2312" w:cs="CESI仿宋-GB2312"/>
                <w:b w:val="0"/>
                <w:bCs w:val="0"/>
                <w:sz w:val="44"/>
                <w:szCs w:val="44"/>
                <w:vertAlign w:val="baseline"/>
                <w:lang w:val="en-US" w:eastAsia="zh-CN"/>
              </w:rPr>
            </w:pPr>
          </w:p>
        </w:tc>
        <w:tc>
          <w:tcPr>
            <w:tcW w:w="1024" w:type="dxa"/>
          </w:tcPr>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rPr>
                <w:rFonts w:hint="eastAsia" w:ascii="CESI仿宋-GB2312" w:hAnsi="CESI仿宋-GB2312" w:eastAsia="CESI仿宋-GB2312" w:cs="CESI仿宋-GB2312"/>
                <w:b w:val="0"/>
                <w:bCs w:val="0"/>
                <w:sz w:val="44"/>
                <w:szCs w:val="44"/>
                <w:vertAlign w:val="baseline"/>
                <w:lang w:val="en-US" w:eastAsia="zh-CN"/>
              </w:rPr>
            </w:pPr>
          </w:p>
        </w:tc>
        <w:tc>
          <w:tcPr>
            <w:tcW w:w="1024" w:type="dxa"/>
          </w:tcPr>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rPr>
                <w:rFonts w:hint="eastAsia" w:ascii="CESI仿宋-GB2312" w:hAnsi="CESI仿宋-GB2312" w:eastAsia="CESI仿宋-GB2312" w:cs="CESI仿宋-GB2312"/>
                <w:b w:val="0"/>
                <w:bCs w:val="0"/>
                <w:sz w:val="44"/>
                <w:szCs w:val="4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4" w:type="dxa"/>
          </w:tcPr>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rPr>
                <w:rFonts w:hint="eastAsia" w:ascii="CESI仿宋-GB2312" w:hAnsi="CESI仿宋-GB2312" w:eastAsia="CESI仿宋-GB2312" w:cs="CESI仿宋-GB2312"/>
                <w:b w:val="0"/>
                <w:bCs w:val="0"/>
                <w:sz w:val="44"/>
                <w:szCs w:val="44"/>
                <w:vertAlign w:val="baseline"/>
                <w:lang w:val="en-US" w:eastAsia="zh-CN"/>
              </w:rPr>
            </w:pPr>
          </w:p>
        </w:tc>
        <w:tc>
          <w:tcPr>
            <w:tcW w:w="1024" w:type="dxa"/>
          </w:tcPr>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rPr>
                <w:rFonts w:hint="eastAsia" w:ascii="CESI仿宋-GB2312" w:hAnsi="CESI仿宋-GB2312" w:eastAsia="CESI仿宋-GB2312" w:cs="CESI仿宋-GB2312"/>
                <w:b w:val="0"/>
                <w:bCs w:val="0"/>
                <w:sz w:val="44"/>
                <w:szCs w:val="44"/>
                <w:vertAlign w:val="baseline"/>
                <w:lang w:val="en-US" w:eastAsia="zh-CN"/>
              </w:rPr>
            </w:pPr>
          </w:p>
        </w:tc>
        <w:tc>
          <w:tcPr>
            <w:tcW w:w="1024" w:type="dxa"/>
          </w:tcPr>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rPr>
                <w:rFonts w:hint="eastAsia" w:ascii="CESI仿宋-GB2312" w:hAnsi="CESI仿宋-GB2312" w:eastAsia="CESI仿宋-GB2312" w:cs="CESI仿宋-GB2312"/>
                <w:b w:val="0"/>
                <w:bCs w:val="0"/>
                <w:sz w:val="44"/>
                <w:szCs w:val="44"/>
                <w:vertAlign w:val="baseline"/>
                <w:lang w:val="en-US" w:eastAsia="zh-CN"/>
              </w:rPr>
            </w:pPr>
          </w:p>
        </w:tc>
        <w:tc>
          <w:tcPr>
            <w:tcW w:w="1134" w:type="dxa"/>
          </w:tcPr>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rPr>
                <w:rFonts w:hint="eastAsia" w:ascii="CESI仿宋-GB2312" w:hAnsi="CESI仿宋-GB2312" w:eastAsia="CESI仿宋-GB2312" w:cs="CESI仿宋-GB2312"/>
                <w:b w:val="0"/>
                <w:bCs w:val="0"/>
                <w:sz w:val="44"/>
                <w:szCs w:val="44"/>
                <w:vertAlign w:val="baseline"/>
                <w:lang w:val="en-US" w:eastAsia="zh-CN"/>
              </w:rPr>
            </w:pPr>
          </w:p>
        </w:tc>
        <w:tc>
          <w:tcPr>
            <w:tcW w:w="914" w:type="dxa"/>
          </w:tcPr>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rPr>
                <w:rFonts w:hint="eastAsia" w:ascii="CESI仿宋-GB2312" w:hAnsi="CESI仿宋-GB2312" w:eastAsia="CESI仿宋-GB2312" w:cs="CESI仿宋-GB2312"/>
                <w:b w:val="0"/>
                <w:bCs w:val="0"/>
                <w:sz w:val="44"/>
                <w:szCs w:val="44"/>
                <w:vertAlign w:val="baseline"/>
                <w:lang w:val="en-US" w:eastAsia="zh-CN"/>
              </w:rPr>
            </w:pPr>
          </w:p>
        </w:tc>
        <w:tc>
          <w:tcPr>
            <w:tcW w:w="1024" w:type="dxa"/>
          </w:tcPr>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rPr>
                <w:rFonts w:hint="eastAsia" w:ascii="CESI仿宋-GB2312" w:hAnsi="CESI仿宋-GB2312" w:eastAsia="CESI仿宋-GB2312" w:cs="CESI仿宋-GB2312"/>
                <w:b w:val="0"/>
                <w:bCs w:val="0"/>
                <w:sz w:val="44"/>
                <w:szCs w:val="44"/>
                <w:vertAlign w:val="baseline"/>
                <w:lang w:val="en-US" w:eastAsia="zh-CN"/>
              </w:rPr>
            </w:pPr>
          </w:p>
        </w:tc>
        <w:tc>
          <w:tcPr>
            <w:tcW w:w="1024" w:type="dxa"/>
          </w:tcPr>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rPr>
                <w:rFonts w:hint="eastAsia" w:ascii="CESI仿宋-GB2312" w:hAnsi="CESI仿宋-GB2312" w:eastAsia="CESI仿宋-GB2312" w:cs="CESI仿宋-GB2312"/>
                <w:b w:val="0"/>
                <w:bCs w:val="0"/>
                <w:sz w:val="44"/>
                <w:szCs w:val="44"/>
                <w:vertAlign w:val="baseline"/>
                <w:lang w:val="en-US" w:eastAsia="zh-CN"/>
              </w:rPr>
            </w:pPr>
          </w:p>
        </w:tc>
        <w:tc>
          <w:tcPr>
            <w:tcW w:w="1024" w:type="dxa"/>
          </w:tcPr>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rPr>
                <w:rFonts w:hint="eastAsia" w:ascii="CESI仿宋-GB2312" w:hAnsi="CESI仿宋-GB2312" w:eastAsia="CESI仿宋-GB2312" w:cs="CESI仿宋-GB2312"/>
                <w:b w:val="0"/>
                <w:bCs w:val="0"/>
                <w:sz w:val="44"/>
                <w:szCs w:val="44"/>
                <w:vertAlign w:val="baseline"/>
                <w:lang w:val="en-US" w:eastAsia="zh-CN"/>
              </w:rPr>
            </w:pPr>
          </w:p>
        </w:tc>
        <w:tc>
          <w:tcPr>
            <w:tcW w:w="1227" w:type="dxa"/>
          </w:tcPr>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rPr>
                <w:rFonts w:hint="eastAsia" w:ascii="CESI仿宋-GB2312" w:hAnsi="CESI仿宋-GB2312" w:eastAsia="CESI仿宋-GB2312" w:cs="CESI仿宋-GB2312"/>
                <w:b w:val="0"/>
                <w:bCs w:val="0"/>
                <w:sz w:val="44"/>
                <w:szCs w:val="44"/>
                <w:vertAlign w:val="baseline"/>
                <w:lang w:val="en-US" w:eastAsia="zh-CN"/>
              </w:rPr>
            </w:pPr>
          </w:p>
        </w:tc>
        <w:tc>
          <w:tcPr>
            <w:tcW w:w="821" w:type="dxa"/>
          </w:tcPr>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rPr>
                <w:rFonts w:hint="eastAsia" w:ascii="CESI仿宋-GB2312" w:hAnsi="CESI仿宋-GB2312" w:eastAsia="CESI仿宋-GB2312" w:cs="CESI仿宋-GB2312"/>
                <w:b w:val="0"/>
                <w:bCs w:val="0"/>
                <w:sz w:val="44"/>
                <w:szCs w:val="44"/>
                <w:vertAlign w:val="baseline"/>
                <w:lang w:val="en-US" w:eastAsia="zh-CN"/>
              </w:rPr>
            </w:pPr>
          </w:p>
        </w:tc>
        <w:tc>
          <w:tcPr>
            <w:tcW w:w="1024" w:type="dxa"/>
          </w:tcPr>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rPr>
                <w:rFonts w:hint="eastAsia" w:ascii="CESI仿宋-GB2312" w:hAnsi="CESI仿宋-GB2312" w:eastAsia="CESI仿宋-GB2312" w:cs="CESI仿宋-GB2312"/>
                <w:b w:val="0"/>
                <w:bCs w:val="0"/>
                <w:sz w:val="44"/>
                <w:szCs w:val="44"/>
                <w:vertAlign w:val="baseline"/>
                <w:lang w:val="en-US" w:eastAsia="zh-CN"/>
              </w:rPr>
            </w:pPr>
          </w:p>
        </w:tc>
        <w:tc>
          <w:tcPr>
            <w:tcW w:w="1024" w:type="dxa"/>
          </w:tcPr>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rPr>
                <w:rFonts w:hint="eastAsia" w:ascii="CESI仿宋-GB2312" w:hAnsi="CESI仿宋-GB2312" w:eastAsia="CESI仿宋-GB2312" w:cs="CESI仿宋-GB2312"/>
                <w:b w:val="0"/>
                <w:bCs w:val="0"/>
                <w:sz w:val="44"/>
                <w:szCs w:val="44"/>
                <w:vertAlign w:val="baseline"/>
                <w:lang w:val="en-US" w:eastAsia="zh-CN"/>
              </w:rPr>
            </w:pPr>
          </w:p>
        </w:tc>
        <w:tc>
          <w:tcPr>
            <w:tcW w:w="1024" w:type="dxa"/>
          </w:tcPr>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rPr>
                <w:rFonts w:hint="eastAsia" w:ascii="CESI仿宋-GB2312" w:hAnsi="CESI仿宋-GB2312" w:eastAsia="CESI仿宋-GB2312" w:cs="CESI仿宋-GB2312"/>
                <w:b w:val="0"/>
                <w:bCs w:val="0"/>
                <w:sz w:val="44"/>
                <w:szCs w:val="44"/>
                <w:vertAlign w:val="baseline"/>
                <w:lang w:val="en-US" w:eastAsia="zh-CN"/>
              </w:rPr>
            </w:pPr>
          </w:p>
        </w:tc>
      </w:tr>
    </w:tbl>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left"/>
        <w:textAlignment w:val="auto"/>
        <w:rPr>
          <w:rFonts w:hint="default" w:ascii="CESI仿宋-GB2312" w:hAnsi="CESI仿宋-GB2312" w:eastAsia="CESI仿宋-GB2312" w:cs="CESI仿宋-GB2312"/>
          <w:b w:val="0"/>
          <w:bCs w:val="0"/>
          <w:sz w:val="32"/>
          <w:szCs w:val="32"/>
          <w:lang w:val="en-US" w:eastAsia="zh-CN"/>
        </w:rPr>
      </w:pPr>
      <w:r>
        <w:rPr>
          <w:rFonts w:hint="eastAsia" w:ascii="CESI仿宋-GB2312" w:hAnsi="CESI仿宋-GB2312" w:eastAsia="CESI仿宋-GB2312" w:cs="CESI仿宋-GB2312"/>
          <w:b w:val="0"/>
          <w:bCs w:val="0"/>
          <w:sz w:val="32"/>
          <w:szCs w:val="32"/>
          <w:lang w:val="en-US" w:eastAsia="zh-CN"/>
        </w:rPr>
        <w:t>此表为样表，请填报Excel制的《无仓储危险化学品经营基本情况统计表》</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left"/>
        <w:textAlignment w:val="auto"/>
        <w:rPr>
          <w:rFonts w:hint="eastAsia" w:ascii="CESI仿宋-GB2312" w:hAnsi="CESI仿宋-GB2312" w:eastAsia="CESI仿宋-GB2312" w:cs="CESI仿宋-GB2312"/>
          <w:b w:val="0"/>
          <w:bCs w:val="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left"/>
        <w:textAlignment w:val="auto"/>
        <w:rPr>
          <w:rFonts w:hint="default" w:ascii="CESI仿宋-GB2312" w:hAnsi="CESI仿宋-GB2312" w:eastAsia="CESI仿宋-GB2312" w:cs="CESI仿宋-GB2312"/>
          <w:b w:val="0"/>
          <w:bCs w:val="0"/>
          <w:sz w:val="32"/>
          <w:szCs w:val="32"/>
          <w:lang w:val="en-US" w:eastAsia="zh-CN"/>
        </w:rPr>
      </w:pPr>
      <w:r>
        <w:rPr>
          <w:rFonts w:hint="eastAsia" w:ascii="CESI仿宋-GB2312" w:hAnsi="CESI仿宋-GB2312" w:eastAsia="CESI仿宋-GB2312" w:cs="CESI仿宋-GB2312"/>
          <w:b w:val="0"/>
          <w:bCs w:val="0"/>
          <w:sz w:val="32"/>
          <w:szCs w:val="32"/>
          <w:lang w:val="en-US" w:eastAsia="zh-CN"/>
        </w:rPr>
        <w:t>附件2</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880" w:firstLineChars="200"/>
        <w:jc w:val="center"/>
        <w:textAlignment w:val="auto"/>
        <w:rPr>
          <w:rFonts w:hint="eastAsia" w:ascii="CESI仿宋-GB2312" w:hAnsi="CESI仿宋-GB2312" w:eastAsia="CESI仿宋-GB2312" w:cs="CESI仿宋-GB2312"/>
          <w:b w:val="0"/>
          <w:bCs w:val="0"/>
          <w:sz w:val="44"/>
          <w:szCs w:val="44"/>
          <w:lang w:val="en-US" w:eastAsia="zh-CN"/>
        </w:rPr>
      </w:pPr>
      <w:r>
        <w:rPr>
          <w:rFonts w:hint="eastAsia" w:ascii="CESI仿宋-GB2312" w:hAnsi="CESI仿宋-GB2312" w:eastAsia="CESI仿宋-GB2312" w:cs="CESI仿宋-GB2312"/>
          <w:b w:val="0"/>
          <w:bCs w:val="0"/>
          <w:sz w:val="44"/>
          <w:szCs w:val="44"/>
          <w:lang w:val="en-US" w:eastAsia="zh-CN"/>
        </w:rPr>
        <w:t>无仓储危险化学品经营专项整治开展情况统计表</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center"/>
        <w:textAlignment w:val="auto"/>
        <w:rPr>
          <w:rFonts w:hint="eastAsia" w:ascii="CESI仿宋-GB2312" w:hAnsi="CESI仿宋-GB2312" w:eastAsia="CESI仿宋-GB2312" w:cs="CESI仿宋-GB2312"/>
          <w:b w:val="0"/>
          <w:bCs w:val="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left"/>
        <w:textAlignment w:val="auto"/>
        <w:rPr>
          <w:rFonts w:hint="eastAsia" w:ascii="CESI仿宋-GB2312" w:hAnsi="CESI仿宋-GB2312" w:eastAsia="CESI仿宋-GB2312" w:cs="CESI仿宋-GB2312"/>
          <w:b w:val="0"/>
          <w:bCs w:val="0"/>
          <w:sz w:val="44"/>
          <w:szCs w:val="44"/>
          <w:lang w:val="en-US" w:eastAsia="zh-CN"/>
        </w:rPr>
      </w:pPr>
      <w:r>
        <w:rPr>
          <w:rFonts w:hint="eastAsia" w:ascii="CESI仿宋-GB2312" w:hAnsi="CESI仿宋-GB2312" w:eastAsia="CESI仿宋-GB2312" w:cs="CESI仿宋-GB2312"/>
          <w:b w:val="0"/>
          <w:bCs w:val="0"/>
          <w:sz w:val="32"/>
          <w:szCs w:val="32"/>
          <w:lang w:val="en-US" w:eastAsia="zh-CN"/>
        </w:rPr>
        <w:t>县区：           填报人：           联系电话：            统计日期：2021年  月  日</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4"/>
        <w:gridCol w:w="1024"/>
        <w:gridCol w:w="1024"/>
        <w:gridCol w:w="1024"/>
        <w:gridCol w:w="1024"/>
        <w:gridCol w:w="1024"/>
        <w:gridCol w:w="1024"/>
        <w:gridCol w:w="1024"/>
        <w:gridCol w:w="1214"/>
        <w:gridCol w:w="1013"/>
        <w:gridCol w:w="1087"/>
        <w:gridCol w:w="988"/>
        <w:gridCol w:w="8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4" w:type="dxa"/>
            <w:vMerge w:val="restart"/>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CESI仿宋-GB2312" w:hAnsi="CESI仿宋-GB2312" w:eastAsia="CESI仿宋-GB2312" w:cs="CESI仿宋-GB2312"/>
                <w:kern w:val="2"/>
                <w:sz w:val="24"/>
                <w:szCs w:val="24"/>
                <w:lang w:val="en-US" w:eastAsia="zh-CN" w:bidi="ar-SA"/>
              </w:rPr>
            </w:pPr>
            <w:r>
              <w:rPr>
                <w:rFonts w:hint="eastAsia" w:ascii="CESI仿宋-GB2312" w:hAnsi="CESI仿宋-GB2312" w:eastAsia="CESI仿宋-GB2312" w:cs="CESI仿宋-GB2312"/>
                <w:kern w:val="2"/>
                <w:sz w:val="24"/>
                <w:szCs w:val="24"/>
                <w:lang w:val="en-US" w:eastAsia="zh-CN" w:bidi="ar-SA"/>
              </w:rPr>
              <w:t>无仓储经营企业总数</w:t>
            </w:r>
          </w:p>
        </w:tc>
        <w:tc>
          <w:tcPr>
            <w:tcW w:w="1024"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CESI仿宋-GB2312" w:hAnsi="CESI仿宋-GB2312" w:eastAsia="CESI仿宋-GB2312" w:cs="CESI仿宋-GB2312"/>
                <w:b w:val="0"/>
                <w:bCs w:val="0"/>
                <w:sz w:val="24"/>
                <w:szCs w:val="24"/>
                <w:vertAlign w:val="baseline"/>
                <w:lang w:val="en-US" w:eastAsia="zh-CN"/>
              </w:rPr>
            </w:pPr>
            <w:r>
              <w:rPr>
                <w:rFonts w:hint="eastAsia" w:ascii="CESI仿宋-GB2312" w:hAnsi="CESI仿宋-GB2312" w:eastAsia="CESI仿宋-GB2312" w:cs="CESI仿宋-GB2312"/>
                <w:b w:val="0"/>
                <w:bCs w:val="0"/>
                <w:sz w:val="24"/>
                <w:szCs w:val="24"/>
                <w:vertAlign w:val="baseline"/>
                <w:lang w:val="en-US" w:eastAsia="zh-CN"/>
              </w:rPr>
              <w:t>已完成检查数（家）</w:t>
            </w:r>
          </w:p>
        </w:tc>
        <w:tc>
          <w:tcPr>
            <w:tcW w:w="4096" w:type="dxa"/>
            <w:gridSpan w:val="4"/>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CESI仿宋-GB2312" w:hAnsi="CESI仿宋-GB2312" w:eastAsia="CESI仿宋-GB2312" w:cs="CESI仿宋-GB2312"/>
                <w:b w:val="0"/>
                <w:bCs w:val="0"/>
                <w:sz w:val="24"/>
                <w:szCs w:val="24"/>
                <w:vertAlign w:val="baseline"/>
                <w:lang w:val="en-US" w:eastAsia="zh-CN"/>
              </w:rPr>
            </w:pPr>
            <w:r>
              <w:rPr>
                <w:rFonts w:hint="eastAsia" w:ascii="CESI仿宋-GB2312" w:hAnsi="CESI仿宋-GB2312" w:eastAsia="CESI仿宋-GB2312" w:cs="CESI仿宋-GB2312"/>
                <w:b w:val="0"/>
                <w:bCs w:val="0"/>
                <w:sz w:val="24"/>
                <w:szCs w:val="24"/>
                <w:vertAlign w:val="baseline"/>
                <w:lang w:val="en-US" w:eastAsia="zh-CN"/>
              </w:rPr>
              <w:t>检查发现隐患数量及整改情况</w:t>
            </w:r>
          </w:p>
        </w:tc>
        <w:tc>
          <w:tcPr>
            <w:tcW w:w="6350" w:type="dxa"/>
            <w:gridSpan w:val="6"/>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CESI仿宋-GB2312" w:hAnsi="CESI仿宋-GB2312" w:eastAsia="CESI仿宋-GB2312" w:cs="CESI仿宋-GB2312"/>
                <w:b w:val="0"/>
                <w:bCs w:val="0"/>
                <w:sz w:val="24"/>
                <w:szCs w:val="24"/>
                <w:vertAlign w:val="baseline"/>
                <w:lang w:val="en-US" w:eastAsia="zh-CN"/>
              </w:rPr>
            </w:pPr>
            <w:r>
              <w:rPr>
                <w:rFonts w:hint="eastAsia" w:ascii="CESI仿宋-GB2312" w:hAnsi="CESI仿宋-GB2312" w:eastAsia="CESI仿宋-GB2312" w:cs="CESI仿宋-GB2312"/>
                <w:b w:val="0"/>
                <w:bCs w:val="0"/>
                <w:sz w:val="24"/>
                <w:szCs w:val="24"/>
                <w:vertAlign w:val="baseline"/>
                <w:lang w:val="en-US" w:eastAsia="zh-CN"/>
              </w:rPr>
              <w:t>行政处罚情况</w:t>
            </w:r>
          </w:p>
        </w:tc>
        <w:tc>
          <w:tcPr>
            <w:tcW w:w="818"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rPr>
                <w:rFonts w:hint="eastAsia" w:ascii="CESI仿宋-GB2312" w:hAnsi="CESI仿宋-GB2312" w:eastAsia="CESI仿宋-GB2312" w:cs="CESI仿宋-GB2312"/>
                <w:b w:val="0"/>
                <w:bCs w:val="0"/>
                <w:sz w:val="44"/>
                <w:szCs w:val="44"/>
                <w:vertAlign w:val="baseline"/>
                <w:lang w:val="en-US" w:eastAsia="zh-CN"/>
              </w:rPr>
            </w:pPr>
            <w:r>
              <w:rPr>
                <w:rFonts w:hint="eastAsia" w:ascii="CESI仿宋-GB2312" w:hAnsi="CESI仿宋-GB2312" w:eastAsia="CESI仿宋-GB2312" w:cs="CESI仿宋-GB2312"/>
                <w:b w:val="0"/>
                <w:bCs w:val="0"/>
                <w:sz w:val="24"/>
                <w:szCs w:val="24"/>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4"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CESI仿宋-GB2312" w:hAnsi="CESI仿宋-GB2312" w:eastAsia="CESI仿宋-GB2312" w:cs="CESI仿宋-GB2312"/>
                <w:b w:val="0"/>
                <w:bCs w:val="0"/>
                <w:sz w:val="24"/>
                <w:szCs w:val="24"/>
                <w:vertAlign w:val="baseline"/>
                <w:lang w:val="en-US" w:eastAsia="zh-CN"/>
              </w:rPr>
            </w:pPr>
          </w:p>
        </w:tc>
        <w:tc>
          <w:tcPr>
            <w:tcW w:w="1024"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CESI仿宋-GB2312" w:hAnsi="CESI仿宋-GB2312" w:eastAsia="CESI仿宋-GB2312" w:cs="CESI仿宋-GB2312"/>
                <w:b w:val="0"/>
                <w:bCs w:val="0"/>
                <w:sz w:val="24"/>
                <w:szCs w:val="24"/>
                <w:vertAlign w:val="baseline"/>
                <w:lang w:val="en-US" w:eastAsia="zh-CN"/>
              </w:rPr>
            </w:pPr>
          </w:p>
        </w:tc>
        <w:tc>
          <w:tcPr>
            <w:tcW w:w="102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CESI仿宋-GB2312" w:hAnsi="CESI仿宋-GB2312" w:eastAsia="CESI仿宋-GB2312" w:cs="CESI仿宋-GB2312"/>
                <w:b w:val="0"/>
                <w:bCs w:val="0"/>
                <w:sz w:val="24"/>
                <w:szCs w:val="24"/>
                <w:vertAlign w:val="baseline"/>
                <w:lang w:val="en-US" w:eastAsia="zh-CN"/>
              </w:rPr>
            </w:pPr>
            <w:r>
              <w:rPr>
                <w:rFonts w:hint="eastAsia" w:ascii="CESI仿宋-GB2312" w:hAnsi="CESI仿宋-GB2312" w:eastAsia="CESI仿宋-GB2312" w:cs="CESI仿宋-GB2312"/>
                <w:b w:val="0"/>
                <w:bCs w:val="0"/>
                <w:sz w:val="24"/>
                <w:szCs w:val="24"/>
                <w:vertAlign w:val="baseline"/>
                <w:lang w:val="en-US" w:eastAsia="zh-CN"/>
              </w:rPr>
              <w:t>隐患总数（个）</w:t>
            </w:r>
          </w:p>
        </w:tc>
        <w:tc>
          <w:tcPr>
            <w:tcW w:w="102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CESI仿宋-GB2312" w:hAnsi="CESI仿宋-GB2312" w:eastAsia="CESI仿宋-GB2312" w:cs="CESI仿宋-GB2312"/>
                <w:b w:val="0"/>
                <w:bCs w:val="0"/>
                <w:sz w:val="24"/>
                <w:szCs w:val="24"/>
                <w:vertAlign w:val="baseline"/>
                <w:lang w:val="en-US" w:eastAsia="zh-CN"/>
              </w:rPr>
            </w:pPr>
            <w:r>
              <w:rPr>
                <w:rFonts w:hint="eastAsia" w:ascii="CESI仿宋-GB2312" w:hAnsi="CESI仿宋-GB2312" w:eastAsia="CESI仿宋-GB2312" w:cs="CESI仿宋-GB2312"/>
                <w:b w:val="0"/>
                <w:bCs w:val="0"/>
                <w:sz w:val="24"/>
                <w:szCs w:val="24"/>
                <w:vertAlign w:val="baseline"/>
                <w:lang w:val="en-US" w:eastAsia="zh-CN"/>
              </w:rPr>
              <w:t>已完成整改数（个）</w:t>
            </w:r>
          </w:p>
        </w:tc>
        <w:tc>
          <w:tcPr>
            <w:tcW w:w="102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CESI仿宋-GB2312" w:hAnsi="CESI仿宋-GB2312" w:eastAsia="CESI仿宋-GB2312" w:cs="CESI仿宋-GB2312"/>
                <w:b w:val="0"/>
                <w:bCs w:val="0"/>
                <w:sz w:val="24"/>
                <w:szCs w:val="24"/>
                <w:vertAlign w:val="baseline"/>
                <w:lang w:val="en-US" w:eastAsia="zh-CN"/>
              </w:rPr>
            </w:pPr>
            <w:r>
              <w:rPr>
                <w:rFonts w:hint="eastAsia" w:ascii="CESI仿宋-GB2312" w:hAnsi="CESI仿宋-GB2312" w:eastAsia="CESI仿宋-GB2312" w:cs="CESI仿宋-GB2312"/>
                <w:b w:val="0"/>
                <w:bCs w:val="0"/>
                <w:sz w:val="24"/>
                <w:szCs w:val="24"/>
                <w:vertAlign w:val="baseline"/>
                <w:lang w:val="en-US" w:eastAsia="zh-CN"/>
              </w:rPr>
              <w:t>其中重大隐患数（个）</w:t>
            </w:r>
          </w:p>
        </w:tc>
        <w:tc>
          <w:tcPr>
            <w:tcW w:w="102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CESI仿宋-GB2312" w:hAnsi="CESI仿宋-GB2312" w:eastAsia="CESI仿宋-GB2312" w:cs="CESI仿宋-GB2312"/>
                <w:b w:val="0"/>
                <w:bCs w:val="0"/>
                <w:sz w:val="24"/>
                <w:szCs w:val="24"/>
                <w:vertAlign w:val="baseline"/>
                <w:lang w:val="en-US" w:eastAsia="zh-CN"/>
              </w:rPr>
            </w:pPr>
            <w:r>
              <w:rPr>
                <w:rFonts w:hint="eastAsia" w:ascii="CESI仿宋-GB2312" w:hAnsi="CESI仿宋-GB2312" w:eastAsia="CESI仿宋-GB2312" w:cs="CESI仿宋-GB2312"/>
                <w:b w:val="0"/>
                <w:bCs w:val="0"/>
                <w:sz w:val="24"/>
                <w:szCs w:val="24"/>
                <w:vertAlign w:val="baseline"/>
                <w:lang w:val="en-US" w:eastAsia="zh-CN"/>
              </w:rPr>
              <w:t>已完成整改数（个）</w:t>
            </w:r>
          </w:p>
        </w:tc>
        <w:tc>
          <w:tcPr>
            <w:tcW w:w="102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CESI仿宋-GB2312" w:hAnsi="CESI仿宋-GB2312" w:eastAsia="CESI仿宋-GB2312" w:cs="CESI仿宋-GB2312"/>
                <w:b w:val="0"/>
                <w:bCs w:val="0"/>
                <w:sz w:val="24"/>
                <w:szCs w:val="24"/>
                <w:vertAlign w:val="baseline"/>
                <w:lang w:val="en-US" w:eastAsia="zh-CN"/>
              </w:rPr>
            </w:pPr>
            <w:r>
              <w:rPr>
                <w:rFonts w:hint="eastAsia" w:ascii="CESI仿宋-GB2312" w:hAnsi="CESI仿宋-GB2312" w:eastAsia="CESI仿宋-GB2312" w:cs="CESI仿宋-GB2312"/>
                <w:b w:val="0"/>
                <w:bCs w:val="0"/>
                <w:sz w:val="24"/>
                <w:szCs w:val="24"/>
                <w:vertAlign w:val="baseline"/>
                <w:lang w:val="en-US" w:eastAsia="zh-CN"/>
              </w:rPr>
              <w:t>下达执法文书（份）</w:t>
            </w:r>
          </w:p>
        </w:tc>
        <w:tc>
          <w:tcPr>
            <w:tcW w:w="102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CESI仿宋-GB2312" w:hAnsi="CESI仿宋-GB2312" w:eastAsia="CESI仿宋-GB2312" w:cs="CESI仿宋-GB2312"/>
                <w:b w:val="0"/>
                <w:bCs w:val="0"/>
                <w:sz w:val="24"/>
                <w:szCs w:val="24"/>
                <w:vertAlign w:val="baseline"/>
                <w:lang w:val="en-US" w:eastAsia="zh-CN"/>
              </w:rPr>
            </w:pPr>
            <w:r>
              <w:rPr>
                <w:rFonts w:hint="eastAsia" w:ascii="CESI仿宋-GB2312" w:hAnsi="CESI仿宋-GB2312" w:eastAsia="CESI仿宋-GB2312" w:cs="CESI仿宋-GB2312"/>
                <w:b w:val="0"/>
                <w:bCs w:val="0"/>
                <w:sz w:val="24"/>
                <w:szCs w:val="24"/>
                <w:vertAlign w:val="baseline"/>
                <w:lang w:val="en-US" w:eastAsia="zh-CN"/>
              </w:rPr>
              <w:t>立案处罚数（家）</w:t>
            </w:r>
          </w:p>
        </w:tc>
        <w:tc>
          <w:tcPr>
            <w:tcW w:w="121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CESI仿宋-GB2312" w:hAnsi="CESI仿宋-GB2312" w:eastAsia="CESI仿宋-GB2312" w:cs="CESI仿宋-GB2312"/>
                <w:b w:val="0"/>
                <w:bCs w:val="0"/>
                <w:sz w:val="24"/>
                <w:szCs w:val="24"/>
                <w:vertAlign w:val="baseline"/>
                <w:lang w:val="en-US" w:eastAsia="zh-CN"/>
              </w:rPr>
            </w:pPr>
            <w:r>
              <w:rPr>
                <w:rFonts w:hint="eastAsia" w:ascii="CESI仿宋-GB2312" w:hAnsi="CESI仿宋-GB2312" w:eastAsia="CESI仿宋-GB2312" w:cs="CESI仿宋-GB2312"/>
                <w:b w:val="0"/>
                <w:bCs w:val="0"/>
                <w:sz w:val="24"/>
                <w:szCs w:val="24"/>
                <w:vertAlign w:val="baseline"/>
                <w:lang w:val="en-US" w:eastAsia="zh-CN"/>
              </w:rPr>
              <w:t>处罚总金额（万元）</w:t>
            </w:r>
          </w:p>
        </w:tc>
        <w:tc>
          <w:tcPr>
            <w:tcW w:w="101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CESI仿宋-GB2312" w:hAnsi="CESI仿宋-GB2312" w:eastAsia="CESI仿宋-GB2312" w:cs="CESI仿宋-GB2312"/>
                <w:b w:val="0"/>
                <w:bCs w:val="0"/>
                <w:sz w:val="24"/>
                <w:szCs w:val="24"/>
                <w:vertAlign w:val="baseline"/>
                <w:lang w:val="en-US" w:eastAsia="zh-CN"/>
              </w:rPr>
            </w:pPr>
            <w:r>
              <w:rPr>
                <w:rFonts w:hint="eastAsia" w:ascii="CESI仿宋-GB2312" w:hAnsi="CESI仿宋-GB2312" w:eastAsia="CESI仿宋-GB2312" w:cs="CESI仿宋-GB2312"/>
                <w:b w:val="0"/>
                <w:bCs w:val="0"/>
                <w:sz w:val="24"/>
                <w:szCs w:val="24"/>
                <w:vertAlign w:val="baseline"/>
                <w:lang w:val="en-US" w:eastAsia="zh-CN"/>
              </w:rPr>
              <w:t>停产停业整顿数（家）</w:t>
            </w:r>
          </w:p>
        </w:tc>
        <w:tc>
          <w:tcPr>
            <w:tcW w:w="108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CESI仿宋-GB2312" w:hAnsi="CESI仿宋-GB2312" w:eastAsia="CESI仿宋-GB2312" w:cs="CESI仿宋-GB2312"/>
                <w:b w:val="0"/>
                <w:bCs w:val="0"/>
                <w:sz w:val="24"/>
                <w:szCs w:val="24"/>
                <w:vertAlign w:val="baseline"/>
                <w:lang w:val="en-US" w:eastAsia="zh-CN"/>
              </w:rPr>
            </w:pPr>
            <w:r>
              <w:rPr>
                <w:rFonts w:hint="eastAsia" w:ascii="CESI仿宋-GB2312" w:hAnsi="CESI仿宋-GB2312" w:eastAsia="CESI仿宋-GB2312" w:cs="CESI仿宋-GB2312"/>
                <w:b w:val="0"/>
                <w:bCs w:val="0"/>
                <w:sz w:val="24"/>
                <w:szCs w:val="24"/>
                <w:vertAlign w:val="baseline"/>
                <w:lang w:val="en-US" w:eastAsia="zh-CN"/>
              </w:rPr>
              <w:t>关闭吊销注销家数（家）</w:t>
            </w:r>
          </w:p>
        </w:tc>
        <w:tc>
          <w:tcPr>
            <w:tcW w:w="98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CESI仿宋-GB2312" w:hAnsi="CESI仿宋-GB2312" w:eastAsia="CESI仿宋-GB2312" w:cs="CESI仿宋-GB2312"/>
                <w:b w:val="0"/>
                <w:bCs w:val="0"/>
                <w:sz w:val="24"/>
                <w:szCs w:val="24"/>
                <w:vertAlign w:val="baseline"/>
                <w:lang w:val="en-US" w:eastAsia="zh-CN"/>
              </w:rPr>
            </w:pPr>
            <w:r>
              <w:rPr>
                <w:rFonts w:hint="eastAsia" w:ascii="CESI仿宋-GB2312" w:hAnsi="CESI仿宋-GB2312" w:eastAsia="CESI仿宋-GB2312" w:cs="CESI仿宋-GB2312"/>
                <w:b w:val="0"/>
                <w:bCs w:val="0"/>
                <w:sz w:val="24"/>
                <w:szCs w:val="24"/>
                <w:vertAlign w:val="baseline"/>
                <w:lang w:val="en-US" w:eastAsia="zh-CN"/>
              </w:rPr>
              <w:t>移交司法机关（件）</w:t>
            </w:r>
          </w:p>
        </w:tc>
        <w:tc>
          <w:tcPr>
            <w:tcW w:w="818" w:type="dxa"/>
            <w:vMerge w:val="continue"/>
          </w:tcPr>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rPr>
                <w:rFonts w:hint="eastAsia" w:ascii="CESI仿宋-GB2312" w:hAnsi="CESI仿宋-GB2312" w:eastAsia="CESI仿宋-GB2312" w:cs="CESI仿宋-GB2312"/>
                <w:b w:val="0"/>
                <w:bCs w:val="0"/>
                <w:sz w:val="44"/>
                <w:szCs w:val="4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5" w:hRule="atLeast"/>
        </w:trPr>
        <w:tc>
          <w:tcPr>
            <w:tcW w:w="1024" w:type="dxa"/>
          </w:tcPr>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rPr>
                <w:rFonts w:hint="eastAsia" w:ascii="CESI仿宋-GB2312" w:hAnsi="CESI仿宋-GB2312" w:eastAsia="CESI仿宋-GB2312" w:cs="CESI仿宋-GB2312"/>
                <w:b w:val="0"/>
                <w:bCs w:val="0"/>
                <w:sz w:val="44"/>
                <w:szCs w:val="44"/>
                <w:vertAlign w:val="baseline"/>
                <w:lang w:val="en-US" w:eastAsia="zh-CN"/>
              </w:rPr>
            </w:pPr>
          </w:p>
        </w:tc>
        <w:tc>
          <w:tcPr>
            <w:tcW w:w="1024" w:type="dxa"/>
          </w:tcPr>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rPr>
                <w:rFonts w:hint="eastAsia" w:ascii="CESI仿宋-GB2312" w:hAnsi="CESI仿宋-GB2312" w:eastAsia="CESI仿宋-GB2312" w:cs="CESI仿宋-GB2312"/>
                <w:b w:val="0"/>
                <w:bCs w:val="0"/>
                <w:sz w:val="44"/>
                <w:szCs w:val="44"/>
                <w:vertAlign w:val="baseline"/>
                <w:lang w:val="en-US" w:eastAsia="zh-CN"/>
              </w:rPr>
            </w:pPr>
          </w:p>
        </w:tc>
        <w:tc>
          <w:tcPr>
            <w:tcW w:w="1024" w:type="dxa"/>
          </w:tcPr>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rPr>
                <w:rFonts w:hint="eastAsia" w:ascii="CESI仿宋-GB2312" w:hAnsi="CESI仿宋-GB2312" w:eastAsia="CESI仿宋-GB2312" w:cs="CESI仿宋-GB2312"/>
                <w:b w:val="0"/>
                <w:bCs w:val="0"/>
                <w:sz w:val="44"/>
                <w:szCs w:val="44"/>
                <w:vertAlign w:val="baseline"/>
                <w:lang w:val="en-US" w:eastAsia="zh-CN"/>
              </w:rPr>
            </w:pPr>
          </w:p>
        </w:tc>
        <w:tc>
          <w:tcPr>
            <w:tcW w:w="1024" w:type="dxa"/>
          </w:tcPr>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rPr>
                <w:rFonts w:hint="eastAsia" w:ascii="CESI仿宋-GB2312" w:hAnsi="CESI仿宋-GB2312" w:eastAsia="CESI仿宋-GB2312" w:cs="CESI仿宋-GB2312"/>
                <w:b w:val="0"/>
                <w:bCs w:val="0"/>
                <w:sz w:val="44"/>
                <w:szCs w:val="44"/>
                <w:vertAlign w:val="baseline"/>
                <w:lang w:val="en-US" w:eastAsia="zh-CN"/>
              </w:rPr>
            </w:pPr>
          </w:p>
        </w:tc>
        <w:tc>
          <w:tcPr>
            <w:tcW w:w="1024" w:type="dxa"/>
          </w:tcPr>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rPr>
                <w:rFonts w:hint="eastAsia" w:ascii="CESI仿宋-GB2312" w:hAnsi="CESI仿宋-GB2312" w:eastAsia="CESI仿宋-GB2312" w:cs="CESI仿宋-GB2312"/>
                <w:b w:val="0"/>
                <w:bCs w:val="0"/>
                <w:sz w:val="44"/>
                <w:szCs w:val="44"/>
                <w:vertAlign w:val="baseline"/>
                <w:lang w:val="en-US" w:eastAsia="zh-CN"/>
              </w:rPr>
            </w:pPr>
          </w:p>
        </w:tc>
        <w:tc>
          <w:tcPr>
            <w:tcW w:w="1024" w:type="dxa"/>
          </w:tcPr>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rPr>
                <w:rFonts w:hint="eastAsia" w:ascii="CESI仿宋-GB2312" w:hAnsi="CESI仿宋-GB2312" w:eastAsia="CESI仿宋-GB2312" w:cs="CESI仿宋-GB2312"/>
                <w:b w:val="0"/>
                <w:bCs w:val="0"/>
                <w:sz w:val="44"/>
                <w:szCs w:val="44"/>
                <w:vertAlign w:val="baseline"/>
                <w:lang w:val="en-US" w:eastAsia="zh-CN"/>
              </w:rPr>
            </w:pPr>
          </w:p>
        </w:tc>
        <w:tc>
          <w:tcPr>
            <w:tcW w:w="1024" w:type="dxa"/>
          </w:tcPr>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rPr>
                <w:rFonts w:hint="eastAsia" w:ascii="CESI仿宋-GB2312" w:hAnsi="CESI仿宋-GB2312" w:eastAsia="CESI仿宋-GB2312" w:cs="CESI仿宋-GB2312"/>
                <w:b w:val="0"/>
                <w:bCs w:val="0"/>
                <w:sz w:val="44"/>
                <w:szCs w:val="44"/>
                <w:vertAlign w:val="baseline"/>
                <w:lang w:val="en-US" w:eastAsia="zh-CN"/>
              </w:rPr>
            </w:pPr>
          </w:p>
        </w:tc>
        <w:tc>
          <w:tcPr>
            <w:tcW w:w="1024" w:type="dxa"/>
          </w:tcPr>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rPr>
                <w:rFonts w:hint="eastAsia" w:ascii="CESI仿宋-GB2312" w:hAnsi="CESI仿宋-GB2312" w:eastAsia="CESI仿宋-GB2312" w:cs="CESI仿宋-GB2312"/>
                <w:b w:val="0"/>
                <w:bCs w:val="0"/>
                <w:sz w:val="44"/>
                <w:szCs w:val="44"/>
                <w:vertAlign w:val="baseline"/>
                <w:lang w:val="en-US" w:eastAsia="zh-CN"/>
              </w:rPr>
            </w:pPr>
          </w:p>
        </w:tc>
        <w:tc>
          <w:tcPr>
            <w:tcW w:w="1214" w:type="dxa"/>
          </w:tcPr>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rPr>
                <w:rFonts w:hint="eastAsia" w:ascii="CESI仿宋-GB2312" w:hAnsi="CESI仿宋-GB2312" w:eastAsia="CESI仿宋-GB2312" w:cs="CESI仿宋-GB2312"/>
                <w:b w:val="0"/>
                <w:bCs w:val="0"/>
                <w:sz w:val="44"/>
                <w:szCs w:val="44"/>
                <w:vertAlign w:val="baseline"/>
                <w:lang w:val="en-US" w:eastAsia="zh-CN"/>
              </w:rPr>
            </w:pPr>
          </w:p>
        </w:tc>
        <w:tc>
          <w:tcPr>
            <w:tcW w:w="1013" w:type="dxa"/>
          </w:tcPr>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rPr>
                <w:rFonts w:hint="eastAsia" w:ascii="CESI仿宋-GB2312" w:hAnsi="CESI仿宋-GB2312" w:eastAsia="CESI仿宋-GB2312" w:cs="CESI仿宋-GB2312"/>
                <w:b w:val="0"/>
                <w:bCs w:val="0"/>
                <w:sz w:val="44"/>
                <w:szCs w:val="44"/>
                <w:vertAlign w:val="baseline"/>
                <w:lang w:val="en-US" w:eastAsia="zh-CN"/>
              </w:rPr>
            </w:pPr>
          </w:p>
        </w:tc>
        <w:tc>
          <w:tcPr>
            <w:tcW w:w="1087" w:type="dxa"/>
          </w:tcPr>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rPr>
                <w:rFonts w:hint="eastAsia" w:ascii="CESI仿宋-GB2312" w:hAnsi="CESI仿宋-GB2312" w:eastAsia="CESI仿宋-GB2312" w:cs="CESI仿宋-GB2312"/>
                <w:b w:val="0"/>
                <w:bCs w:val="0"/>
                <w:sz w:val="44"/>
                <w:szCs w:val="44"/>
                <w:vertAlign w:val="baseline"/>
                <w:lang w:val="en-US" w:eastAsia="zh-CN"/>
              </w:rPr>
            </w:pPr>
          </w:p>
        </w:tc>
        <w:tc>
          <w:tcPr>
            <w:tcW w:w="988" w:type="dxa"/>
          </w:tcPr>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rPr>
                <w:rFonts w:hint="eastAsia" w:ascii="CESI仿宋-GB2312" w:hAnsi="CESI仿宋-GB2312" w:eastAsia="CESI仿宋-GB2312" w:cs="CESI仿宋-GB2312"/>
                <w:b w:val="0"/>
                <w:bCs w:val="0"/>
                <w:sz w:val="44"/>
                <w:szCs w:val="44"/>
                <w:vertAlign w:val="baseline"/>
                <w:lang w:val="en-US" w:eastAsia="zh-CN"/>
              </w:rPr>
            </w:pPr>
          </w:p>
        </w:tc>
        <w:tc>
          <w:tcPr>
            <w:tcW w:w="818" w:type="dxa"/>
          </w:tcPr>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rPr>
                <w:rFonts w:hint="eastAsia" w:ascii="CESI仿宋-GB2312" w:hAnsi="CESI仿宋-GB2312" w:eastAsia="CESI仿宋-GB2312" w:cs="CESI仿宋-GB2312"/>
                <w:b w:val="0"/>
                <w:bCs w:val="0"/>
                <w:sz w:val="44"/>
                <w:szCs w:val="44"/>
                <w:vertAlign w:val="baseline"/>
                <w:lang w:val="en-US" w:eastAsia="zh-CN"/>
              </w:rPr>
            </w:pPr>
          </w:p>
        </w:tc>
      </w:tr>
    </w:tbl>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left"/>
        <w:textAlignment w:val="auto"/>
        <w:rPr>
          <w:rFonts w:hint="eastAsia" w:ascii="CESI仿宋-GB2312" w:hAnsi="CESI仿宋-GB2312" w:eastAsia="CESI仿宋-GB2312" w:cs="CESI仿宋-GB2312"/>
          <w:b w:val="0"/>
          <w:bCs w:val="0"/>
          <w:sz w:val="32"/>
          <w:szCs w:val="32"/>
          <w:lang w:val="en-US" w:eastAsia="zh-CN"/>
        </w:rPr>
      </w:pPr>
      <w:r>
        <w:rPr>
          <w:rFonts w:hint="eastAsia" w:ascii="CESI仿宋-GB2312" w:hAnsi="CESI仿宋-GB2312" w:eastAsia="CESI仿宋-GB2312" w:cs="CESI仿宋-GB2312"/>
          <w:b w:val="0"/>
          <w:bCs w:val="0"/>
          <w:sz w:val="32"/>
          <w:szCs w:val="32"/>
          <w:lang w:val="en-US" w:eastAsia="zh-CN"/>
        </w:rPr>
        <w:t>说明：表中数据为专项整治开展以来的情况汇总统计。</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960" w:leftChars="0"/>
        <w:jc w:val="right"/>
        <w:textAlignment w:val="auto"/>
        <w:rPr>
          <w:rFonts w:hint="eastAsia" w:ascii="CESI仿宋-GB2312" w:hAnsi="CESI仿宋-GB2312" w:eastAsia="CESI仿宋-GB2312" w:cs="CESI仿宋-GB2312"/>
          <w:b w:val="0"/>
          <w:bCs w:val="0"/>
          <w:sz w:val="32"/>
          <w:szCs w:val="32"/>
          <w:lang w:val="en-US" w:eastAsia="zh-CN"/>
        </w:rPr>
      </w:pPr>
    </w:p>
    <w:sectPr>
      <w:pgSz w:w="16838" w:h="11906" w:orient="landscape"/>
      <w:pgMar w:top="1587" w:right="1871" w:bottom="1474" w:left="1871"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Noto Sans CJK SC"/>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Noto Sans CJK SC"/>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
    <w:altName w:val="Noto Sans CJK SC"/>
    <w:panose1 w:val="02010609060101010101"/>
    <w:charset w:val="86"/>
    <w:family w:val="auto"/>
    <w:pitch w:val="default"/>
    <w:sig w:usb0="00000000" w:usb1="00000000" w:usb2="00000016" w:usb3="00000000" w:csb0="00040001" w:csb1="00000000"/>
  </w:font>
  <w:font w:name="CESI仿宋-GB2312">
    <w:panose1 w:val="02000500000000000000"/>
    <w:charset w:val="86"/>
    <w:family w:val="auto"/>
    <w:pitch w:val="default"/>
    <w:sig w:usb0="800002AF" w:usb1="084F6CF8" w:usb2="00000010" w:usb3="00000000" w:csb0="0004000F" w:csb1="00000000"/>
  </w:font>
  <w:font w:name="CESI小标宋-GB2312">
    <w:panose1 w:val="02000500000000000000"/>
    <w:charset w:val="86"/>
    <w:family w:val="auto"/>
    <w:pitch w:val="default"/>
    <w:sig w:usb0="800002AF" w:usb1="084F6CF8" w:usb2="00000010" w:usb3="00000000" w:csb0="0004000F" w:csb1="00000000"/>
  </w:font>
  <w:font w:name="CESI黑体-GB2312">
    <w:panose1 w:val="02000500000000000000"/>
    <w:charset w:val="86"/>
    <w:family w:val="auto"/>
    <w:pitch w:val="default"/>
    <w:sig w:usb0="800002BF" w:usb1="184F6CF8" w:usb2="00000012" w:usb3="00000000" w:csb0="0004000F" w:csb1="00000000"/>
  </w:font>
  <w:font w:name="CESI楷体-GB2312">
    <w:panose1 w:val="02000500000000000000"/>
    <w:charset w:val="86"/>
    <w:family w:val="auto"/>
    <w:pitch w:val="default"/>
    <w:sig w:usb0="800002BF" w:usb1="184F6CF8" w:usb2="00000012" w:usb3="00000000" w:csb0="0004000F" w:csb1="00000000"/>
  </w:font>
  <w:font w:name="仿宋_GB2312">
    <w:altName w:val="Noto Sans CJK SC"/>
    <w:panose1 w:val="02010609030101010101"/>
    <w:charset w:val="86"/>
    <w:family w:val="auto"/>
    <w:pitch w:val="default"/>
    <w:sig w:usb0="00000000" w:usb1="00000000" w:usb2="00000000" w:usb3="00000000" w:csb0="00040000" w:csb1="00000000"/>
  </w:font>
  <w:font w:name="Noto Sans CJK SC">
    <w:panose1 w:val="020B0500000000000000"/>
    <w:charset w:val="86"/>
    <w:family w:val="auto"/>
    <w:pitch w:val="default"/>
    <w:sig w:usb0="30000003" w:usb1="2BDF3C10" w:usb2="00000016" w:usb3="00000000" w:csb0="602E0107" w:csb1="00000000"/>
  </w:font>
  <w:font w:name="DejaVu Sans">
    <w:panose1 w:val="020B0603030804020204"/>
    <w:charset w:val="00"/>
    <w:family w:val="auto"/>
    <w:pitch w:val="default"/>
    <w:sig w:usb0="E7006EFF" w:usb1="D200FDFF" w:usb2="0A246029" w:usb3="0400200C" w:csb0="600001FF" w:csb1="DFFF0000"/>
  </w:font>
  <w:font w:name="CESI小标宋-GB13000">
    <w:panose1 w:val="02000500000000000000"/>
    <w:charset w:val="86"/>
    <w:family w:val="auto"/>
    <w:pitch w:val="default"/>
    <w:sig w:usb0="800002BF" w:usb1="18CF7CF8"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6FFE85A"/>
    <w:multiLevelType w:val="singleLevel"/>
    <w:tmpl w:val="D6FFE85A"/>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1947CF"/>
    <w:rsid w:val="27BFB542"/>
    <w:rsid w:val="337CFDA8"/>
    <w:rsid w:val="37F7D8B4"/>
    <w:rsid w:val="3AF71214"/>
    <w:rsid w:val="3E8F74E1"/>
    <w:rsid w:val="3EDE5BFE"/>
    <w:rsid w:val="4A1947CF"/>
    <w:rsid w:val="4F6E9281"/>
    <w:rsid w:val="5750ACBF"/>
    <w:rsid w:val="594F92D8"/>
    <w:rsid w:val="5E7E9D63"/>
    <w:rsid w:val="66B91859"/>
    <w:rsid w:val="67FF8B41"/>
    <w:rsid w:val="6AF636DA"/>
    <w:rsid w:val="6BFAA10E"/>
    <w:rsid w:val="6EAE1E2F"/>
    <w:rsid w:val="6EFEE1EA"/>
    <w:rsid w:val="6FFB8299"/>
    <w:rsid w:val="776B726B"/>
    <w:rsid w:val="797FD210"/>
    <w:rsid w:val="7B6ED1F4"/>
    <w:rsid w:val="7B6F0E0F"/>
    <w:rsid w:val="7B76BABD"/>
    <w:rsid w:val="7BE21877"/>
    <w:rsid w:val="7BEBA405"/>
    <w:rsid w:val="7BFDCA10"/>
    <w:rsid w:val="7E29FBDE"/>
    <w:rsid w:val="7F5F4295"/>
    <w:rsid w:val="7F7C40DB"/>
    <w:rsid w:val="7F7F2B83"/>
    <w:rsid w:val="7FAFC994"/>
    <w:rsid w:val="7FB7A751"/>
    <w:rsid w:val="7FD3B4DB"/>
    <w:rsid w:val="7FEFD0AA"/>
    <w:rsid w:val="7FFF364D"/>
    <w:rsid w:val="7FFF7A59"/>
    <w:rsid w:val="97AB2B97"/>
    <w:rsid w:val="97BD061C"/>
    <w:rsid w:val="9CC38FE0"/>
    <w:rsid w:val="9F5712AB"/>
    <w:rsid w:val="9F79073C"/>
    <w:rsid w:val="9FD997D3"/>
    <w:rsid w:val="A7CDDC3E"/>
    <w:rsid w:val="ADDB3A27"/>
    <w:rsid w:val="B3FBFA39"/>
    <w:rsid w:val="B7AE3F3F"/>
    <w:rsid w:val="BB7DCF69"/>
    <w:rsid w:val="BBD31C9A"/>
    <w:rsid w:val="BDBD87DF"/>
    <w:rsid w:val="BEAF483D"/>
    <w:rsid w:val="BF3F2A08"/>
    <w:rsid w:val="D17B9569"/>
    <w:rsid w:val="DFE994B9"/>
    <w:rsid w:val="DFFB0890"/>
    <w:rsid w:val="E57E49A1"/>
    <w:rsid w:val="EB6E06CC"/>
    <w:rsid w:val="ED3EF52C"/>
    <w:rsid w:val="EEEFEBFD"/>
    <w:rsid w:val="EFF70877"/>
    <w:rsid w:val="EFFA0212"/>
    <w:rsid w:val="EFFA8E41"/>
    <w:rsid w:val="F2DF07EA"/>
    <w:rsid w:val="F3EB2465"/>
    <w:rsid w:val="F3FFFC00"/>
    <w:rsid w:val="F68DE426"/>
    <w:rsid w:val="F6BBBCD3"/>
    <w:rsid w:val="F7DBB519"/>
    <w:rsid w:val="FCBF936E"/>
    <w:rsid w:val="FD3E84C5"/>
    <w:rsid w:val="FDFDA0CE"/>
    <w:rsid w:val="FFDC994A"/>
    <w:rsid w:val="FFEF8AB3"/>
    <w:rsid w:val="FFFAFDDB"/>
    <w:rsid w:val="FFFE7555"/>
    <w:rsid w:val="FFFF9D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spacing w:line="240" w:lineRule="atLeast"/>
      <w:jc w:val="left"/>
    </w:pPr>
    <w:rPr>
      <w:sz w:val="18"/>
      <w:szCs w:val="18"/>
    </w:rPr>
  </w:style>
  <w:style w:type="paragraph" w:styleId="3">
    <w:name w:val="header"/>
    <w:basedOn w:val="1"/>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正文1"/>
    <w:qFormat/>
    <w:uiPriority w:val="0"/>
    <w:pPr>
      <w:widowControl w:val="0"/>
      <w:suppressAutoHyphens w:val="0"/>
      <w:bidi w:val="0"/>
      <w:spacing w:beforeLines="0" w:afterLines="0"/>
      <w:jc w:val="both"/>
    </w:pPr>
    <w:rPr>
      <w:rFonts w:ascii="Times New Roman" w:hAnsi="Times New Roman" w:eastAsia="宋体" w:cs="Times New Roman"/>
      <w:color w:val="auto"/>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85</TotalTime>
  <ScaleCrop>false</ScaleCrop>
  <LinksUpToDate>false</LinksUpToDate>
  <CharactersWithSpaces>0</CharactersWithSpaces>
  <Application>WPS Office_11.1.0.10161_F1E327BC-269C-435d-A152-05C5408002CA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2018-07-14T15:11:00Z</dcterms:created>
  <dc:creator>d</dc:creator>
  <cp:lastModifiedBy>baixin</cp:lastModifiedBy>
  <cp:lastPrinted>2021-10-12T16:26:18Z</cp:lastPrinted>
  <dcterms:modified xsi:type="dcterms:W3CDTF">2021-10-12T16:48:40Z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2052-11.1.0.10161</vt:lpwstr>
  </property>
</Properties>
</file>