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40" w:type="dxa"/>
        <w:tblInd w:w="-601" w:type="dxa"/>
        <w:tblLayout w:type="fixed"/>
        <w:tblCellMar>
          <w:top w:w="0" w:type="dxa"/>
          <w:left w:w="108" w:type="dxa"/>
          <w:bottom w:w="0" w:type="dxa"/>
          <w:right w:w="108" w:type="dxa"/>
        </w:tblCellMar>
      </w:tblPr>
      <w:tblGrid>
        <w:gridCol w:w="556"/>
        <w:gridCol w:w="696"/>
        <w:gridCol w:w="696"/>
        <w:gridCol w:w="3491"/>
        <w:gridCol w:w="4201"/>
      </w:tblGrid>
      <w:tr>
        <w:tblPrEx>
          <w:tblCellMar>
            <w:top w:w="0" w:type="dxa"/>
            <w:left w:w="108" w:type="dxa"/>
            <w:bottom w:w="0" w:type="dxa"/>
            <w:right w:w="108" w:type="dxa"/>
          </w:tblCellMar>
        </w:tblPrEx>
        <w:trPr>
          <w:trHeight w:val="1080" w:hRule="atLeast"/>
        </w:trPr>
        <w:tc>
          <w:tcPr>
            <w:tcW w:w="9640" w:type="dxa"/>
            <w:gridSpan w:val="5"/>
            <w:tcBorders>
              <w:top w:val="nil"/>
              <w:left w:val="nil"/>
              <w:bottom w:val="single" w:color="auto" w:sz="4" w:space="0"/>
              <w:right w:val="nil"/>
            </w:tcBorders>
            <w:shd w:val="clear" w:color="auto" w:fill="auto"/>
            <w:noWrap/>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运城经济</w:t>
            </w:r>
            <w:r>
              <w:rPr>
                <w:rFonts w:hint="eastAsia" w:ascii="方正小标宋简体" w:hAnsi="宋体" w:eastAsia="方正小标宋简体" w:cs="宋体"/>
                <w:color w:val="000000"/>
                <w:kern w:val="0"/>
                <w:sz w:val="36"/>
                <w:szCs w:val="36"/>
                <w:lang w:val="en-US" w:eastAsia="zh-CN"/>
              </w:rPr>
              <w:t>技术</w:t>
            </w:r>
            <w:r>
              <w:rPr>
                <w:rFonts w:hint="eastAsia" w:ascii="方正小标宋简体" w:hAnsi="宋体" w:eastAsia="方正小标宋简体" w:cs="宋体"/>
                <w:color w:val="000000"/>
                <w:kern w:val="0"/>
                <w:sz w:val="36"/>
                <w:szCs w:val="36"/>
              </w:rPr>
              <w:t>开发区社会保险管理服务中心权力责任清单</w:t>
            </w:r>
          </w:p>
        </w:tc>
      </w:tr>
      <w:tr>
        <w:tblPrEx>
          <w:tblCellMar>
            <w:top w:w="0" w:type="dxa"/>
            <w:left w:w="108" w:type="dxa"/>
            <w:bottom w:w="0" w:type="dxa"/>
            <w:right w:w="108" w:type="dxa"/>
          </w:tblCellMar>
        </w:tblPrEx>
        <w:trPr>
          <w:trHeight w:val="751" w:hRule="atLeas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职权类型</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职权名称</w:t>
            </w:r>
          </w:p>
        </w:tc>
        <w:tc>
          <w:tcPr>
            <w:tcW w:w="3491" w:type="dxa"/>
            <w:vMerge w:val="restart"/>
            <w:tcBorders>
              <w:top w:val="nil"/>
              <w:left w:val="single" w:color="auto" w:sz="4" w:space="0"/>
              <w:bottom w:val="single" w:color="000000" w:sz="4" w:space="0"/>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实施依据</w:t>
            </w:r>
          </w:p>
        </w:tc>
        <w:tc>
          <w:tcPr>
            <w:tcW w:w="42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责任事项</w:t>
            </w:r>
          </w:p>
        </w:tc>
      </w:tr>
      <w:tr>
        <w:tblPrEx>
          <w:tblCellMar>
            <w:top w:w="0" w:type="dxa"/>
            <w:left w:w="108" w:type="dxa"/>
            <w:bottom w:w="0" w:type="dxa"/>
            <w:right w:w="108" w:type="dxa"/>
          </w:tblCellMar>
        </w:tblPrEx>
        <w:trPr>
          <w:trHeight w:val="397" w:hRule="atLeast"/>
        </w:trPr>
        <w:tc>
          <w:tcPr>
            <w:tcW w:w="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项目</w:t>
            </w:r>
          </w:p>
        </w:tc>
        <w:tc>
          <w:tcPr>
            <w:tcW w:w="3491"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color w:val="000000"/>
                <w:kern w:val="0"/>
                <w:sz w:val="22"/>
              </w:rPr>
            </w:pPr>
          </w:p>
        </w:tc>
        <w:tc>
          <w:tcPr>
            <w:tcW w:w="42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97" w:hRule="atLeast"/>
        </w:trPr>
        <w:tc>
          <w:tcPr>
            <w:tcW w:w="556"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8"/>
                <w:szCs w:val="28"/>
                <w:lang w:val="en-US" w:eastAsia="zh-CN"/>
              </w:rPr>
            </w:pPr>
            <w:r>
              <w:rPr>
                <w:rFonts w:hint="eastAsia" w:ascii="宋体" w:hAnsi="宋体" w:eastAsia="宋体" w:cs="宋体"/>
                <w:b/>
                <w:bCs/>
                <w:color w:val="000000"/>
                <w:kern w:val="0"/>
                <w:sz w:val="28"/>
                <w:szCs w:val="28"/>
                <w:lang w:val="en-US" w:eastAsia="zh-CN"/>
              </w:rPr>
              <w:t>1</w:t>
            </w: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行政确认</w:t>
            </w:r>
          </w:p>
          <w:p>
            <w:pPr>
              <w:widowControl/>
              <w:jc w:val="left"/>
              <w:rPr>
                <w:rFonts w:hint="eastAsia" w:ascii="宋体" w:hAnsi="宋体" w:eastAsia="宋体" w:cs="宋体"/>
                <w:color w:val="000000"/>
                <w:kern w:val="0"/>
                <w:sz w:val="22"/>
              </w:rPr>
            </w:pPr>
          </w:p>
          <w:p>
            <w:pPr>
              <w:widowControl/>
              <w:jc w:val="left"/>
              <w:rPr>
                <w:rFonts w:hint="eastAsia" w:ascii="宋体" w:hAnsi="宋体" w:eastAsia="宋体" w:cs="宋体"/>
                <w:color w:val="000000"/>
                <w:kern w:val="0"/>
                <w:sz w:val="22"/>
                <w:lang w:val="en-US" w:eastAsia="zh-CN"/>
              </w:rPr>
            </w:pP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2"/>
              </w:rPr>
            </w:pPr>
            <w:r>
              <w:rPr>
                <w:rFonts w:ascii="Arial" w:hAnsi="Arial" w:eastAsia="宋体" w:cs="Arial"/>
                <w:color w:val="000000"/>
                <w:kern w:val="0"/>
                <w:sz w:val="22"/>
              </w:rPr>
              <w:t>社会保险参保登记</w:t>
            </w:r>
          </w:p>
        </w:tc>
        <w:tc>
          <w:tcPr>
            <w:tcW w:w="3491" w:type="dxa"/>
            <w:vMerge w:val="restart"/>
            <w:tcBorders>
              <w:top w:val="nil"/>
              <w:left w:val="nil"/>
              <w:right w:val="single" w:color="auto" w:sz="4" w:space="0"/>
            </w:tcBorders>
            <w:shd w:val="clear" w:color="auto" w:fill="auto"/>
            <w:vAlign w:val="center"/>
          </w:tcPr>
          <w:p>
            <w:pPr>
              <w:widowControl/>
              <w:jc w:val="left"/>
              <w:rPr>
                <w:rFonts w:ascii="Arial" w:hAnsi="Arial" w:eastAsia="宋体" w:cs="Arial"/>
                <w:b/>
                <w:bCs/>
                <w:color w:val="000000"/>
                <w:kern w:val="0"/>
                <w:sz w:val="22"/>
              </w:rPr>
            </w:pPr>
          </w:p>
          <w:p>
            <w:pPr>
              <w:widowControl/>
              <w:jc w:val="left"/>
              <w:rPr>
                <w:rFonts w:ascii="Arial" w:hAnsi="Arial" w:eastAsia="宋体" w:cs="Arial"/>
                <w:b/>
                <w:bCs/>
                <w:color w:val="000000"/>
                <w:kern w:val="0"/>
                <w:sz w:val="22"/>
              </w:rPr>
            </w:pPr>
          </w:p>
          <w:p>
            <w:pPr>
              <w:widowControl/>
              <w:jc w:val="left"/>
              <w:rPr>
                <w:rFonts w:ascii="Arial" w:hAnsi="Arial" w:eastAsia="宋体" w:cs="Arial"/>
                <w:b/>
                <w:bCs/>
                <w:color w:val="000000"/>
                <w:kern w:val="0"/>
                <w:sz w:val="24"/>
                <w:szCs w:val="24"/>
              </w:rPr>
            </w:pPr>
            <w:r>
              <w:rPr>
                <w:rFonts w:ascii="Arial" w:hAnsi="Arial" w:eastAsia="宋体" w:cs="Arial"/>
                <w:b/>
                <w:bCs/>
                <w:color w:val="000000"/>
                <w:kern w:val="0"/>
                <w:sz w:val="22"/>
              </w:rPr>
              <w:t>【法律】《中华人民共和国社会保险法》第八条</w:t>
            </w:r>
            <w:r>
              <w:rPr>
                <w:rFonts w:ascii="Arial" w:hAnsi="Arial" w:eastAsia="宋体" w:cs="Arial"/>
                <w:b/>
                <w:bCs/>
                <w:color w:val="000000"/>
                <w:kern w:val="0"/>
                <w:sz w:val="24"/>
                <w:szCs w:val="24"/>
              </w:rPr>
              <w:t xml:space="preserve"> 第五十七条 </w:t>
            </w:r>
          </w:p>
          <w:p>
            <w:pPr>
              <w:widowControl/>
              <w:jc w:val="left"/>
              <w:rPr>
                <w:rFonts w:ascii="Arial" w:hAnsi="Arial" w:eastAsia="宋体" w:cs="Arial"/>
                <w:b/>
                <w:bCs/>
                <w:color w:val="000000"/>
                <w:kern w:val="0"/>
                <w:sz w:val="24"/>
                <w:szCs w:val="24"/>
              </w:rPr>
            </w:pPr>
          </w:p>
          <w:p>
            <w:pPr>
              <w:widowControl/>
              <w:jc w:val="left"/>
              <w:rPr>
                <w:rFonts w:ascii="Arial" w:hAnsi="Arial" w:eastAsia="宋体" w:cs="Arial"/>
                <w:b/>
                <w:bCs/>
                <w:color w:val="000000"/>
                <w:kern w:val="0"/>
                <w:sz w:val="22"/>
              </w:rPr>
            </w:pPr>
            <w:r>
              <w:rPr>
                <w:rFonts w:ascii="Arial" w:hAnsi="Arial" w:eastAsia="宋体" w:cs="Arial"/>
                <w:b/>
                <w:bCs/>
                <w:color w:val="000000"/>
                <w:kern w:val="0"/>
                <w:sz w:val="22"/>
              </w:rPr>
              <w:t>【部门规章】《社会保险登记管理暂行办法》（1999年劳动和社会保障部令第1号）第五条</w:t>
            </w:r>
            <w:r>
              <w:rPr>
                <w:rFonts w:ascii="Arial" w:hAnsi="Arial" w:eastAsia="宋体" w:cs="Arial"/>
                <w:b/>
                <w:bCs/>
                <w:color w:val="000000"/>
                <w:kern w:val="0"/>
                <w:sz w:val="24"/>
                <w:szCs w:val="24"/>
              </w:rPr>
              <w:t xml:space="preserve">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201" w:type="dxa"/>
            <w:vMerge w:val="restart"/>
            <w:tcBorders>
              <w:top w:val="single" w:color="auto" w:sz="4" w:space="0"/>
              <w:left w:val="single" w:color="auto" w:sz="4" w:space="0"/>
              <w:right w:val="single" w:color="auto" w:sz="4" w:space="0"/>
            </w:tcBorders>
            <w:shd w:val="clear" w:color="auto" w:fill="auto"/>
            <w:vAlign w:val="center"/>
          </w:tcPr>
          <w:p>
            <w:pPr>
              <w:widowControl/>
              <w:ind w:firstLine="440" w:firstLineChars="200"/>
              <w:jc w:val="left"/>
              <w:rPr>
                <w:rFonts w:ascii="Arial" w:hAnsi="Arial" w:eastAsia="宋体" w:cs="Arial"/>
                <w:color w:val="000000"/>
                <w:kern w:val="0"/>
                <w:sz w:val="22"/>
              </w:rPr>
            </w:pPr>
          </w:p>
          <w:p>
            <w:pPr>
              <w:widowControl/>
              <w:ind w:firstLine="440" w:firstLineChars="200"/>
              <w:jc w:val="left"/>
              <w:rPr>
                <w:rFonts w:ascii="Arial" w:hAnsi="Arial" w:eastAsia="宋体" w:cs="Arial"/>
                <w:color w:val="000000"/>
                <w:kern w:val="0"/>
                <w:sz w:val="22"/>
              </w:rPr>
            </w:pPr>
            <w:r>
              <w:rPr>
                <w:rFonts w:ascii="Arial" w:hAnsi="Arial" w:eastAsia="宋体" w:cs="Arial"/>
                <w:color w:val="000000"/>
                <w:kern w:val="0"/>
                <w:sz w:val="22"/>
              </w:rPr>
              <w:t>1.受理责任：对符合</w:t>
            </w:r>
            <w:r>
              <w:rPr>
                <w:rFonts w:hint="eastAsia" w:ascii="Arial" w:hAnsi="Arial" w:eastAsia="宋体" w:cs="Arial"/>
                <w:color w:val="000000"/>
                <w:kern w:val="0"/>
                <w:sz w:val="22"/>
                <w:lang w:val="en-US" w:eastAsia="zh-CN"/>
              </w:rPr>
              <w:t>社会</w:t>
            </w:r>
            <w:r>
              <w:rPr>
                <w:rFonts w:ascii="Arial" w:hAnsi="Arial" w:eastAsia="宋体" w:cs="Arial"/>
                <w:color w:val="000000"/>
                <w:kern w:val="0"/>
                <w:sz w:val="22"/>
              </w:rPr>
              <w:t>保险参保登记条件单位的予以受理，对不符合条件的不予受理（材料不全的一次性告知和说明所需材料）。</w:t>
            </w:r>
          </w:p>
          <w:p>
            <w:pPr>
              <w:widowControl/>
              <w:ind w:firstLine="440" w:firstLineChars="200"/>
              <w:jc w:val="left"/>
              <w:rPr>
                <w:rFonts w:ascii="Arial" w:hAnsi="Arial" w:eastAsia="宋体" w:cs="Arial"/>
                <w:color w:val="000000"/>
                <w:kern w:val="0"/>
                <w:sz w:val="22"/>
              </w:rPr>
            </w:pPr>
            <w:r>
              <w:rPr>
                <w:rFonts w:ascii="Arial" w:hAnsi="Arial" w:eastAsia="宋体" w:cs="Arial"/>
                <w:color w:val="000000"/>
                <w:kern w:val="0"/>
                <w:sz w:val="22"/>
              </w:rPr>
              <w:t>2.审查责任：按</w:t>
            </w:r>
            <w:r>
              <w:rPr>
                <w:rFonts w:hint="eastAsia" w:ascii="Arial" w:hAnsi="Arial" w:eastAsia="宋体" w:cs="Arial"/>
                <w:color w:val="000000"/>
                <w:kern w:val="0"/>
                <w:sz w:val="22"/>
                <w:lang w:val="en-US" w:eastAsia="zh-CN"/>
              </w:rPr>
              <w:t>社会</w:t>
            </w:r>
            <w:r>
              <w:rPr>
                <w:rFonts w:ascii="Arial" w:hAnsi="Arial" w:eastAsia="宋体" w:cs="Arial"/>
                <w:color w:val="000000"/>
                <w:kern w:val="0"/>
                <w:sz w:val="22"/>
              </w:rPr>
              <w:t>保险参保登记规定程序进行操作，对申报材料的审核严格把关。</w:t>
            </w:r>
          </w:p>
          <w:p>
            <w:pPr>
              <w:widowControl/>
              <w:ind w:firstLine="440" w:firstLineChars="200"/>
              <w:jc w:val="left"/>
              <w:rPr>
                <w:rFonts w:hint="eastAsia" w:ascii="Arial" w:hAnsi="Arial" w:eastAsia="宋体" w:cs="Arial"/>
                <w:color w:val="000000"/>
                <w:kern w:val="0"/>
                <w:sz w:val="22"/>
                <w:lang w:eastAsia="zh-CN"/>
              </w:rPr>
            </w:pPr>
            <w:r>
              <w:rPr>
                <w:rFonts w:ascii="Arial" w:hAnsi="Arial" w:eastAsia="宋体" w:cs="Arial"/>
                <w:color w:val="000000"/>
                <w:kern w:val="0"/>
                <w:sz w:val="22"/>
              </w:rPr>
              <w:t>3.决定责任：对符合办理</w:t>
            </w:r>
            <w:r>
              <w:rPr>
                <w:rFonts w:hint="eastAsia" w:ascii="Arial" w:hAnsi="Arial" w:eastAsia="宋体" w:cs="Arial"/>
                <w:color w:val="000000"/>
                <w:kern w:val="0"/>
                <w:sz w:val="22"/>
                <w:lang w:val="en-US" w:eastAsia="zh-CN"/>
              </w:rPr>
              <w:t>社会</w:t>
            </w:r>
            <w:r>
              <w:rPr>
                <w:rFonts w:ascii="Arial" w:hAnsi="Arial" w:eastAsia="宋体" w:cs="Arial"/>
                <w:color w:val="000000"/>
                <w:kern w:val="0"/>
                <w:sz w:val="22"/>
              </w:rPr>
              <w:t>保险参保登记条件的申请单位准予给以办理，对不符合条件的申请人不予办理，并告知原因</w:t>
            </w:r>
            <w:r>
              <w:rPr>
                <w:rFonts w:hint="eastAsia" w:ascii="Arial" w:hAnsi="Arial" w:eastAsia="宋体" w:cs="Arial"/>
                <w:color w:val="000000"/>
                <w:kern w:val="0"/>
                <w:sz w:val="22"/>
                <w:lang w:eastAsia="zh-CN"/>
              </w:rPr>
              <w:t>。</w:t>
            </w:r>
          </w:p>
          <w:p>
            <w:pPr>
              <w:widowControl/>
              <w:ind w:firstLine="440" w:firstLineChars="200"/>
              <w:jc w:val="left"/>
              <w:rPr>
                <w:rFonts w:ascii="Arial" w:hAnsi="Arial" w:eastAsia="宋体" w:cs="Arial"/>
                <w:color w:val="000000"/>
                <w:kern w:val="0"/>
                <w:sz w:val="22"/>
              </w:rPr>
            </w:pPr>
            <w:r>
              <w:rPr>
                <w:rFonts w:ascii="Arial" w:hAnsi="Arial" w:eastAsia="宋体" w:cs="Arial"/>
                <w:color w:val="000000"/>
                <w:kern w:val="0"/>
                <w:sz w:val="22"/>
              </w:rPr>
              <w:t>4.送达责任：及时将有关资料送达到参保单位。</w:t>
            </w:r>
            <w:r>
              <w:rPr>
                <w:rFonts w:ascii="Arial" w:hAnsi="Arial" w:eastAsia="宋体" w:cs="Arial"/>
                <w:color w:val="000000"/>
                <w:kern w:val="0"/>
                <w:sz w:val="24"/>
                <w:szCs w:val="24"/>
              </w:rPr>
              <w:t xml:space="preserve">                       </w:t>
            </w:r>
          </w:p>
          <w:p>
            <w:pPr>
              <w:widowControl/>
              <w:ind w:firstLine="0" w:firstLineChars="0"/>
              <w:jc w:val="left"/>
              <w:rPr>
                <w:rFonts w:ascii="Arial" w:hAnsi="Arial" w:eastAsia="宋体" w:cs="Arial"/>
                <w:color w:val="000000"/>
                <w:kern w:val="0"/>
                <w:sz w:val="22"/>
              </w:rPr>
            </w:pPr>
            <w:r>
              <w:rPr>
                <w:rFonts w:ascii="Arial" w:hAnsi="Arial" w:eastAsia="宋体" w:cs="Arial"/>
                <w:color w:val="000000"/>
                <w:kern w:val="0"/>
                <w:sz w:val="22"/>
              </w:rPr>
              <w:t>5.事后责任：不定期抽查已参保登记单位相关资料，发现问题及时整改。</w:t>
            </w: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vAlign w:val="center"/>
          </w:tcPr>
          <w:p>
            <w:pPr>
              <w:widowControl/>
              <w:jc w:val="left"/>
              <w:rPr>
                <w:rFonts w:ascii="Arial" w:hAnsi="Arial" w:eastAsia="宋体" w:cs="Arial"/>
                <w:b/>
                <w:bCs/>
                <w:color w:val="000000"/>
                <w:kern w:val="0"/>
                <w:sz w:val="22"/>
              </w:rPr>
            </w:pPr>
          </w:p>
        </w:tc>
        <w:tc>
          <w:tcPr>
            <w:tcW w:w="4201" w:type="dxa"/>
            <w:vMerge w:val="continue"/>
            <w:tcBorders>
              <w:left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4201" w:type="dxa"/>
            <w:vMerge w:val="continue"/>
            <w:tcBorders>
              <w:left w:val="single" w:color="auto" w:sz="4" w:space="0"/>
              <w:right w:val="single" w:color="auto" w:sz="4" w:space="0"/>
            </w:tcBorders>
            <w:shd w:val="clear" w:color="auto" w:fill="auto"/>
            <w:vAlign w:val="center"/>
          </w:tcPr>
          <w:p>
            <w:pPr>
              <w:widowControl/>
              <w:jc w:val="left"/>
              <w:rPr>
                <w:rFonts w:hint="eastAsia" w:ascii="Arial" w:hAnsi="Arial" w:eastAsia="宋体" w:cs="Arial"/>
                <w:color w:val="000000"/>
                <w:kern w:val="0"/>
                <w:sz w:val="22"/>
                <w:lang w:eastAsia="zh-CN"/>
              </w:rPr>
            </w:pP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4201" w:type="dxa"/>
            <w:vMerge w:val="continue"/>
            <w:tcBorders>
              <w:left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4201"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000000" w:fill="FAFAFA"/>
            <w:vAlign w:val="center"/>
          </w:tcPr>
          <w:p>
            <w:pPr>
              <w:widowControl/>
              <w:jc w:val="left"/>
              <w:rPr>
                <w:rFonts w:ascii="Arial" w:hAnsi="Arial" w:eastAsia="宋体" w:cs="Arial"/>
                <w:b/>
                <w:bCs/>
                <w:color w:val="000000"/>
                <w:kern w:val="0"/>
                <w:sz w:val="22"/>
              </w:rPr>
            </w:pPr>
          </w:p>
        </w:tc>
        <w:tc>
          <w:tcPr>
            <w:tcW w:w="4201" w:type="dxa"/>
            <w:vMerge w:val="continue"/>
            <w:tcBorders>
              <w:left w:val="nil"/>
              <w:right w:val="single" w:color="auto" w:sz="4" w:space="0"/>
            </w:tcBorders>
            <w:shd w:val="clear" w:color="000000" w:fill="FAFAFA"/>
            <w:vAlign w:val="center"/>
          </w:tcPr>
          <w:p>
            <w:pPr>
              <w:widowControl/>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4201" w:type="dxa"/>
            <w:vMerge w:val="continue"/>
            <w:tcBorders>
              <w:left w:val="nil"/>
              <w:right w:val="single" w:color="auto" w:sz="4" w:space="0"/>
            </w:tcBorders>
            <w:shd w:val="clear" w:color="auto" w:fill="auto"/>
            <w:vAlign w:val="center"/>
          </w:tcPr>
          <w:p>
            <w:pPr>
              <w:widowControl/>
              <w:jc w:val="left"/>
              <w:rPr>
                <w:rFonts w:ascii="Arial" w:hAnsi="Arial" w:eastAsia="宋体" w:cs="Arial"/>
                <w:color w:val="000000"/>
                <w:kern w:val="0"/>
                <w:sz w:val="21"/>
                <w:szCs w:val="21"/>
              </w:rPr>
            </w:pP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4201" w:type="dxa"/>
            <w:vMerge w:val="continue"/>
            <w:tcBorders>
              <w:left w:val="nil"/>
              <w:right w:val="single" w:color="auto" w:sz="4" w:space="0"/>
            </w:tcBorders>
            <w:shd w:val="clear" w:color="auto" w:fill="auto"/>
            <w:vAlign w:val="center"/>
          </w:tcPr>
          <w:p>
            <w:pPr>
              <w:widowControl/>
              <w:jc w:val="left"/>
              <w:rPr>
                <w:rFonts w:ascii="Arial" w:hAnsi="Arial" w:eastAsia="宋体" w:cs="Arial"/>
                <w:color w:val="000000"/>
                <w:kern w:val="0"/>
                <w:sz w:val="21"/>
                <w:szCs w:val="21"/>
              </w:rPr>
            </w:pP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4201" w:type="dxa"/>
            <w:vMerge w:val="continue"/>
            <w:tcBorders>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p>
        </w:tc>
      </w:tr>
      <w:tr>
        <w:tblPrEx>
          <w:tblCellMar>
            <w:top w:w="0" w:type="dxa"/>
            <w:left w:w="108" w:type="dxa"/>
            <w:bottom w:w="0" w:type="dxa"/>
            <w:right w:w="108" w:type="dxa"/>
          </w:tblCellMar>
        </w:tblPrEx>
        <w:trPr>
          <w:trHeight w:val="397" w:hRule="atLeast"/>
        </w:trPr>
        <w:tc>
          <w:tcPr>
            <w:tcW w:w="556" w:type="dxa"/>
            <w:vMerge w:val="continue"/>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4"/>
                <w:szCs w:val="24"/>
              </w:rPr>
            </w:pPr>
          </w:p>
        </w:tc>
        <w:tc>
          <w:tcPr>
            <w:tcW w:w="3491" w:type="dxa"/>
            <w:vMerge w:val="continue"/>
            <w:tcBorders>
              <w:left w:val="nil"/>
              <w:right w:val="single" w:color="auto" w:sz="4" w:space="0"/>
            </w:tcBorders>
            <w:shd w:val="clear" w:color="auto" w:fill="auto"/>
            <w:noWrap/>
            <w:vAlign w:val="center"/>
          </w:tcPr>
          <w:p>
            <w:pPr>
              <w:widowControl/>
              <w:jc w:val="left"/>
              <w:rPr>
                <w:rFonts w:ascii="Arial" w:hAnsi="Arial" w:eastAsia="宋体" w:cs="Arial"/>
                <w:b/>
                <w:bCs/>
                <w:color w:val="000000"/>
                <w:kern w:val="0"/>
                <w:sz w:val="22"/>
              </w:rPr>
            </w:pPr>
          </w:p>
        </w:tc>
        <w:tc>
          <w:tcPr>
            <w:tcW w:w="4201" w:type="dxa"/>
            <w:vMerge w:val="continue"/>
            <w:tcBorders>
              <w:left w:val="nil"/>
              <w:right w:val="single" w:color="auto" w:sz="4" w:space="0"/>
            </w:tcBorders>
            <w:shd w:val="clear" w:color="auto" w:fill="auto"/>
            <w:vAlign w:val="center"/>
          </w:tcPr>
          <w:p>
            <w:pPr>
              <w:widowControl/>
              <w:jc w:val="left"/>
              <w:rPr>
                <w:rFonts w:ascii="Arial" w:hAnsi="Arial" w:eastAsia="宋体" w:cs="Arial"/>
                <w:color w:val="000000"/>
                <w:kern w:val="0"/>
                <w:sz w:val="21"/>
                <w:szCs w:val="21"/>
              </w:rPr>
            </w:pPr>
          </w:p>
        </w:tc>
      </w:tr>
      <w:tr>
        <w:tblPrEx>
          <w:tblCellMar>
            <w:top w:w="0" w:type="dxa"/>
            <w:left w:w="108" w:type="dxa"/>
            <w:bottom w:w="0" w:type="dxa"/>
            <w:right w:w="108" w:type="dxa"/>
          </w:tblCellMar>
        </w:tblPrEx>
        <w:trPr>
          <w:trHeight w:val="2058" w:hRule="atLeast"/>
        </w:trPr>
        <w:tc>
          <w:tcPr>
            <w:tcW w:w="55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4"/>
                <w:szCs w:val="24"/>
              </w:rPr>
            </w:pPr>
          </w:p>
        </w:tc>
        <w:tc>
          <w:tcPr>
            <w:tcW w:w="3491"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4201" w:type="dxa"/>
            <w:vMerge w:val="continue"/>
            <w:tcBorders>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p>
        </w:tc>
      </w:tr>
      <w:tr>
        <w:tblPrEx>
          <w:tblCellMar>
            <w:top w:w="0" w:type="dxa"/>
            <w:left w:w="108" w:type="dxa"/>
            <w:bottom w:w="0" w:type="dxa"/>
            <w:right w:w="108" w:type="dxa"/>
          </w:tblCellMar>
        </w:tblPrEx>
        <w:trPr>
          <w:trHeight w:val="397" w:hRule="atLeast"/>
        </w:trPr>
        <w:tc>
          <w:tcPr>
            <w:tcW w:w="55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b/>
                <w:bCs/>
                <w:color w:val="000000"/>
                <w:kern w:val="0"/>
                <w:sz w:val="28"/>
                <w:szCs w:val="28"/>
                <w:lang w:val="en-US" w:eastAsia="zh-CN"/>
              </w:rPr>
              <w:t>2</w:t>
            </w: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行政征收</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Arial" w:hAnsi="Arial" w:eastAsia="宋体" w:cs="Arial"/>
                <w:color w:val="000000"/>
                <w:kern w:val="0"/>
                <w:sz w:val="22"/>
              </w:rPr>
            </w:pPr>
            <w:r>
              <w:rPr>
                <w:rFonts w:ascii="Arial" w:hAnsi="Arial" w:eastAsia="宋体" w:cs="Arial"/>
                <w:color w:val="000000"/>
                <w:kern w:val="0"/>
                <w:sz w:val="22"/>
              </w:rPr>
              <w:t>社会保险费征缴</w:t>
            </w:r>
          </w:p>
        </w:tc>
        <w:tc>
          <w:tcPr>
            <w:tcW w:w="3491" w:type="dxa"/>
            <w:vMerge w:val="restart"/>
            <w:tcBorders>
              <w:top w:val="nil"/>
              <w:left w:val="nil"/>
              <w:right w:val="single" w:color="auto" w:sz="4" w:space="0"/>
            </w:tcBorders>
            <w:shd w:val="clear" w:color="auto" w:fill="auto"/>
            <w:vAlign w:val="center"/>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【法律】《社会保险法》（中华人民共和国主席令第35号）第二条</w:t>
            </w:r>
          </w:p>
          <w:p>
            <w:pPr>
              <w:widowControl/>
              <w:jc w:val="left"/>
              <w:rPr>
                <w:rFonts w:ascii="Arial" w:hAnsi="Arial" w:eastAsia="宋体" w:cs="Arial"/>
                <w:b/>
                <w:bCs/>
                <w:color w:val="000000"/>
                <w:kern w:val="0"/>
                <w:sz w:val="22"/>
              </w:rPr>
            </w:pPr>
          </w:p>
          <w:p>
            <w:pPr>
              <w:widowControl/>
              <w:jc w:val="left"/>
              <w:rPr>
                <w:rFonts w:ascii="Arial" w:hAnsi="Arial" w:eastAsia="宋体" w:cs="Arial"/>
                <w:b/>
                <w:bCs/>
                <w:color w:val="000000"/>
                <w:kern w:val="0"/>
                <w:sz w:val="21"/>
                <w:szCs w:val="21"/>
              </w:rPr>
            </w:pPr>
            <w:r>
              <w:rPr>
                <w:rFonts w:ascii="Arial" w:hAnsi="Arial" w:eastAsia="宋体" w:cs="Arial"/>
                <w:b/>
                <w:bCs/>
                <w:color w:val="000000"/>
                <w:kern w:val="0"/>
                <w:sz w:val="21"/>
                <w:szCs w:val="21"/>
              </w:rPr>
              <w:t>【法律】《社会保险法》（中华人民共和国主席令第35号）</w:t>
            </w:r>
            <w:r>
              <w:rPr>
                <w:rFonts w:hint="eastAsia" w:ascii="Arial" w:hAnsi="Arial" w:eastAsia="宋体" w:cs="Arial"/>
                <w:b/>
                <w:bCs/>
                <w:color w:val="000000"/>
                <w:kern w:val="0"/>
                <w:sz w:val="21"/>
                <w:szCs w:val="21"/>
                <w:lang w:val="en-US" w:eastAsia="zh-CN"/>
              </w:rPr>
              <w:t xml:space="preserve"> </w:t>
            </w:r>
            <w:r>
              <w:rPr>
                <w:rFonts w:ascii="Arial" w:hAnsi="Arial" w:eastAsia="宋体" w:cs="Arial"/>
                <w:b/>
                <w:bCs/>
                <w:color w:val="000000"/>
                <w:kern w:val="0"/>
                <w:sz w:val="21"/>
                <w:szCs w:val="21"/>
              </w:rPr>
              <w:t>第六</w:t>
            </w:r>
            <w:bookmarkStart w:id="0" w:name="_GoBack"/>
            <w:bookmarkEnd w:id="0"/>
            <w:r>
              <w:rPr>
                <w:rFonts w:ascii="Arial" w:hAnsi="Arial" w:eastAsia="宋体" w:cs="Arial"/>
                <w:b/>
                <w:bCs/>
                <w:color w:val="000000"/>
                <w:kern w:val="0"/>
                <w:sz w:val="21"/>
                <w:szCs w:val="21"/>
              </w:rPr>
              <w:t>十条 第六十一条</w:t>
            </w:r>
          </w:p>
          <w:p>
            <w:pPr>
              <w:widowControl/>
              <w:jc w:val="left"/>
              <w:rPr>
                <w:rFonts w:ascii="Arial" w:hAnsi="Arial" w:eastAsia="宋体" w:cs="Arial"/>
                <w:b/>
                <w:bCs/>
                <w:color w:val="000000"/>
                <w:kern w:val="0"/>
                <w:sz w:val="21"/>
                <w:szCs w:val="21"/>
              </w:rPr>
            </w:pPr>
          </w:p>
          <w:p>
            <w:pPr>
              <w:widowControl/>
              <w:jc w:val="left"/>
              <w:rPr>
                <w:rFonts w:hint="eastAsia" w:ascii="宋体" w:hAnsi="宋体" w:eastAsia="宋体" w:cs="Arial"/>
                <w:b/>
                <w:bCs/>
                <w:color w:val="000000"/>
                <w:kern w:val="0"/>
                <w:sz w:val="22"/>
              </w:rPr>
            </w:pPr>
            <w:r>
              <w:rPr>
                <w:rFonts w:hint="eastAsia" w:ascii="宋体" w:hAnsi="宋体" w:eastAsia="宋体" w:cs="Arial"/>
                <w:b/>
                <w:bCs/>
                <w:color w:val="000000"/>
                <w:kern w:val="0"/>
                <w:sz w:val="22"/>
              </w:rPr>
              <w:t>【行政法规】《社会保险费征缴暂行条例》（国务院令第</w:t>
            </w:r>
            <w:r>
              <w:rPr>
                <w:rFonts w:ascii="Arial" w:hAnsi="Arial" w:eastAsia="宋体" w:cs="Arial"/>
                <w:b/>
                <w:bCs/>
                <w:color w:val="000000"/>
                <w:kern w:val="0"/>
                <w:sz w:val="22"/>
              </w:rPr>
              <w:t>259</w:t>
            </w:r>
            <w:r>
              <w:rPr>
                <w:rFonts w:hint="eastAsia" w:ascii="宋体" w:hAnsi="宋体" w:eastAsia="宋体" w:cs="Arial"/>
                <w:b/>
                <w:bCs/>
                <w:color w:val="000000"/>
                <w:kern w:val="0"/>
                <w:sz w:val="22"/>
              </w:rPr>
              <w:t>号）第六条</w:t>
            </w:r>
            <w:r>
              <w:rPr>
                <w:rFonts w:ascii="Arial" w:hAnsi="Arial" w:eastAsia="宋体" w:cs="Arial"/>
                <w:b/>
                <w:bCs/>
                <w:color w:val="000000"/>
                <w:kern w:val="0"/>
                <w:sz w:val="22"/>
              </w:rPr>
              <w:t xml:space="preserve"> </w:t>
            </w:r>
            <w:r>
              <w:rPr>
                <w:rFonts w:hint="eastAsia" w:ascii="宋体" w:hAnsi="宋体" w:eastAsia="宋体" w:cs="Arial"/>
                <w:b/>
                <w:bCs/>
                <w:color w:val="000000"/>
                <w:kern w:val="0"/>
                <w:sz w:val="22"/>
              </w:rPr>
              <w:t>第十条</w:t>
            </w:r>
          </w:p>
          <w:p>
            <w:pPr>
              <w:widowControl/>
              <w:jc w:val="left"/>
              <w:rPr>
                <w:rFonts w:hint="eastAsia" w:ascii="宋体" w:hAnsi="宋体" w:eastAsia="宋体" w:cs="Arial"/>
                <w:b/>
                <w:bCs/>
                <w:color w:val="000000"/>
                <w:kern w:val="0"/>
                <w:sz w:val="22"/>
              </w:rPr>
            </w:pPr>
          </w:p>
          <w:p>
            <w:pPr>
              <w:widowControl/>
              <w:jc w:val="left"/>
              <w:rPr>
                <w:rFonts w:hint="eastAsia" w:ascii="Arial" w:hAnsi="Arial" w:eastAsia="宋体" w:cs="Arial"/>
                <w:b/>
                <w:bCs/>
                <w:color w:val="000000"/>
                <w:kern w:val="0"/>
                <w:sz w:val="22"/>
                <w:lang w:val="en-US" w:eastAsia="zh-CN"/>
              </w:rPr>
            </w:pPr>
            <w:r>
              <w:rPr>
                <w:rFonts w:hint="eastAsia" w:ascii="Arial" w:hAnsi="Arial" w:eastAsia="宋体" w:cs="Arial"/>
                <w:b/>
                <w:bCs/>
                <w:color w:val="000000"/>
                <w:kern w:val="0"/>
                <w:sz w:val="22"/>
                <w:lang w:val="en-US" w:eastAsia="zh-CN"/>
              </w:rPr>
              <w:t>《山西省人民政府关于印发山西省机关事业单位工作人员养老保险制度改革实施办法的通知》</w:t>
            </w:r>
            <w:r>
              <w:rPr>
                <w:rFonts w:ascii="Arial" w:hAnsi="Arial" w:eastAsia="宋体" w:cs="Arial"/>
                <w:b/>
                <w:bCs/>
                <w:color w:val="000000"/>
                <w:kern w:val="0"/>
                <w:sz w:val="22"/>
              </w:rPr>
              <w:t>（</w:t>
            </w:r>
            <w:r>
              <w:rPr>
                <w:rFonts w:hint="eastAsia" w:ascii="Arial" w:hAnsi="Arial" w:eastAsia="宋体" w:cs="Arial"/>
                <w:b/>
                <w:bCs/>
                <w:color w:val="000000"/>
                <w:kern w:val="0"/>
                <w:sz w:val="22"/>
                <w:lang w:val="en-US" w:eastAsia="zh-CN"/>
              </w:rPr>
              <w:t>晋政</w:t>
            </w:r>
            <w:r>
              <w:rPr>
                <w:rFonts w:ascii="Arial" w:hAnsi="Arial" w:eastAsia="宋体" w:cs="Arial"/>
                <w:b/>
                <w:bCs/>
                <w:color w:val="000000"/>
                <w:kern w:val="0"/>
                <w:sz w:val="22"/>
              </w:rPr>
              <w:t>发〔2015〕</w:t>
            </w:r>
            <w:r>
              <w:rPr>
                <w:rFonts w:hint="eastAsia" w:ascii="Arial" w:hAnsi="Arial" w:eastAsia="宋体" w:cs="Arial"/>
                <w:b/>
                <w:bCs/>
                <w:color w:val="000000"/>
                <w:kern w:val="0"/>
                <w:sz w:val="22"/>
                <w:lang w:val="en-US" w:eastAsia="zh-CN"/>
              </w:rPr>
              <w:t>4</w:t>
            </w:r>
            <w:r>
              <w:rPr>
                <w:rFonts w:ascii="Arial" w:hAnsi="Arial" w:eastAsia="宋体" w:cs="Arial"/>
                <w:b/>
                <w:bCs/>
                <w:color w:val="000000"/>
                <w:kern w:val="0"/>
                <w:sz w:val="22"/>
              </w:rPr>
              <w:t>2号）</w:t>
            </w:r>
            <w:r>
              <w:rPr>
                <w:rFonts w:hint="eastAsia" w:ascii="Arial" w:hAnsi="Arial" w:eastAsia="宋体" w:cs="Arial"/>
                <w:b/>
                <w:bCs/>
                <w:color w:val="000000"/>
                <w:kern w:val="0"/>
                <w:sz w:val="22"/>
                <w:lang w:val="en-US" w:eastAsia="zh-CN"/>
              </w:rPr>
              <w:t>第三条</w:t>
            </w:r>
          </w:p>
        </w:tc>
        <w:tc>
          <w:tcPr>
            <w:tcW w:w="4201" w:type="dxa"/>
            <w:vMerge w:val="restart"/>
            <w:tcBorders>
              <w:top w:val="nil"/>
              <w:left w:val="nil"/>
              <w:right w:val="single" w:color="auto" w:sz="4" w:space="0"/>
            </w:tcBorders>
            <w:shd w:val="clear" w:color="auto" w:fill="auto"/>
            <w:vAlign w:val="center"/>
          </w:tcPr>
          <w:p>
            <w:pPr>
              <w:widowControl/>
              <w:ind w:firstLine="440" w:firstLineChars="200"/>
              <w:jc w:val="left"/>
              <w:rPr>
                <w:rFonts w:ascii="Arial" w:hAnsi="Arial" w:eastAsia="宋体" w:cs="Arial"/>
                <w:color w:val="000000"/>
                <w:kern w:val="0"/>
                <w:sz w:val="22"/>
              </w:rPr>
            </w:pPr>
            <w:r>
              <w:rPr>
                <w:rFonts w:ascii="Arial" w:hAnsi="Arial" w:eastAsia="宋体" w:cs="Arial"/>
                <w:color w:val="000000"/>
                <w:kern w:val="0"/>
                <w:sz w:val="22"/>
              </w:rPr>
              <w:t>1.受理责任：对符合社会保险费征缴条件的单位予以受理，对不符合条件的不予受理（材料不全的一次性告知和说明所需材料）。</w:t>
            </w:r>
          </w:p>
          <w:p>
            <w:pPr>
              <w:widowControl/>
              <w:ind w:firstLine="440" w:firstLineChars="200"/>
              <w:jc w:val="left"/>
              <w:rPr>
                <w:rFonts w:ascii="Arial" w:hAnsi="Arial" w:eastAsia="宋体" w:cs="Arial"/>
                <w:color w:val="000000"/>
                <w:kern w:val="0"/>
                <w:sz w:val="22"/>
              </w:rPr>
            </w:pPr>
            <w:r>
              <w:rPr>
                <w:rFonts w:ascii="Arial" w:hAnsi="Arial" w:eastAsia="宋体" w:cs="Arial"/>
                <w:color w:val="000000"/>
                <w:kern w:val="0"/>
                <w:sz w:val="22"/>
              </w:rPr>
              <w:t>2.审核责任：按照社会保险费征缴规定程序进行操作，对申报材料的审核严格把关。</w:t>
            </w:r>
          </w:p>
          <w:p>
            <w:pPr>
              <w:widowControl/>
              <w:ind w:firstLine="440" w:firstLineChars="200"/>
              <w:jc w:val="left"/>
              <w:rPr>
                <w:rFonts w:ascii="Arial" w:hAnsi="Arial" w:eastAsia="宋体" w:cs="Arial"/>
                <w:color w:val="000000"/>
                <w:kern w:val="0"/>
                <w:sz w:val="22"/>
              </w:rPr>
            </w:pPr>
            <w:r>
              <w:rPr>
                <w:rFonts w:ascii="Arial" w:hAnsi="Arial" w:eastAsia="宋体" w:cs="Arial"/>
                <w:color w:val="000000"/>
                <w:kern w:val="0"/>
                <w:sz w:val="22"/>
              </w:rPr>
              <w:t>3.决定责任：按社会保险费征缴规定程序进行操作，核定缴费基数，确定缴费金额，并予以征收。</w:t>
            </w:r>
          </w:p>
          <w:p>
            <w:pPr>
              <w:widowControl/>
              <w:ind w:firstLine="440" w:firstLineChars="200"/>
              <w:jc w:val="left"/>
              <w:rPr>
                <w:rFonts w:ascii="Arial" w:hAnsi="Arial" w:eastAsia="宋体" w:cs="Arial"/>
                <w:color w:val="000000"/>
                <w:kern w:val="0"/>
                <w:sz w:val="22"/>
              </w:rPr>
            </w:pPr>
            <w:r>
              <w:rPr>
                <w:rFonts w:ascii="Arial" w:hAnsi="Arial" w:eastAsia="宋体" w:cs="Arial"/>
                <w:color w:val="000000"/>
                <w:kern w:val="0"/>
                <w:sz w:val="22"/>
              </w:rPr>
              <w:t>4.事后监督责任：对社会保险费欠缴单位进行追缴。</w:t>
            </w: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vAlign w:val="center"/>
          </w:tcPr>
          <w:p>
            <w:pPr>
              <w:widowControl/>
              <w:jc w:val="left"/>
              <w:rPr>
                <w:rFonts w:ascii="Arial" w:hAnsi="Arial" w:eastAsia="宋体" w:cs="Arial"/>
                <w:b/>
                <w:bCs/>
                <w:color w:val="000000"/>
                <w:kern w:val="0"/>
                <w:sz w:val="22"/>
              </w:rPr>
            </w:pPr>
          </w:p>
        </w:tc>
        <w:tc>
          <w:tcPr>
            <w:tcW w:w="4201" w:type="dxa"/>
            <w:vMerge w:val="continue"/>
            <w:tcBorders>
              <w:left w:val="nil"/>
              <w:right w:val="single" w:color="auto" w:sz="4" w:space="0"/>
            </w:tcBorders>
            <w:shd w:val="clear" w:color="auto" w:fill="auto"/>
            <w:vAlign w:val="center"/>
          </w:tcPr>
          <w:p>
            <w:pPr>
              <w:widowControl/>
              <w:ind w:firstLine="440" w:firstLineChars="200"/>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vAlign w:val="center"/>
          </w:tcPr>
          <w:p>
            <w:pPr>
              <w:widowControl/>
              <w:jc w:val="left"/>
              <w:rPr>
                <w:rFonts w:ascii="Arial" w:hAnsi="Arial" w:eastAsia="宋体" w:cs="Arial"/>
                <w:b/>
                <w:bCs/>
                <w:color w:val="000000"/>
                <w:kern w:val="0"/>
                <w:sz w:val="22"/>
              </w:rPr>
            </w:pPr>
          </w:p>
        </w:tc>
        <w:tc>
          <w:tcPr>
            <w:tcW w:w="4201" w:type="dxa"/>
            <w:vMerge w:val="continue"/>
            <w:tcBorders>
              <w:left w:val="nil"/>
              <w:right w:val="single" w:color="auto" w:sz="4" w:space="0"/>
            </w:tcBorders>
            <w:shd w:val="clear" w:color="auto" w:fill="auto"/>
            <w:vAlign w:val="center"/>
          </w:tcPr>
          <w:p>
            <w:pPr>
              <w:widowControl/>
              <w:ind w:firstLine="440" w:firstLineChars="200"/>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7" w:hRule="atLeast"/>
        </w:trPr>
        <w:tc>
          <w:tcPr>
            <w:tcW w:w="556"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vAlign w:val="center"/>
          </w:tcPr>
          <w:p>
            <w:pPr>
              <w:widowControl/>
              <w:jc w:val="left"/>
              <w:rPr>
                <w:rFonts w:hint="eastAsia" w:ascii="Arial" w:hAnsi="Arial" w:eastAsia="宋体" w:cs="Arial"/>
                <w:b/>
                <w:bCs/>
                <w:color w:val="000000"/>
                <w:kern w:val="0"/>
                <w:sz w:val="22"/>
                <w:lang w:val="en-US" w:eastAsia="zh-CN"/>
              </w:rPr>
            </w:pPr>
          </w:p>
        </w:tc>
        <w:tc>
          <w:tcPr>
            <w:tcW w:w="4201" w:type="dxa"/>
            <w:vMerge w:val="continue"/>
            <w:tcBorders>
              <w:left w:val="nil"/>
              <w:right w:val="single" w:color="auto" w:sz="4" w:space="0"/>
            </w:tcBorders>
            <w:shd w:val="clear" w:color="auto" w:fill="auto"/>
            <w:vAlign w:val="center"/>
          </w:tcPr>
          <w:p>
            <w:pPr>
              <w:widowControl/>
              <w:ind w:firstLine="440" w:firstLineChars="200"/>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04" w:hRule="atLeast"/>
        </w:trPr>
        <w:tc>
          <w:tcPr>
            <w:tcW w:w="55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bottom w:val="single" w:color="auto" w:sz="4" w:space="0"/>
              <w:right w:val="single" w:color="auto" w:sz="4" w:space="0"/>
            </w:tcBorders>
            <w:shd w:val="clear" w:color="auto" w:fill="auto"/>
            <w:vAlign w:val="center"/>
          </w:tcPr>
          <w:p>
            <w:pPr>
              <w:widowControl/>
              <w:jc w:val="left"/>
              <w:rPr>
                <w:rFonts w:ascii="Arial" w:hAnsi="Arial" w:eastAsia="宋体" w:cs="Arial"/>
                <w:b/>
                <w:bCs/>
                <w:color w:val="000000"/>
                <w:kern w:val="0"/>
                <w:sz w:val="22"/>
              </w:rPr>
            </w:pPr>
          </w:p>
        </w:tc>
        <w:tc>
          <w:tcPr>
            <w:tcW w:w="4201" w:type="dxa"/>
            <w:vMerge w:val="continue"/>
            <w:tcBorders>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7" w:hRule="atLeas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b/>
                <w:bCs/>
                <w:color w:val="000000"/>
                <w:kern w:val="0"/>
                <w:sz w:val="28"/>
                <w:szCs w:val="28"/>
                <w:lang w:val="en-US" w:eastAsia="zh-CN"/>
              </w:rPr>
              <w:t>3</w:t>
            </w: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行政给付</w:t>
            </w:r>
          </w:p>
        </w:tc>
        <w:tc>
          <w:tcPr>
            <w:tcW w:w="6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Arial" w:hAnsi="Arial" w:eastAsia="宋体" w:cs="Arial"/>
                <w:color w:val="000000"/>
                <w:kern w:val="0"/>
                <w:sz w:val="22"/>
              </w:rPr>
            </w:pPr>
            <w:r>
              <w:rPr>
                <w:rFonts w:ascii="Arial" w:hAnsi="Arial" w:eastAsia="宋体" w:cs="Arial"/>
                <w:color w:val="000000"/>
                <w:kern w:val="0"/>
                <w:sz w:val="22"/>
              </w:rPr>
              <w:t>社会保险待遇给付</w:t>
            </w:r>
          </w:p>
        </w:tc>
        <w:tc>
          <w:tcPr>
            <w:tcW w:w="3491" w:type="dxa"/>
            <w:vMerge w:val="restart"/>
            <w:tcBorders>
              <w:top w:val="single" w:color="auto" w:sz="4" w:space="0"/>
              <w:left w:val="nil"/>
              <w:right w:val="single" w:color="auto" w:sz="4" w:space="0"/>
            </w:tcBorders>
            <w:shd w:val="clear" w:color="auto" w:fill="auto"/>
            <w:vAlign w:val="center"/>
          </w:tcPr>
          <w:p>
            <w:pPr>
              <w:widowControl/>
              <w:jc w:val="left"/>
              <w:rPr>
                <w:rFonts w:hint="eastAsia" w:ascii="宋体" w:hAnsi="宋体" w:eastAsia="宋体" w:cs="Arial"/>
                <w:b/>
                <w:bCs/>
                <w:color w:val="000000"/>
                <w:kern w:val="0"/>
                <w:sz w:val="22"/>
              </w:rPr>
            </w:pPr>
          </w:p>
          <w:p>
            <w:pPr>
              <w:widowControl/>
              <w:jc w:val="left"/>
              <w:rPr>
                <w:rFonts w:hint="eastAsia" w:ascii="宋体" w:hAnsi="宋体" w:eastAsia="宋体" w:cs="Arial"/>
                <w:b/>
                <w:bCs/>
                <w:color w:val="000000"/>
                <w:kern w:val="0"/>
                <w:sz w:val="21"/>
                <w:szCs w:val="21"/>
              </w:rPr>
            </w:pPr>
            <w:r>
              <w:rPr>
                <w:rFonts w:hint="eastAsia" w:ascii="宋体" w:hAnsi="宋体" w:eastAsia="宋体" w:cs="Arial"/>
                <w:b/>
                <w:bCs/>
                <w:color w:val="000000"/>
                <w:kern w:val="0"/>
                <w:sz w:val="22"/>
              </w:rPr>
              <w:t>【法律】《中华人民共和国社会保险法》第八条</w:t>
            </w:r>
            <w:r>
              <w:rPr>
                <w:rFonts w:ascii="Arial" w:hAnsi="Arial" w:eastAsia="宋体" w:cs="Arial"/>
                <w:b/>
                <w:bCs/>
                <w:color w:val="000000"/>
                <w:kern w:val="0"/>
                <w:sz w:val="24"/>
                <w:szCs w:val="24"/>
              </w:rPr>
              <w:t xml:space="preserve"> </w:t>
            </w:r>
            <w:r>
              <w:rPr>
                <w:rFonts w:hint="eastAsia" w:ascii="宋体" w:hAnsi="宋体" w:eastAsia="宋体" w:cs="Arial"/>
                <w:b/>
                <w:bCs/>
                <w:color w:val="000000"/>
                <w:kern w:val="0"/>
                <w:sz w:val="21"/>
                <w:szCs w:val="21"/>
              </w:rPr>
              <w:t>第七十三条</w:t>
            </w:r>
          </w:p>
          <w:p>
            <w:pPr>
              <w:widowControl/>
              <w:jc w:val="left"/>
              <w:rPr>
                <w:rFonts w:hint="eastAsia" w:ascii="宋体" w:hAnsi="宋体" w:eastAsia="宋体" w:cs="Arial"/>
                <w:b/>
                <w:bCs/>
                <w:color w:val="000000"/>
                <w:kern w:val="0"/>
                <w:sz w:val="21"/>
                <w:szCs w:val="21"/>
              </w:rPr>
            </w:pPr>
          </w:p>
          <w:p>
            <w:pPr>
              <w:widowControl/>
              <w:jc w:val="left"/>
              <w:rPr>
                <w:rFonts w:ascii="Arial" w:hAnsi="Arial" w:eastAsia="宋体" w:cs="Arial"/>
                <w:b/>
                <w:bCs/>
                <w:color w:val="000000"/>
                <w:kern w:val="0"/>
                <w:sz w:val="22"/>
              </w:rPr>
            </w:pPr>
            <w:r>
              <w:rPr>
                <w:rFonts w:ascii="Arial" w:hAnsi="Arial" w:eastAsia="宋体" w:cs="Arial"/>
                <w:b/>
                <w:bCs/>
                <w:color w:val="000000"/>
                <w:kern w:val="0"/>
                <w:sz w:val="22"/>
              </w:rPr>
              <w:t>【行政法规】《工伤保险条例》（国务院令第586号）第四十六条</w:t>
            </w:r>
          </w:p>
          <w:p>
            <w:pPr>
              <w:widowControl/>
              <w:jc w:val="left"/>
              <w:rPr>
                <w:rFonts w:ascii="Arial" w:hAnsi="Arial" w:eastAsia="宋体" w:cs="Arial"/>
                <w:b/>
                <w:bCs/>
                <w:color w:val="000000"/>
                <w:kern w:val="0"/>
                <w:sz w:val="22"/>
              </w:rPr>
            </w:pPr>
          </w:p>
          <w:p>
            <w:pPr>
              <w:widowControl/>
              <w:jc w:val="left"/>
              <w:rPr>
                <w:rFonts w:ascii="Arial" w:hAnsi="Arial" w:eastAsia="宋体" w:cs="Arial"/>
                <w:b/>
                <w:bCs/>
                <w:color w:val="000000"/>
                <w:kern w:val="0"/>
                <w:sz w:val="24"/>
                <w:szCs w:val="24"/>
              </w:rPr>
            </w:pPr>
            <w:r>
              <w:rPr>
                <w:rFonts w:ascii="Arial" w:hAnsi="Arial" w:eastAsia="宋体" w:cs="Arial"/>
                <w:b/>
                <w:bCs/>
                <w:color w:val="000000"/>
                <w:kern w:val="0"/>
                <w:sz w:val="22"/>
              </w:rPr>
              <w:t>【行政法规】《失业保险条例》（国务院令第258号）第三条</w:t>
            </w:r>
            <w:r>
              <w:rPr>
                <w:rFonts w:ascii="Arial" w:hAnsi="Arial" w:eastAsia="宋体" w:cs="Arial"/>
                <w:b/>
                <w:bCs/>
                <w:color w:val="000000"/>
                <w:kern w:val="0"/>
                <w:sz w:val="24"/>
                <w:szCs w:val="24"/>
              </w:rPr>
              <w:t xml:space="preserve"> </w:t>
            </w:r>
          </w:p>
          <w:p>
            <w:pPr>
              <w:widowControl/>
              <w:jc w:val="left"/>
              <w:rPr>
                <w:rFonts w:ascii="Arial" w:hAnsi="Arial" w:eastAsia="宋体" w:cs="Arial"/>
                <w:b/>
                <w:bCs/>
                <w:color w:val="000000"/>
                <w:kern w:val="0"/>
                <w:sz w:val="24"/>
                <w:szCs w:val="24"/>
              </w:rPr>
            </w:pPr>
          </w:p>
          <w:p>
            <w:pPr>
              <w:widowControl/>
              <w:jc w:val="left"/>
              <w:rPr>
                <w:rFonts w:ascii="宋体" w:hAnsi="宋体" w:eastAsia="宋体" w:cs="宋体"/>
                <w:color w:val="000000"/>
                <w:kern w:val="0"/>
                <w:sz w:val="22"/>
              </w:rPr>
            </w:pPr>
            <w:r>
              <w:rPr>
                <w:rFonts w:hint="eastAsia" w:ascii="Arial" w:hAnsi="Arial" w:eastAsia="宋体" w:cs="Arial"/>
                <w:b/>
                <w:bCs/>
                <w:color w:val="000000"/>
                <w:kern w:val="0"/>
                <w:sz w:val="22"/>
                <w:lang w:val="en-US" w:eastAsia="zh-CN"/>
              </w:rPr>
              <w:t>《山西省人民政府关于印发山西省机关事业单位工作人员养老保险制度改革实施办法的通知》</w:t>
            </w:r>
            <w:r>
              <w:rPr>
                <w:rFonts w:ascii="Arial" w:hAnsi="Arial" w:eastAsia="宋体" w:cs="Arial"/>
                <w:b/>
                <w:bCs/>
                <w:color w:val="000000"/>
                <w:kern w:val="0"/>
                <w:sz w:val="22"/>
              </w:rPr>
              <w:t>（</w:t>
            </w:r>
            <w:r>
              <w:rPr>
                <w:rFonts w:hint="eastAsia" w:ascii="Arial" w:hAnsi="Arial" w:eastAsia="宋体" w:cs="Arial"/>
                <w:b/>
                <w:bCs/>
                <w:color w:val="000000"/>
                <w:kern w:val="0"/>
                <w:sz w:val="22"/>
                <w:lang w:val="en-US" w:eastAsia="zh-CN"/>
              </w:rPr>
              <w:t>晋政</w:t>
            </w:r>
            <w:r>
              <w:rPr>
                <w:rFonts w:ascii="Arial" w:hAnsi="Arial" w:eastAsia="宋体" w:cs="Arial"/>
                <w:b/>
                <w:bCs/>
                <w:color w:val="000000"/>
                <w:kern w:val="0"/>
                <w:sz w:val="22"/>
              </w:rPr>
              <w:t>发〔2015〕</w:t>
            </w:r>
            <w:r>
              <w:rPr>
                <w:rFonts w:hint="eastAsia" w:ascii="Arial" w:hAnsi="Arial" w:eastAsia="宋体" w:cs="Arial"/>
                <w:b/>
                <w:bCs/>
                <w:color w:val="000000"/>
                <w:kern w:val="0"/>
                <w:sz w:val="22"/>
                <w:lang w:val="en-US" w:eastAsia="zh-CN"/>
              </w:rPr>
              <w:t>4</w:t>
            </w:r>
            <w:r>
              <w:rPr>
                <w:rFonts w:ascii="Arial" w:hAnsi="Arial" w:eastAsia="宋体" w:cs="Arial"/>
                <w:b/>
                <w:bCs/>
                <w:color w:val="000000"/>
                <w:kern w:val="0"/>
                <w:sz w:val="22"/>
              </w:rPr>
              <w:t>2号）</w:t>
            </w:r>
            <w:r>
              <w:rPr>
                <w:rFonts w:hint="eastAsia" w:ascii="Arial" w:hAnsi="Arial" w:eastAsia="宋体" w:cs="Arial"/>
                <w:b/>
                <w:bCs/>
                <w:color w:val="000000"/>
                <w:kern w:val="0"/>
                <w:sz w:val="22"/>
                <w:lang w:val="en-US" w:eastAsia="zh-CN"/>
              </w:rPr>
              <w:t>第五条、第六条</w:t>
            </w:r>
          </w:p>
        </w:tc>
        <w:tc>
          <w:tcPr>
            <w:tcW w:w="4201"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57" w:beforeLines="50"/>
              <w:ind w:firstLine="440" w:firstLineChars="200"/>
              <w:jc w:val="left"/>
              <w:textAlignment w:val="auto"/>
              <w:rPr>
                <w:rFonts w:ascii="Arial" w:hAnsi="Arial" w:eastAsia="宋体" w:cs="Arial"/>
                <w:color w:val="000000"/>
                <w:kern w:val="0"/>
                <w:sz w:val="22"/>
              </w:rPr>
            </w:pPr>
            <w:r>
              <w:rPr>
                <w:rFonts w:ascii="Arial" w:hAnsi="Arial" w:eastAsia="宋体" w:cs="Arial"/>
                <w:color w:val="000000"/>
                <w:kern w:val="0"/>
                <w:sz w:val="22"/>
              </w:rPr>
              <w:t>1.受理责任：对符合社会保险待遇支付条件的申领人员予以受理，对不符合条件的不予受理（材料不全的一次性告知和说明所需材料）。</w:t>
            </w:r>
          </w:p>
          <w:p>
            <w:pPr>
              <w:widowControl/>
              <w:ind w:firstLine="440" w:firstLineChars="200"/>
              <w:jc w:val="left"/>
              <w:rPr>
                <w:rFonts w:ascii="Arial" w:hAnsi="Arial" w:eastAsia="宋体" w:cs="Arial"/>
                <w:color w:val="000000"/>
                <w:kern w:val="0"/>
                <w:sz w:val="22"/>
              </w:rPr>
            </w:pPr>
            <w:r>
              <w:rPr>
                <w:rFonts w:ascii="Arial" w:hAnsi="Arial" w:eastAsia="宋体" w:cs="Arial"/>
                <w:color w:val="000000"/>
                <w:kern w:val="0"/>
                <w:sz w:val="22"/>
              </w:rPr>
              <w:t>2.审核责任：按社会保险待遇支付规定程序进行操作，对申报材料的审核严格把关。</w:t>
            </w:r>
          </w:p>
          <w:p>
            <w:pPr>
              <w:widowControl/>
              <w:ind w:firstLine="440" w:firstLineChars="200"/>
              <w:jc w:val="left"/>
              <w:rPr>
                <w:rFonts w:ascii="Arial" w:hAnsi="Arial" w:eastAsia="宋体" w:cs="Arial"/>
                <w:color w:val="000000"/>
                <w:kern w:val="0"/>
                <w:sz w:val="22"/>
              </w:rPr>
            </w:pPr>
            <w:r>
              <w:rPr>
                <w:rFonts w:ascii="Arial" w:hAnsi="Arial" w:eastAsia="宋体" w:cs="Arial"/>
                <w:color w:val="000000"/>
                <w:kern w:val="0"/>
                <w:sz w:val="22"/>
              </w:rPr>
              <w:t>3.决定责任：对符合社会保险待遇支付办理条件的申请人准予给以办理，发放</w:t>
            </w:r>
            <w:r>
              <w:rPr>
                <w:rFonts w:hint="eastAsia" w:ascii="Arial" w:hAnsi="Arial" w:eastAsia="宋体" w:cs="Arial"/>
                <w:color w:val="000000"/>
                <w:kern w:val="0"/>
                <w:sz w:val="22"/>
                <w:lang w:val="en-US" w:eastAsia="zh-CN"/>
              </w:rPr>
              <w:t>各项</w:t>
            </w:r>
            <w:r>
              <w:rPr>
                <w:rFonts w:ascii="Arial" w:hAnsi="Arial" w:eastAsia="宋体" w:cs="Arial"/>
                <w:color w:val="000000"/>
                <w:kern w:val="0"/>
                <w:sz w:val="22"/>
              </w:rPr>
              <w:t>保险待遇，对不符合条件的申请人不予办理，并告之原因。</w:t>
            </w:r>
          </w:p>
          <w:p>
            <w:pPr>
              <w:keepNext w:val="0"/>
              <w:keepLines w:val="0"/>
              <w:pageBreakBefore w:val="0"/>
              <w:widowControl/>
              <w:kinsoku/>
              <w:wordWrap/>
              <w:overflowPunct/>
              <w:topLinePunct w:val="0"/>
              <w:autoSpaceDE/>
              <w:autoSpaceDN/>
              <w:bidi w:val="0"/>
              <w:adjustRightInd/>
              <w:snapToGrid/>
              <w:spacing w:after="157" w:afterLines="50"/>
              <w:ind w:firstLine="440" w:firstLineChars="200"/>
              <w:jc w:val="left"/>
              <w:textAlignment w:val="auto"/>
              <w:rPr>
                <w:rFonts w:hint="eastAsia" w:ascii="Arial" w:hAnsi="Arial" w:eastAsia="宋体" w:cs="Arial"/>
                <w:color w:val="000000"/>
                <w:kern w:val="0"/>
                <w:sz w:val="22"/>
                <w:lang w:eastAsia="zh-CN"/>
              </w:rPr>
            </w:pPr>
            <w:r>
              <w:rPr>
                <w:rFonts w:ascii="Arial" w:hAnsi="Arial" w:eastAsia="宋体" w:cs="Arial"/>
                <w:color w:val="000000"/>
                <w:kern w:val="0"/>
                <w:sz w:val="22"/>
              </w:rPr>
              <w:t>4.事后监督：不定期抽查领取社会保险待遇人员的个人资料，一旦发现冒领多领现象，立即追缴</w:t>
            </w:r>
            <w:r>
              <w:rPr>
                <w:rFonts w:hint="eastAsia" w:ascii="Arial" w:hAnsi="Arial" w:eastAsia="宋体" w:cs="Arial"/>
                <w:color w:val="000000"/>
                <w:kern w:val="0"/>
                <w:sz w:val="22"/>
                <w:lang w:eastAsia="zh-CN"/>
              </w:rPr>
              <w:t>。</w:t>
            </w:r>
          </w:p>
        </w:tc>
      </w:tr>
      <w:tr>
        <w:tblPrEx>
          <w:tblCellMar>
            <w:top w:w="0" w:type="dxa"/>
            <w:left w:w="108" w:type="dxa"/>
            <w:bottom w:w="0" w:type="dxa"/>
            <w:right w:w="108" w:type="dxa"/>
          </w:tblCellMar>
        </w:tblPrEx>
        <w:trPr>
          <w:trHeight w:val="397"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vAlign w:val="center"/>
          </w:tcPr>
          <w:p>
            <w:pPr>
              <w:widowControl/>
              <w:jc w:val="left"/>
              <w:rPr>
                <w:rFonts w:ascii="Arial" w:hAnsi="Arial" w:eastAsia="宋体" w:cs="Arial"/>
                <w:b/>
                <w:bCs/>
                <w:color w:val="000000"/>
                <w:kern w:val="0"/>
                <w:sz w:val="22"/>
              </w:rPr>
            </w:pPr>
          </w:p>
        </w:tc>
        <w:tc>
          <w:tcPr>
            <w:tcW w:w="4201" w:type="dxa"/>
            <w:vMerge w:val="continue"/>
            <w:tcBorders>
              <w:left w:val="nil"/>
              <w:right w:val="single" w:color="auto" w:sz="4" w:space="0"/>
            </w:tcBorders>
            <w:shd w:val="clear" w:color="auto" w:fill="auto"/>
            <w:vAlign w:val="center"/>
          </w:tcPr>
          <w:p>
            <w:pPr>
              <w:widowControl/>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7"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right w:val="single" w:color="auto" w:sz="4" w:space="0"/>
            </w:tcBorders>
            <w:shd w:val="clear" w:color="auto" w:fill="auto"/>
            <w:vAlign w:val="center"/>
          </w:tcPr>
          <w:p>
            <w:pPr>
              <w:widowControl/>
              <w:jc w:val="left"/>
              <w:rPr>
                <w:rFonts w:ascii="Arial" w:hAnsi="Arial" w:eastAsia="宋体" w:cs="Arial"/>
                <w:b/>
                <w:bCs/>
                <w:color w:val="000000"/>
                <w:kern w:val="0"/>
                <w:sz w:val="22"/>
              </w:rPr>
            </w:pPr>
          </w:p>
        </w:tc>
        <w:tc>
          <w:tcPr>
            <w:tcW w:w="4201" w:type="dxa"/>
            <w:vMerge w:val="continue"/>
            <w:tcBorders>
              <w:left w:val="nil"/>
              <w:right w:val="single" w:color="auto" w:sz="4" w:space="0"/>
            </w:tcBorders>
            <w:shd w:val="clear" w:color="auto" w:fill="auto"/>
            <w:vAlign w:val="center"/>
          </w:tcPr>
          <w:p>
            <w:pPr>
              <w:widowControl/>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97"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eastAsia="宋体" w:cs="Arial"/>
                <w:color w:val="000000"/>
                <w:kern w:val="0"/>
                <w:sz w:val="22"/>
              </w:rPr>
            </w:pPr>
          </w:p>
        </w:tc>
        <w:tc>
          <w:tcPr>
            <w:tcW w:w="3491"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4201"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Arial" w:hAnsi="Arial" w:eastAsia="宋体" w:cs="Arial"/>
                <w:color w:val="000000"/>
                <w:kern w:val="0"/>
                <w:sz w:val="22"/>
                <w:lang w:eastAsia="zh-CN"/>
              </w:rPr>
            </w:pPr>
          </w:p>
        </w:tc>
      </w:tr>
      <w:tr>
        <w:tblPrEx>
          <w:tblCellMar>
            <w:top w:w="0" w:type="dxa"/>
            <w:left w:w="108" w:type="dxa"/>
            <w:bottom w:w="0" w:type="dxa"/>
            <w:right w:w="108" w:type="dxa"/>
          </w:tblCellMar>
        </w:tblPrEx>
        <w:trPr>
          <w:trHeight w:val="397"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8"/>
                <w:szCs w:val="28"/>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491" w:type="dxa"/>
            <w:vMerge w:val="continue"/>
            <w:tcBorders>
              <w:left w:val="nil"/>
              <w:right w:val="single" w:color="auto" w:sz="4" w:space="0"/>
            </w:tcBorders>
            <w:shd w:val="clear" w:color="auto" w:fill="auto"/>
            <w:vAlign w:val="center"/>
          </w:tcPr>
          <w:p>
            <w:pPr>
              <w:widowControl/>
              <w:jc w:val="left"/>
              <w:rPr>
                <w:rFonts w:ascii="Arial" w:hAnsi="Arial" w:eastAsia="宋体" w:cs="Arial"/>
                <w:color w:val="000000"/>
                <w:kern w:val="0"/>
                <w:sz w:val="21"/>
                <w:szCs w:val="21"/>
              </w:rPr>
            </w:pPr>
          </w:p>
        </w:tc>
        <w:tc>
          <w:tcPr>
            <w:tcW w:w="4201" w:type="dxa"/>
            <w:vMerge w:val="continue"/>
            <w:tcBorders>
              <w:left w:val="nil"/>
              <w:right w:val="single" w:color="auto" w:sz="4" w:space="0"/>
            </w:tcBorders>
            <w:shd w:val="clear" w:color="auto" w:fill="auto"/>
            <w:vAlign w:val="center"/>
          </w:tcPr>
          <w:p>
            <w:pPr>
              <w:widowControl/>
              <w:jc w:val="left"/>
              <w:rPr>
                <w:rFonts w:ascii="Arial" w:hAnsi="Arial" w:eastAsia="宋体" w:cs="Arial"/>
                <w:color w:val="000000"/>
                <w:kern w:val="0"/>
                <w:sz w:val="22"/>
              </w:rPr>
            </w:pPr>
          </w:p>
        </w:tc>
      </w:tr>
      <w:tr>
        <w:tblPrEx>
          <w:tblCellMar>
            <w:top w:w="0" w:type="dxa"/>
            <w:left w:w="108" w:type="dxa"/>
            <w:bottom w:w="0" w:type="dxa"/>
            <w:right w:w="108" w:type="dxa"/>
          </w:tblCellMar>
        </w:tblPrEx>
        <w:trPr>
          <w:trHeight w:val="3813" w:hRule="atLeast"/>
        </w:trPr>
        <w:tc>
          <w:tcPr>
            <w:tcW w:w="5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3491" w:type="dxa"/>
            <w:vMerge w:val="continue"/>
            <w:tcBorders>
              <w:left w:val="nil"/>
              <w:bottom w:val="single" w:color="auto" w:sz="4" w:space="0"/>
              <w:right w:val="single" w:color="auto" w:sz="4" w:space="0"/>
            </w:tcBorders>
            <w:shd w:val="clear" w:color="auto" w:fill="auto"/>
            <w:vAlign w:val="center"/>
          </w:tcPr>
          <w:p>
            <w:pPr>
              <w:widowControl/>
              <w:jc w:val="left"/>
              <w:rPr>
                <w:rFonts w:ascii="Arial" w:hAnsi="Arial" w:eastAsia="宋体" w:cs="Arial"/>
                <w:color w:val="000000"/>
                <w:kern w:val="0"/>
                <w:sz w:val="21"/>
                <w:szCs w:val="21"/>
              </w:rPr>
            </w:pPr>
          </w:p>
        </w:tc>
        <w:tc>
          <w:tcPr>
            <w:tcW w:w="4201" w:type="dxa"/>
            <w:vMerge w:val="continue"/>
            <w:tcBorders>
              <w:left w:val="nil"/>
              <w:bottom w:val="single" w:color="auto" w:sz="4" w:space="0"/>
              <w:right w:val="single" w:color="auto" w:sz="4" w:space="0"/>
            </w:tcBorders>
            <w:shd w:val="clear" w:color="auto" w:fill="auto"/>
            <w:noWrap/>
            <w:vAlign w:val="center"/>
          </w:tcPr>
          <w:p>
            <w:pPr>
              <w:widowControl/>
              <w:jc w:val="left"/>
              <w:rPr>
                <w:rFonts w:ascii="Arial" w:hAnsi="Arial" w:eastAsia="宋体" w:cs="Arial"/>
                <w:color w:val="000000"/>
                <w:kern w:val="0"/>
                <w:sz w:val="22"/>
              </w:rPr>
            </w:pPr>
          </w:p>
        </w:tc>
      </w:tr>
    </w:tbl>
    <w:p>
      <w:pPr>
        <w:spacing w:line="580" w:lineRule="exact"/>
        <w:ind w:firstLine="640" w:firstLineChars="200"/>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afterLines="50" w:line="660" w:lineRule="exact"/>
        <w:jc w:val="left"/>
        <w:textAlignment w:val="auto"/>
        <w:rPr>
          <w:rFonts w:hint="eastAsia" w:ascii="仿宋" w:hAnsi="仿宋" w:eastAsia="仿宋" w:cs="仿宋"/>
          <w:b w:val="0"/>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784496545"/>
                  <w:docPartObj>
                    <w:docPartGallery w:val="autotext"/>
                  </w:docPartObj>
                </w:sdtPr>
                <w:sdtContent>
                  <w:p>
                    <w:pPr>
                      <w:pStyle w:val="2"/>
                      <w:jc w:val="center"/>
                    </w:pPr>
                    <w:r>
                      <w:fldChar w:fldCharType="begin"/>
                    </w:r>
                    <w:r>
                      <w:instrText xml:space="preserve"> PAGE   \* MERGEFORMAT </w:instrText>
                    </w:r>
                    <w:r>
                      <w:fldChar w:fldCharType="separate"/>
                    </w:r>
                    <w:r>
                      <w:rPr>
                        <w:lang w:val="zh-CN"/>
                      </w:rPr>
                      <w:t>33</w:t>
                    </w:r>
                    <w:r>
                      <w:rPr>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641FB"/>
    <w:rsid w:val="00021D5D"/>
    <w:rsid w:val="000A6464"/>
    <w:rsid w:val="000D7658"/>
    <w:rsid w:val="000E4CBD"/>
    <w:rsid w:val="000F694E"/>
    <w:rsid w:val="00123F5B"/>
    <w:rsid w:val="001321EB"/>
    <w:rsid w:val="0015470B"/>
    <w:rsid w:val="00154FA9"/>
    <w:rsid w:val="001665C7"/>
    <w:rsid w:val="00196AB2"/>
    <w:rsid w:val="00205E8D"/>
    <w:rsid w:val="00234D3C"/>
    <w:rsid w:val="002510FD"/>
    <w:rsid w:val="002B28CA"/>
    <w:rsid w:val="002D2987"/>
    <w:rsid w:val="0035519E"/>
    <w:rsid w:val="0036411D"/>
    <w:rsid w:val="003965C0"/>
    <w:rsid w:val="003F21F7"/>
    <w:rsid w:val="004075BC"/>
    <w:rsid w:val="004178FF"/>
    <w:rsid w:val="0043043E"/>
    <w:rsid w:val="004363E8"/>
    <w:rsid w:val="00472F16"/>
    <w:rsid w:val="0049416A"/>
    <w:rsid w:val="004C0884"/>
    <w:rsid w:val="00541E01"/>
    <w:rsid w:val="00542F90"/>
    <w:rsid w:val="005641FB"/>
    <w:rsid w:val="00595FD5"/>
    <w:rsid w:val="00620028"/>
    <w:rsid w:val="00637BB0"/>
    <w:rsid w:val="00643633"/>
    <w:rsid w:val="006D4427"/>
    <w:rsid w:val="00757EC4"/>
    <w:rsid w:val="00766EA2"/>
    <w:rsid w:val="0078232C"/>
    <w:rsid w:val="0078713A"/>
    <w:rsid w:val="007A5E9D"/>
    <w:rsid w:val="007E52CE"/>
    <w:rsid w:val="008223CA"/>
    <w:rsid w:val="0084697D"/>
    <w:rsid w:val="008473EF"/>
    <w:rsid w:val="00860051"/>
    <w:rsid w:val="00860655"/>
    <w:rsid w:val="00861491"/>
    <w:rsid w:val="00871EE0"/>
    <w:rsid w:val="008929D7"/>
    <w:rsid w:val="00896384"/>
    <w:rsid w:val="00944D34"/>
    <w:rsid w:val="009532D5"/>
    <w:rsid w:val="009F6B43"/>
    <w:rsid w:val="00A27837"/>
    <w:rsid w:val="00A35100"/>
    <w:rsid w:val="00A67151"/>
    <w:rsid w:val="00A742A7"/>
    <w:rsid w:val="00A81F9C"/>
    <w:rsid w:val="00A8735A"/>
    <w:rsid w:val="00A90D8A"/>
    <w:rsid w:val="00B03594"/>
    <w:rsid w:val="00B119FF"/>
    <w:rsid w:val="00B15FC9"/>
    <w:rsid w:val="00B65A0C"/>
    <w:rsid w:val="00B93FCA"/>
    <w:rsid w:val="00BD2B27"/>
    <w:rsid w:val="00C024AD"/>
    <w:rsid w:val="00C8231A"/>
    <w:rsid w:val="00CA11A4"/>
    <w:rsid w:val="00CA4864"/>
    <w:rsid w:val="00CA6C2B"/>
    <w:rsid w:val="00CC171C"/>
    <w:rsid w:val="00CE52E6"/>
    <w:rsid w:val="00D357CC"/>
    <w:rsid w:val="00D41E7B"/>
    <w:rsid w:val="00D91467"/>
    <w:rsid w:val="00E351F9"/>
    <w:rsid w:val="00E46E57"/>
    <w:rsid w:val="00EA7B8E"/>
    <w:rsid w:val="00F21896"/>
    <w:rsid w:val="012D570D"/>
    <w:rsid w:val="0290776A"/>
    <w:rsid w:val="02E9263C"/>
    <w:rsid w:val="03615E13"/>
    <w:rsid w:val="058B075C"/>
    <w:rsid w:val="05C96AC8"/>
    <w:rsid w:val="05CE7D3A"/>
    <w:rsid w:val="064510F1"/>
    <w:rsid w:val="06591046"/>
    <w:rsid w:val="0662272B"/>
    <w:rsid w:val="071A584D"/>
    <w:rsid w:val="08875AF1"/>
    <w:rsid w:val="0B9B4BEB"/>
    <w:rsid w:val="0D2E4CD9"/>
    <w:rsid w:val="0D4D2E55"/>
    <w:rsid w:val="100338E0"/>
    <w:rsid w:val="10FB62EA"/>
    <w:rsid w:val="110A571F"/>
    <w:rsid w:val="11223810"/>
    <w:rsid w:val="11617133"/>
    <w:rsid w:val="118D4156"/>
    <w:rsid w:val="11E41752"/>
    <w:rsid w:val="123761C9"/>
    <w:rsid w:val="128313C4"/>
    <w:rsid w:val="13E4073A"/>
    <w:rsid w:val="150F52E6"/>
    <w:rsid w:val="15BF18C6"/>
    <w:rsid w:val="15CB7A2C"/>
    <w:rsid w:val="15E92774"/>
    <w:rsid w:val="17AB26C0"/>
    <w:rsid w:val="181434D0"/>
    <w:rsid w:val="184E7EB6"/>
    <w:rsid w:val="19674B1F"/>
    <w:rsid w:val="1A0A0F92"/>
    <w:rsid w:val="1A2856F3"/>
    <w:rsid w:val="1A534DDD"/>
    <w:rsid w:val="1B104DCD"/>
    <w:rsid w:val="1BA72A78"/>
    <w:rsid w:val="1C1E784C"/>
    <w:rsid w:val="1C693BAE"/>
    <w:rsid w:val="1D222F66"/>
    <w:rsid w:val="1DDB4F53"/>
    <w:rsid w:val="1EA52CD8"/>
    <w:rsid w:val="1ED6401C"/>
    <w:rsid w:val="218320EA"/>
    <w:rsid w:val="21EE719B"/>
    <w:rsid w:val="21EE7867"/>
    <w:rsid w:val="23840551"/>
    <w:rsid w:val="23F03B7E"/>
    <w:rsid w:val="248C0122"/>
    <w:rsid w:val="276C03A0"/>
    <w:rsid w:val="28A858CE"/>
    <w:rsid w:val="28B25896"/>
    <w:rsid w:val="2A984557"/>
    <w:rsid w:val="2BF654D0"/>
    <w:rsid w:val="2F3E17E7"/>
    <w:rsid w:val="2FEF75A0"/>
    <w:rsid w:val="310A4845"/>
    <w:rsid w:val="31FF1A1C"/>
    <w:rsid w:val="32A42388"/>
    <w:rsid w:val="333308AD"/>
    <w:rsid w:val="333675C3"/>
    <w:rsid w:val="34724A27"/>
    <w:rsid w:val="356D1C4E"/>
    <w:rsid w:val="358571F6"/>
    <w:rsid w:val="35C87C63"/>
    <w:rsid w:val="35D76072"/>
    <w:rsid w:val="370B53D3"/>
    <w:rsid w:val="37885E29"/>
    <w:rsid w:val="3891189C"/>
    <w:rsid w:val="39307171"/>
    <w:rsid w:val="393E1368"/>
    <w:rsid w:val="39D279FC"/>
    <w:rsid w:val="3AA2396C"/>
    <w:rsid w:val="3B824E2E"/>
    <w:rsid w:val="3BF2625B"/>
    <w:rsid w:val="3C2142C7"/>
    <w:rsid w:val="3D270E62"/>
    <w:rsid w:val="3DC87A15"/>
    <w:rsid w:val="3E595530"/>
    <w:rsid w:val="3F6C0685"/>
    <w:rsid w:val="3FF06807"/>
    <w:rsid w:val="420C7058"/>
    <w:rsid w:val="4210492A"/>
    <w:rsid w:val="42C338EA"/>
    <w:rsid w:val="43E01D76"/>
    <w:rsid w:val="444D1AB6"/>
    <w:rsid w:val="44B466CF"/>
    <w:rsid w:val="451E44C4"/>
    <w:rsid w:val="45A15DB1"/>
    <w:rsid w:val="469C186F"/>
    <w:rsid w:val="46B47802"/>
    <w:rsid w:val="47346D0B"/>
    <w:rsid w:val="47471BEA"/>
    <w:rsid w:val="487A5C06"/>
    <w:rsid w:val="494756AA"/>
    <w:rsid w:val="49A46A46"/>
    <w:rsid w:val="49F02599"/>
    <w:rsid w:val="4A0D1A0E"/>
    <w:rsid w:val="4A8A3DC9"/>
    <w:rsid w:val="4BA54A2B"/>
    <w:rsid w:val="4C0B2D97"/>
    <w:rsid w:val="4D7F70FF"/>
    <w:rsid w:val="4E5D3DCE"/>
    <w:rsid w:val="5029765C"/>
    <w:rsid w:val="504400AE"/>
    <w:rsid w:val="537B4129"/>
    <w:rsid w:val="54DB2536"/>
    <w:rsid w:val="550465CF"/>
    <w:rsid w:val="558754C0"/>
    <w:rsid w:val="55F47D6A"/>
    <w:rsid w:val="57BC7F2B"/>
    <w:rsid w:val="58AD28CA"/>
    <w:rsid w:val="58FC4AA6"/>
    <w:rsid w:val="59085F13"/>
    <w:rsid w:val="5A1E326E"/>
    <w:rsid w:val="5A3564D4"/>
    <w:rsid w:val="5CBE7C95"/>
    <w:rsid w:val="5CC85147"/>
    <w:rsid w:val="5D204050"/>
    <w:rsid w:val="5D7800DD"/>
    <w:rsid w:val="5D891319"/>
    <w:rsid w:val="5DAD6C38"/>
    <w:rsid w:val="5E641628"/>
    <w:rsid w:val="603B26F7"/>
    <w:rsid w:val="61AF644D"/>
    <w:rsid w:val="61FB1275"/>
    <w:rsid w:val="627B79D4"/>
    <w:rsid w:val="648942C9"/>
    <w:rsid w:val="6597490E"/>
    <w:rsid w:val="65FB1EEB"/>
    <w:rsid w:val="66A8405F"/>
    <w:rsid w:val="676B1798"/>
    <w:rsid w:val="6834257A"/>
    <w:rsid w:val="68C763A1"/>
    <w:rsid w:val="68E24BD5"/>
    <w:rsid w:val="693932AF"/>
    <w:rsid w:val="6B0C3BD9"/>
    <w:rsid w:val="6B6D196A"/>
    <w:rsid w:val="6DAD3CD7"/>
    <w:rsid w:val="6E106FC2"/>
    <w:rsid w:val="6E9A6CA0"/>
    <w:rsid w:val="6F615312"/>
    <w:rsid w:val="70583F6D"/>
    <w:rsid w:val="70705974"/>
    <w:rsid w:val="70A13E40"/>
    <w:rsid w:val="71335E4B"/>
    <w:rsid w:val="72BC3870"/>
    <w:rsid w:val="73017281"/>
    <w:rsid w:val="74152088"/>
    <w:rsid w:val="74393F18"/>
    <w:rsid w:val="74C6463A"/>
    <w:rsid w:val="74F5743E"/>
    <w:rsid w:val="756066C7"/>
    <w:rsid w:val="759343C8"/>
    <w:rsid w:val="772008FE"/>
    <w:rsid w:val="773403FB"/>
    <w:rsid w:val="77BE2878"/>
    <w:rsid w:val="78D777DE"/>
    <w:rsid w:val="79720290"/>
    <w:rsid w:val="7A0A670E"/>
    <w:rsid w:val="7AB72542"/>
    <w:rsid w:val="7CCC6E87"/>
    <w:rsid w:val="7CE33604"/>
    <w:rsid w:val="7CFD7511"/>
    <w:rsid w:val="7EFB3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CE9C3D-14B6-418D-AB19-6B71C48A3FF0}">
  <ds:schemaRefs/>
</ds:datastoreItem>
</file>

<file path=docProps/app.xml><?xml version="1.0" encoding="utf-8"?>
<Properties xmlns="http://schemas.openxmlformats.org/officeDocument/2006/extended-properties" xmlns:vt="http://schemas.openxmlformats.org/officeDocument/2006/docPropsVTypes">
  <Template>Normal</Template>
  <Pages>33</Pages>
  <Words>3047</Words>
  <Characters>17373</Characters>
  <Lines>144</Lines>
  <Paragraphs>40</Paragraphs>
  <TotalTime>18</TotalTime>
  <ScaleCrop>false</ScaleCrop>
  <LinksUpToDate>false</LinksUpToDate>
  <CharactersWithSpaces>20380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2019-01-11T02:02:00Z</dcterms:created>
  <dc:creator>lenovo</dc:creator>
  <cp:lastModifiedBy>lenovo</cp:lastModifiedBy>
  <cp:lastPrinted>2019-01-28T04:47:00Z</cp:lastPrinted>
  <dcterms:modified xsi:type="dcterms:W3CDTF">2021-07-09T02:01:48Z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