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jc w:val="center"/>
        <w:rPr>
          <w:rFonts w:ascii="方正小标宋简体" w:eastAsia="方正小标宋简体"/>
          <w:sz w:val="44"/>
          <w:szCs w:val="44"/>
        </w:rPr>
      </w:pPr>
    </w:p>
    <w:p>
      <w:pPr>
        <w:spacing w:beforeLines="150" w:line="650" w:lineRule="exact"/>
        <w:jc w:val="center"/>
        <w:rPr>
          <w:rFonts w:ascii="方正小标宋简体" w:eastAsia="方正小标宋简体"/>
          <w:sz w:val="44"/>
          <w:szCs w:val="44"/>
        </w:rPr>
      </w:pPr>
      <w:r>
        <w:rPr>
          <w:rFonts w:hint="eastAsia" w:ascii="方正小标宋简体" w:eastAsia="方正小标宋简体"/>
          <w:sz w:val="44"/>
          <w:szCs w:val="44"/>
        </w:rPr>
        <w:t>山西省永乐宫壁画保护研究院</w:t>
      </w:r>
    </w:p>
    <w:p>
      <w:pPr>
        <w:spacing w:line="650" w:lineRule="exact"/>
        <w:jc w:val="center"/>
        <w:rPr>
          <w:rFonts w:ascii="方正小标宋简体" w:eastAsia="方正小标宋简体"/>
          <w:sz w:val="44"/>
          <w:szCs w:val="44"/>
        </w:rPr>
      </w:pPr>
      <w:r>
        <w:rPr>
          <w:rFonts w:hint="eastAsia" w:ascii="方正小标宋简体" w:eastAsia="方正小标宋简体"/>
          <w:sz w:val="44"/>
          <w:szCs w:val="44"/>
        </w:rPr>
        <w:t>2019年度部门决算</w:t>
      </w:r>
    </w:p>
    <w:p>
      <w:pPr>
        <w:spacing w:line="560" w:lineRule="exact"/>
        <w:rPr>
          <w:rFonts w:ascii="仿宋_GB2312" w:eastAsia="仿宋_GB2312"/>
          <w:sz w:val="32"/>
          <w:szCs w:val="32"/>
        </w:rPr>
      </w:pPr>
    </w:p>
    <w:p>
      <w:pPr>
        <w:ind w:firstLine="640"/>
        <w:jc w:val="center"/>
        <w:rPr>
          <w:rFonts w:ascii="黑体" w:hAnsi="黑体" w:eastAsia="黑体" w:cs="黑体"/>
          <w:sz w:val="36"/>
          <w:szCs w:val="36"/>
        </w:rPr>
      </w:pPr>
      <w:r>
        <w:rPr>
          <w:rFonts w:hint="eastAsia" w:ascii="黑体" w:hAnsi="黑体" w:eastAsia="黑体" w:cs="黑体"/>
          <w:sz w:val="36"/>
          <w:szCs w:val="36"/>
        </w:rPr>
        <w:t>第一部分 概况</w:t>
      </w:r>
    </w:p>
    <w:p>
      <w:pPr>
        <w:spacing w:beforeLines="100"/>
        <w:ind w:firstLine="640" w:firstLineChars="200"/>
        <w:rPr>
          <w:rFonts w:ascii="黑体" w:hAnsi="黑体" w:eastAsia="黑体" w:cs="黑体"/>
          <w:bCs/>
          <w:sz w:val="32"/>
          <w:szCs w:val="32"/>
        </w:rPr>
      </w:pPr>
      <w:r>
        <w:rPr>
          <w:rFonts w:hint="eastAsia" w:ascii="黑体" w:hAnsi="黑体" w:eastAsia="黑体" w:cs="黑体"/>
          <w:bCs/>
          <w:sz w:val="32"/>
          <w:szCs w:val="32"/>
        </w:rPr>
        <w:t>一、部门主要职责</w:t>
      </w:r>
    </w:p>
    <w:p>
      <w:pPr>
        <w:pStyle w:val="4"/>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sz w:val="32"/>
          <w:szCs w:val="32"/>
        </w:rPr>
        <w:t>单位具体职责：</w:t>
      </w:r>
      <w:r>
        <w:rPr>
          <w:rFonts w:hint="eastAsia" w:ascii="仿宋" w:hAnsi="仿宋" w:eastAsia="仿宋" w:cs="仿宋"/>
          <w:color w:val="000000"/>
          <w:sz w:val="32"/>
          <w:szCs w:val="32"/>
        </w:rPr>
        <w:t>贯彻执行党和国家文物保护方针、政策和法律、法规；负责永乐宫壁画的日常监测、保护、研究和管理工作；负责永乐宫文物建筑群的保护、研究和管理工作；负责开展壁画临摹教育基地建设和文物、艺术品陈列展览及对外学术交流合作；完成文物行政主管部门交办的其它事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二、机构设置情况</w:t>
      </w:r>
    </w:p>
    <w:p>
      <w:pPr>
        <w:pStyle w:val="4"/>
        <w:spacing w:before="0" w:beforeAutospacing="0" w:after="0" w:afterAutospacing="0"/>
        <w:ind w:firstLine="480" w:firstLineChars="150"/>
        <w:rPr>
          <w:rFonts w:ascii="仿宋" w:hAnsi="仿宋" w:eastAsia="仿宋" w:cs="仿宋"/>
          <w:sz w:val="32"/>
          <w:szCs w:val="32"/>
        </w:rPr>
      </w:pPr>
      <w:r>
        <w:rPr>
          <w:rFonts w:hint="eastAsia" w:ascii="仿宋" w:hAnsi="仿宋" w:eastAsia="仿宋" w:cs="仿宋"/>
          <w:sz w:val="32"/>
          <w:szCs w:val="32"/>
        </w:rPr>
        <w:t>在编人数37，其中：22人为全额编制、15人为自收自支人员，离退休人员24人。内设科室7个，即</w:t>
      </w:r>
      <w:r>
        <w:rPr>
          <w:rFonts w:hint="eastAsia" w:ascii="仿宋" w:hAnsi="仿宋" w:eastAsia="仿宋" w:cs="仿宋"/>
          <w:color w:val="000000"/>
          <w:sz w:val="32"/>
          <w:szCs w:val="32"/>
        </w:rPr>
        <w:t>办公室、壁画文物保护研究室、工程园林科、安全保卫科、陈列展览部、公众服务部、文化旅游发展部。</w:t>
      </w:r>
    </w:p>
    <w:p>
      <w:pPr>
        <w:spacing w:beforeLines="100"/>
        <w:ind w:firstLine="641"/>
        <w:jc w:val="center"/>
        <w:rPr>
          <w:rFonts w:ascii="仿宋_GB2312" w:eastAsia="仿宋_GB2312"/>
          <w:b/>
          <w:sz w:val="32"/>
          <w:szCs w:val="32"/>
        </w:rPr>
      </w:pPr>
      <w:r>
        <w:rPr>
          <w:rFonts w:hint="eastAsia" w:ascii="黑体" w:hAnsi="黑体" w:eastAsia="黑体" w:cs="黑体"/>
          <w:bCs/>
          <w:sz w:val="36"/>
          <w:szCs w:val="36"/>
        </w:rPr>
        <w:t>第二部分  2019年度部门决算报表</w:t>
      </w:r>
    </w:p>
    <w:p>
      <w:pPr>
        <w:spacing w:beforeLines="100"/>
        <w:ind w:firstLine="640" w:firstLineChars="200"/>
        <w:jc w:val="left"/>
        <w:rPr>
          <w:rFonts w:ascii="仿宋_GB2312" w:eastAsia="仿宋_GB2312"/>
          <w:sz w:val="32"/>
          <w:szCs w:val="32"/>
        </w:rPr>
      </w:pPr>
      <w:r>
        <w:rPr>
          <w:rFonts w:hint="eastAsia" w:ascii="仿宋_GB2312" w:eastAsia="仿宋_GB2312"/>
          <w:sz w:val="32"/>
          <w:szCs w:val="32"/>
        </w:rPr>
        <w:t>一、收入支出决算总表</w:t>
      </w:r>
    </w:p>
    <w:p>
      <w:pPr>
        <w:ind w:firstLine="640" w:firstLineChars="200"/>
        <w:jc w:val="left"/>
        <w:rPr>
          <w:rFonts w:ascii="仿宋_GB2312" w:eastAsia="仿宋_GB2312"/>
          <w:sz w:val="32"/>
          <w:szCs w:val="32"/>
        </w:rPr>
      </w:pPr>
      <w:r>
        <w:rPr>
          <w:rFonts w:hint="eastAsia" w:ascii="仿宋_GB2312" w:eastAsia="仿宋_GB2312"/>
          <w:sz w:val="32"/>
          <w:szCs w:val="32"/>
        </w:rPr>
        <w:t>二、收入决算表</w:t>
      </w:r>
    </w:p>
    <w:p>
      <w:pPr>
        <w:ind w:firstLine="640" w:firstLineChars="200"/>
        <w:jc w:val="left"/>
        <w:rPr>
          <w:rFonts w:ascii="仿宋_GB2312" w:eastAsia="仿宋_GB2312"/>
          <w:sz w:val="32"/>
          <w:szCs w:val="32"/>
        </w:rPr>
      </w:pPr>
      <w:r>
        <w:rPr>
          <w:rFonts w:hint="eastAsia" w:ascii="仿宋_GB2312" w:eastAsia="仿宋_GB2312"/>
          <w:sz w:val="32"/>
          <w:szCs w:val="32"/>
        </w:rPr>
        <w:t>三、支出决算表</w:t>
      </w:r>
    </w:p>
    <w:p>
      <w:pPr>
        <w:ind w:firstLine="640" w:firstLineChars="200"/>
        <w:jc w:val="left"/>
        <w:rPr>
          <w:rFonts w:ascii="仿宋_GB2312" w:eastAsia="仿宋_GB2312"/>
          <w:sz w:val="32"/>
          <w:szCs w:val="32"/>
        </w:rPr>
      </w:pPr>
      <w:r>
        <w:rPr>
          <w:rFonts w:hint="eastAsia" w:ascii="仿宋_GB2312" w:eastAsia="仿宋_GB2312"/>
          <w:sz w:val="32"/>
          <w:szCs w:val="32"/>
        </w:rPr>
        <w:t>四、财政拨款收入支出决算总表</w:t>
      </w:r>
    </w:p>
    <w:p>
      <w:pPr>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五、一般公共预算财政拨款支出决算表（一）</w:t>
      </w:r>
    </w:p>
    <w:p>
      <w:pPr>
        <w:ind w:firstLine="640" w:firstLineChars="200"/>
        <w:rPr>
          <w:rFonts w:ascii="仿宋_GB2312" w:eastAsia="仿宋_GB2312"/>
          <w:sz w:val="32"/>
          <w:szCs w:val="32"/>
        </w:rPr>
      </w:pPr>
      <w:r>
        <w:rPr>
          <w:rFonts w:hint="eastAsia" w:ascii="仿宋_GB2312" w:eastAsia="仿宋_GB2312"/>
          <w:sz w:val="32"/>
          <w:szCs w:val="32"/>
        </w:rPr>
        <w:t>六、一般公共预算财政拨款支出决算表（二）</w:t>
      </w:r>
    </w:p>
    <w:p>
      <w:pPr>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ind w:firstLine="640" w:firstLineChars="200"/>
        <w:rPr>
          <w:rFonts w:ascii="仿宋_GB2312" w:eastAsia="仿宋_GB2312"/>
          <w:sz w:val="32"/>
          <w:szCs w:val="32"/>
        </w:rPr>
      </w:pPr>
      <w:r>
        <w:rPr>
          <w:rFonts w:hint="eastAsia" w:ascii="仿宋_GB2312" w:eastAsia="仿宋_GB2312"/>
          <w:sz w:val="32"/>
          <w:szCs w:val="32"/>
        </w:rPr>
        <w:t>八、政府性基金预算财政拨款收入支出决算表</w:t>
      </w:r>
    </w:p>
    <w:p>
      <w:pPr>
        <w:ind w:firstLine="640" w:firstLineChars="200"/>
        <w:rPr>
          <w:rFonts w:ascii="仿宋_GB2312" w:eastAsia="仿宋_GB2312"/>
          <w:sz w:val="32"/>
          <w:szCs w:val="32"/>
        </w:rPr>
      </w:pPr>
      <w:r>
        <w:rPr>
          <w:rFonts w:hint="eastAsia" w:ascii="仿宋_GB2312" w:eastAsia="仿宋_GB2312"/>
          <w:sz w:val="32"/>
          <w:szCs w:val="32"/>
        </w:rPr>
        <w:t>九、部门决算公开相关信息统计表</w:t>
      </w:r>
    </w:p>
    <w:p>
      <w:pPr>
        <w:spacing w:beforeLines="100" w:afterLines="100"/>
        <w:ind w:firstLine="641"/>
        <w:jc w:val="center"/>
        <w:rPr>
          <w:rFonts w:ascii="仿宋_GB2312" w:eastAsia="仿宋_GB2312"/>
          <w:b/>
          <w:sz w:val="32"/>
          <w:szCs w:val="32"/>
        </w:rPr>
      </w:pPr>
      <w:r>
        <w:rPr>
          <w:rFonts w:hint="eastAsia" w:ascii="黑体" w:hAnsi="黑体" w:eastAsia="黑体" w:cs="黑体"/>
          <w:bCs/>
          <w:sz w:val="36"/>
          <w:szCs w:val="36"/>
        </w:rPr>
        <w:t>第三部分  2019年度部门决算情况说明</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一、收入支出决算总体情况说明</w:t>
      </w:r>
    </w:p>
    <w:p>
      <w:pPr>
        <w:ind w:firstLine="640" w:firstLineChars="200"/>
        <w:rPr>
          <w:rFonts w:ascii="仿宋" w:hAnsi="仿宋" w:eastAsia="仿宋" w:cs="仿宋"/>
          <w:sz w:val="32"/>
          <w:szCs w:val="32"/>
        </w:rPr>
      </w:pPr>
      <w:r>
        <w:rPr>
          <w:rFonts w:hint="eastAsia" w:ascii="仿宋" w:hAnsi="仿宋" w:eastAsia="仿宋" w:cs="仿宋"/>
          <w:sz w:val="32"/>
          <w:szCs w:val="32"/>
        </w:rPr>
        <w:t>2019年度收入总计1586.28万元、支出总计1303.09万元。与2018年相比，收入总计增加554.9万元，增长54%，支出总计增加575.39万元，增长74%。主要原因是永乐宫壁画保护工作受到各级领导的高度重视，启动了永乐宫壁画保护工程，完成了永乐宫保护资料整理工作，实施了消防通道提升改造工程、吕公祠维修、智能安全综合防护体系建设、安检设备升级改造、文物库房及陈列展室改造、安防消防服务、专业文保人员劳务等文物保护项目。</w:t>
      </w:r>
    </w:p>
    <w:p>
      <w:pPr>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二、收入决算情况说明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本年收入合计1586.28万元，其中：财政拨款收入294.76万元，占比19%；上级补助收入323.24万元，占比20%；事业收入0万元；经营收入0万元；附属单位上缴收入0万元；其他收入968.28万元，占比61%。</w:t>
      </w:r>
    </w:p>
    <w:p>
      <w:pPr>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三、支出决算情况说明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本年支出合计1303.09万元，其中：基本支出528.81万元，占比41%；项目支出774.29万元，占比59%，上缴上级支出0万元，经营支出0万元,对附属单位补助支出0万元。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财政拨款收入总计294.76万元、支出总计205.57万元。与2018年相比，财政拨款收入总计减少7.64万元，下降2%，财政拨款支出总计减少116.16万元，下降36%。主要原因是：收入略微下降受实施文物保护工程项目的影响，收费收入稍有下幅；支出下降的因素是我单位通过政府购买服务的方式实施安防消防服务、专业人员劳务派遣，减少了临时人员支出，并压缩了公用支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（一）财政拨款支出决算总体情况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2019年度财政拨款支出205.57万元，占本年支出合计的16%。与2018年相比，财政拨款支出减少116.16万元，下降36%。主要原因是临时人员的减少。其中，人员经费202.27万元，占比98%，日常公用经费3.29万元，占比2%。</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（二）财政拨款支出决算结构情况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2019年度财政拨款支出205.57万元，主要用于文化旅游体育与传媒（类）支出205.57万元，占比100%。</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（三）财政拨款支出决算具体情况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一般公共服务支出年初预算196.96万元，支出决算205.57万元，完成年初预算的100%，用于人员经费及社会福利支出。较2018年决算增减少116.16万元，下降36%，主要原因是财政拨款全部用于人员支出，人员经费不足部分从上级补助收入中列支。</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财政拨款基本支出205.57万元，其中：人员经费202.27万元，主要包括人员工资性支出193.97万元、机关事业养老保险缴费3.54万元、职业年金缴费4.76万元、；公用经费3.29万元，主要包括公务接待0.93万元、公务用车运行维护2.36万元。</w:t>
      </w:r>
    </w:p>
    <w:p>
      <w:pPr>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三公”经费财政拨款支出决算为3.29万元，完成预算的27%，比上年增加0.39万元，增长13%，原因是：永乐宫壁画保护工作受到学术界的关注，6次来我院进行业务指导，。其中：因公出国（境）费支出决算0万元，公务用车购置及运行费支出决算2.36万元，占比72%，比上年减少0.51万元，下降18%；公务接待费支出决算0.93万元，占比28%，比上年增加0.22万元，增长30%。具体情况如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公经费变化的原因是永乐宫的壁画保护工作得到各级政府领导关注，在学术界有着广泛的影响，专家学者多次来永乐宫开展文物保护工作，公务接待8次，计150人次。在这种情况下，我院还是本着厉行节约的精神，既要搞好扶贫工作又要确保文物保护工作顺利开展，进一步压缩三公经费，公车运行费比2018年减少支出0.51万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八、其他重要事项情况说明</w:t>
      </w:r>
    </w:p>
    <w:p>
      <w:pPr>
        <w:spacing w:line="58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（一）机关运行经费支出情况说明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2019年本部门机关运行经费支出0万元，主要原因是：永乐宫性质属事业单位，没有机关经费预算。</w:t>
      </w:r>
    </w:p>
    <w:p>
      <w:pPr>
        <w:spacing w:line="58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（二）政府采购情况说明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2019年度，政府采购支出总额609.73万元，其中：政府采购货物支出102.21万元、政府采购工程支出475.84万元、政府采购服务支出31.68万元。</w:t>
      </w:r>
    </w:p>
    <w:p>
      <w:pPr>
        <w:spacing w:line="58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（三）国有资产占用情况说明</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截至2019年12月31日，本部门共有车辆1辆。其中，机要通信用车1辆，主要用于一般公务；单价50万元（含）以上的专用设备3套，其中壁画研究室科研设备1套、低压线路及设备1套、智能监控1套。</w:t>
      </w:r>
    </w:p>
    <w:p>
      <w:pPr>
        <w:spacing w:line="58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（四）预算绩效情况说明</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预算绩效管理工作开展情况。根据预算绩效管理要求， 2019年度市级财政预算安排的事业发展类项目、专项转移支付类项目和300万元以上的经费补助类项目应支出全面开展绩效自评，我单位没有市级财政</w:t>
      </w:r>
      <w:r>
        <w:rPr>
          <w:rFonts w:hint="eastAsia" w:ascii="仿宋" w:hAnsi="仿宋" w:eastAsia="仿宋" w:cs="仿宋"/>
          <w:sz w:val="32"/>
          <w:szCs w:val="32"/>
          <w:lang w:eastAsia="zh-CN"/>
        </w:rPr>
        <w:t>安排</w:t>
      </w:r>
      <w:bookmarkStart w:id="0" w:name="_GoBack"/>
      <w:bookmarkEnd w:id="0"/>
      <w:r>
        <w:rPr>
          <w:rFonts w:hint="eastAsia" w:ascii="仿宋" w:hAnsi="仿宋" w:eastAsia="仿宋" w:cs="仿宋"/>
          <w:sz w:val="32"/>
          <w:szCs w:val="32"/>
        </w:rPr>
        <w:t>的事业发展类项目和300万元以上的经费类项目。</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部门决算中项目绩效自评结果。我单位没有此项内容。</w:t>
      </w:r>
    </w:p>
    <w:p>
      <w:pPr>
        <w:spacing w:line="58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（五）其他需要说明的事项</w:t>
      </w:r>
    </w:p>
    <w:p>
      <w:pPr>
        <w:spacing w:beforeLines="100" w:afterLines="100"/>
        <w:ind w:firstLine="641"/>
        <w:jc w:val="center"/>
        <w:rPr>
          <w:rFonts w:ascii="黑体" w:hAnsi="黑体" w:eastAsia="黑体" w:cs="黑体"/>
          <w:bCs/>
          <w:sz w:val="36"/>
          <w:szCs w:val="36"/>
        </w:rPr>
      </w:pPr>
      <w:r>
        <w:rPr>
          <w:rFonts w:hint="eastAsia" w:ascii="黑体" w:hAnsi="黑体" w:eastAsia="黑体" w:cs="黑体"/>
          <w:bCs/>
          <w:sz w:val="36"/>
          <w:szCs w:val="36"/>
        </w:rPr>
        <w:t>第四部分  名词解释</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部门应当按照部门预算管理要求，对本部门涉及的专业名词进行解释。（以下模板仅供参考，以单位实际为准）</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财政拨款收入：指单位从同级财政部门取得的财政预</w:t>
      </w:r>
    </w:p>
    <w:p>
      <w:pPr>
        <w:spacing w:line="580" w:lineRule="exact"/>
        <w:rPr>
          <w:rFonts w:ascii="仿宋" w:hAnsi="仿宋" w:eastAsia="仿宋" w:cs="仿宋"/>
          <w:sz w:val="32"/>
          <w:szCs w:val="32"/>
        </w:rPr>
      </w:pPr>
      <w:r>
        <w:rPr>
          <w:rFonts w:hint="eastAsia" w:ascii="仿宋" w:hAnsi="仿宋" w:eastAsia="仿宋" w:cs="仿宋"/>
          <w:sz w:val="32"/>
          <w:szCs w:val="32"/>
        </w:rPr>
        <w:t>算资金。</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事业收入：指事业单位开展专业业务活动及辅助活动</w:t>
      </w:r>
    </w:p>
    <w:p>
      <w:pPr>
        <w:spacing w:line="580" w:lineRule="exact"/>
        <w:rPr>
          <w:rFonts w:ascii="仿宋" w:hAnsi="仿宋" w:eastAsia="仿宋" w:cs="仿宋"/>
          <w:sz w:val="32"/>
          <w:szCs w:val="32"/>
        </w:rPr>
      </w:pPr>
      <w:r>
        <w:rPr>
          <w:rFonts w:hint="eastAsia" w:ascii="仿宋" w:hAnsi="仿宋" w:eastAsia="仿宋" w:cs="仿宋"/>
          <w:sz w:val="32"/>
          <w:szCs w:val="32"/>
        </w:rPr>
        <w:t>取得的收入。</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经营收入：指事业单位在专业业务活动及其辅助活动</w:t>
      </w:r>
    </w:p>
    <w:p>
      <w:pPr>
        <w:spacing w:line="580" w:lineRule="exact"/>
        <w:rPr>
          <w:rFonts w:ascii="仿宋" w:hAnsi="仿宋" w:eastAsia="仿宋" w:cs="仿宋"/>
          <w:sz w:val="32"/>
          <w:szCs w:val="32"/>
        </w:rPr>
      </w:pPr>
      <w:r>
        <w:rPr>
          <w:rFonts w:hint="eastAsia" w:ascii="仿宋" w:hAnsi="仿宋" w:eastAsia="仿宋" w:cs="仿宋"/>
          <w:sz w:val="32"/>
          <w:szCs w:val="32"/>
        </w:rPr>
        <w:t>之外开展非独立核算经营活动取得的收入。</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其他收入：指单位取得的除上述收入以外的各项收</w:t>
      </w:r>
    </w:p>
    <w:p>
      <w:pPr>
        <w:spacing w:line="580" w:lineRule="exact"/>
        <w:rPr>
          <w:rFonts w:ascii="仿宋" w:hAnsi="仿宋" w:eastAsia="仿宋" w:cs="仿宋"/>
          <w:sz w:val="32"/>
          <w:szCs w:val="32"/>
        </w:rPr>
      </w:pPr>
      <w:r>
        <w:rPr>
          <w:rFonts w:hint="eastAsia" w:ascii="仿宋" w:hAnsi="仿宋" w:eastAsia="仿宋" w:cs="仿宋"/>
          <w:sz w:val="32"/>
          <w:szCs w:val="32"/>
        </w:rPr>
        <w:t>入。主要是按规定动用的售房收入、存款利息收入等。</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年初结转和结余：指单位以前年度尚未完成、结转到</w:t>
      </w:r>
    </w:p>
    <w:p>
      <w:pPr>
        <w:spacing w:line="580" w:lineRule="exact"/>
        <w:rPr>
          <w:rFonts w:ascii="仿宋" w:hAnsi="仿宋" w:eastAsia="仿宋" w:cs="仿宋"/>
          <w:sz w:val="32"/>
          <w:szCs w:val="32"/>
        </w:rPr>
      </w:pPr>
      <w:r>
        <w:rPr>
          <w:rFonts w:hint="eastAsia" w:ascii="仿宋" w:hAnsi="仿宋" w:eastAsia="仿宋" w:cs="仿宋"/>
          <w:sz w:val="32"/>
          <w:szCs w:val="32"/>
        </w:rPr>
        <w:t>本年按有关规定继续使用的资金。</w:t>
      </w:r>
    </w:p>
    <w:p>
      <w:pPr>
        <w:numPr>
          <w:ilvl w:val="0"/>
          <w:numId w:val="2"/>
        </w:numPr>
        <w:spacing w:line="580" w:lineRule="exact"/>
        <w:rPr>
          <w:rFonts w:ascii="仿宋" w:hAnsi="仿宋" w:eastAsia="仿宋" w:cs="仿宋"/>
          <w:sz w:val="32"/>
          <w:szCs w:val="32"/>
        </w:rPr>
      </w:pPr>
      <w:r>
        <w:rPr>
          <w:rFonts w:hint="eastAsia" w:ascii="仿宋" w:hAnsi="仿宋" w:eastAsia="仿宋" w:cs="仿宋"/>
          <w:sz w:val="32"/>
          <w:szCs w:val="32"/>
        </w:rPr>
        <w:t>基本支出：指为保障机构正常运转、完成日常工作任</w:t>
      </w:r>
    </w:p>
    <w:p>
      <w:pPr>
        <w:spacing w:line="580" w:lineRule="exact"/>
        <w:rPr>
          <w:rFonts w:ascii="仿宋" w:hAnsi="仿宋" w:eastAsia="仿宋" w:cs="仿宋"/>
          <w:sz w:val="32"/>
          <w:szCs w:val="32"/>
        </w:rPr>
      </w:pPr>
      <w:r>
        <w:rPr>
          <w:rFonts w:hint="eastAsia" w:ascii="仿宋" w:hAnsi="仿宋" w:eastAsia="仿宋" w:cs="仿宋"/>
          <w:sz w:val="32"/>
          <w:szCs w:val="32"/>
        </w:rPr>
        <w:t>务而发生的人员支出和公用支出。</w:t>
      </w:r>
    </w:p>
    <w:p>
      <w:pPr>
        <w:autoSpaceDE w:val="0"/>
        <w:autoSpaceDN w:val="0"/>
        <w:adjustRightInd w:val="0"/>
        <w:ind w:firstLine="627" w:firstLineChars="196"/>
        <w:rPr>
          <w:rFonts w:ascii="仿宋" w:hAnsi="仿宋" w:eastAsia="仿宋" w:cs="仿宋"/>
          <w:sz w:val="32"/>
          <w:szCs w:val="32"/>
        </w:rPr>
      </w:pPr>
      <w:r>
        <w:rPr>
          <w:rFonts w:hint="eastAsia" w:ascii="仿宋" w:hAnsi="仿宋" w:eastAsia="仿宋" w:cs="仿宋"/>
          <w:sz w:val="32"/>
          <w:szCs w:val="32"/>
        </w:rPr>
        <w:t>七、项目支出：指在基本支出之外为完成特定行政任务和事业发展目标所发生的支出。</w:t>
      </w:r>
    </w:p>
    <w:p>
      <w:pPr>
        <w:autoSpaceDE w:val="0"/>
        <w:autoSpaceDN w:val="0"/>
        <w:adjustRightInd w:val="0"/>
        <w:ind w:firstLine="627" w:firstLineChars="196"/>
        <w:rPr>
          <w:rFonts w:ascii="仿宋" w:hAnsi="仿宋" w:eastAsia="仿宋" w:cs="仿宋"/>
          <w:sz w:val="32"/>
          <w:szCs w:val="32"/>
        </w:rPr>
      </w:pPr>
      <w:r>
        <w:rPr>
          <w:rFonts w:hint="eastAsia" w:ascii="仿宋" w:hAnsi="仿宋" w:eastAsia="仿宋" w:cs="仿宋"/>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ascii="仿宋_GB2312" w:eastAsia="仿宋_GB2312"/>
          <w:sz w:val="32"/>
          <w:szCs w:val="32"/>
        </w:rPr>
      </w:pPr>
      <w:r>
        <w:rPr>
          <w:rFonts w:hint="eastAsia" w:ascii="仿宋" w:hAnsi="仿宋" w:eastAsia="仿宋" w:cs="仿宋"/>
          <w:sz w:val="32"/>
          <w:szCs w:val="32"/>
        </w:rPr>
        <w:t>九、机关运行经费：指行政单位和参照公务员法管理的事业单位使用一般公共预算安排的基本支出中的日常公用经费支出</w:t>
      </w:r>
      <w:r>
        <w:rPr>
          <w:rFonts w:hint="eastAsia" w:ascii="仿宋_GB2312" w:eastAsia="仿宋_GB2312"/>
          <w:sz w:val="32"/>
          <w:szCs w:val="32"/>
        </w:rPr>
        <w:t>。</w:t>
      </w:r>
    </w:p>
    <w:p>
      <w:pPr>
        <w:spacing w:line="560" w:lineRule="exact"/>
        <w:ind w:firstLine="480" w:firstLineChars="150"/>
        <w:rPr>
          <w:rFonts w:ascii="仿宋_GB2312" w:eastAsia="仿宋_GB2312"/>
          <w:sz w:val="32"/>
          <w:szCs w:val="32"/>
        </w:rPr>
      </w:pPr>
    </w:p>
    <w:p>
      <w:pPr>
        <w:spacing w:line="560" w:lineRule="exact"/>
        <w:ind w:firstLine="480" w:firstLineChars="150"/>
        <w:rPr>
          <w:rFonts w:ascii="仿宋_GB2312" w:eastAsia="仿宋_GB2312"/>
          <w:sz w:val="32"/>
          <w:szCs w:val="32"/>
        </w:rPr>
      </w:pPr>
    </w:p>
    <w:p>
      <w:pPr>
        <w:spacing w:line="560" w:lineRule="exact"/>
        <w:ind w:firstLine="4000" w:firstLineChars="1250"/>
        <w:rPr>
          <w:rFonts w:ascii="仿宋" w:hAnsi="仿宋" w:eastAsia="仿宋" w:cs="仿宋"/>
          <w:sz w:val="32"/>
          <w:szCs w:val="32"/>
        </w:rPr>
      </w:pPr>
      <w:r>
        <w:rPr>
          <w:rFonts w:hint="eastAsia" w:ascii="仿宋" w:hAnsi="仿宋" w:eastAsia="仿宋" w:cs="仿宋"/>
          <w:sz w:val="32"/>
          <w:szCs w:val="32"/>
        </w:rPr>
        <w:t>山西省永乐宫壁画保护研究院</w:t>
      </w:r>
    </w:p>
    <w:p>
      <w:pPr>
        <w:ind w:firstLine="4800" w:firstLineChars="1500"/>
        <w:rPr>
          <w:rFonts w:ascii="仿宋" w:hAnsi="仿宋" w:eastAsia="仿宋" w:cs="仿宋"/>
          <w:sz w:val="32"/>
          <w:szCs w:val="32"/>
        </w:rPr>
      </w:pPr>
      <w:r>
        <w:rPr>
          <w:rFonts w:hint="eastAsia" w:ascii="仿宋" w:hAnsi="仿宋" w:eastAsia="仿宋" w:cs="仿宋"/>
          <w:sz w:val="32"/>
          <w:szCs w:val="32"/>
        </w:rPr>
        <w:t>2020年9月18日</w:t>
      </w:r>
    </w:p>
    <w:sectPr>
      <w:footerReference r:id="rId3" w:type="default"/>
      <w:footerReference r:id="rId4" w:type="even"/>
      <w:pgSz w:w="11906" w:h="16838"/>
      <w:pgMar w:top="1871" w:right="1587" w:bottom="1871"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- 5 -</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1">
    <w:nsid w:val="5F277B26"/>
    <w:multiLevelType w:val="singleLevel"/>
    <w:tmpl w:val="5F277B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7CAD"/>
    <w:rsid w:val="0003364A"/>
    <w:rsid w:val="00087176"/>
    <w:rsid w:val="00363503"/>
    <w:rsid w:val="0037489C"/>
    <w:rsid w:val="003D1428"/>
    <w:rsid w:val="004C51D0"/>
    <w:rsid w:val="00554D1E"/>
    <w:rsid w:val="0060403F"/>
    <w:rsid w:val="00673E10"/>
    <w:rsid w:val="00733283"/>
    <w:rsid w:val="007B77F7"/>
    <w:rsid w:val="007E2AAD"/>
    <w:rsid w:val="009214D4"/>
    <w:rsid w:val="009C2D22"/>
    <w:rsid w:val="00AA363D"/>
    <w:rsid w:val="00AD4232"/>
    <w:rsid w:val="00B1772A"/>
    <w:rsid w:val="00BD2287"/>
    <w:rsid w:val="00BD7CAD"/>
    <w:rsid w:val="00C072CD"/>
    <w:rsid w:val="00CB3859"/>
    <w:rsid w:val="00CD1415"/>
    <w:rsid w:val="00D66131"/>
    <w:rsid w:val="00E73E53"/>
    <w:rsid w:val="00EA517F"/>
    <w:rsid w:val="00F102BF"/>
    <w:rsid w:val="00F2225A"/>
    <w:rsid w:val="00FA141B"/>
    <w:rsid w:val="02716984"/>
    <w:rsid w:val="07852B55"/>
    <w:rsid w:val="080E4CA5"/>
    <w:rsid w:val="08924F6D"/>
    <w:rsid w:val="14AA3189"/>
    <w:rsid w:val="16B564A5"/>
    <w:rsid w:val="189A0598"/>
    <w:rsid w:val="20F51CE1"/>
    <w:rsid w:val="22B320A4"/>
    <w:rsid w:val="22C5191A"/>
    <w:rsid w:val="249D3229"/>
    <w:rsid w:val="2DE40C45"/>
    <w:rsid w:val="31565149"/>
    <w:rsid w:val="32C86299"/>
    <w:rsid w:val="46B52DAE"/>
    <w:rsid w:val="46EB0776"/>
    <w:rsid w:val="5F603BAC"/>
    <w:rsid w:val="66866B10"/>
    <w:rsid w:val="70565C18"/>
    <w:rsid w:val="767D4539"/>
    <w:rsid w:val="7FDB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F00B3-A9B9-4430-BAC6-160E68DF0E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464</Words>
  <Characters>2645</Characters>
  <Lines>22</Lines>
  <Paragraphs>6</Paragraphs>
  <TotalTime>223</TotalTime>
  <ScaleCrop>false</ScaleCrop>
  <LinksUpToDate>false</LinksUpToDate>
  <CharactersWithSpaces>3103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2020-09-17T12:33:00Z</dcterms:created>
  <dc:creator>DELL</dc:creator>
  <cp:lastModifiedBy>余智宏</cp:lastModifiedBy>
  <cp:lastPrinted>2020-09-18T02:40:00Z</cp:lastPrinted>
  <dcterms:modified xsi:type="dcterms:W3CDTF">2021-06-29T13:47:30Z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C974BF7C98164EB8A82B24889448781B</vt:lpwstr>
  </property>
</Properties>
</file>