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223" w:type="dxa"/>
        <w:tblInd w:w="-514" w:type="dxa"/>
        <w:tblLayout w:type="fixed"/>
        <w:tblCellMar>
          <w:top w:w="0" w:type="dxa"/>
          <w:left w:w="108" w:type="dxa"/>
          <w:bottom w:w="0" w:type="dxa"/>
          <w:right w:w="108" w:type="dxa"/>
        </w:tblCellMar>
      </w:tblPr>
      <w:tblGrid>
        <w:gridCol w:w="335"/>
        <w:gridCol w:w="425"/>
        <w:gridCol w:w="288"/>
        <w:gridCol w:w="10631"/>
        <w:gridCol w:w="425"/>
        <w:gridCol w:w="425"/>
        <w:gridCol w:w="709"/>
        <w:gridCol w:w="425"/>
        <w:gridCol w:w="426"/>
        <w:gridCol w:w="425"/>
        <w:gridCol w:w="425"/>
        <w:gridCol w:w="87"/>
        <w:gridCol w:w="197"/>
      </w:tblGrid>
      <w:tr>
        <w:tblPrEx>
          <w:tblLayout w:type="fixed"/>
          <w:tblCellMar>
            <w:top w:w="0" w:type="dxa"/>
            <w:left w:w="108" w:type="dxa"/>
            <w:bottom w:w="0" w:type="dxa"/>
            <w:right w:w="108" w:type="dxa"/>
          </w:tblCellMar>
        </w:tblPrEx>
        <w:trPr>
          <w:gridAfter w:val="1"/>
          <w:wAfter w:w="197" w:type="dxa"/>
          <w:trHeight w:val="450" w:hRule="atLeast"/>
        </w:trPr>
        <w:tc>
          <w:tcPr>
            <w:tcW w:w="15026" w:type="dxa"/>
            <w:gridSpan w:val="12"/>
            <w:tcBorders>
              <w:top w:val="nil"/>
              <w:left w:val="nil"/>
              <w:bottom w:val="nil"/>
              <w:right w:val="nil"/>
            </w:tcBorders>
            <w:vAlign w:val="center"/>
          </w:tcPr>
          <w:p>
            <w:pPr>
              <w:widowControl/>
              <w:jc w:val="center"/>
              <w:rPr>
                <w:rFonts w:ascii="宋体" w:hAnsi="宋体" w:cs="宋体"/>
                <w:kern w:val="0"/>
                <w:sz w:val="36"/>
                <w:szCs w:val="36"/>
              </w:rPr>
            </w:pPr>
            <w:r>
              <w:rPr>
                <w:rFonts w:hint="eastAsia" w:ascii="宋体" w:hAnsi="宋体" w:cs="宋体"/>
                <w:kern w:val="0"/>
                <w:sz w:val="36"/>
                <w:szCs w:val="36"/>
              </w:rPr>
              <w:t>行政权力事项分表</w:t>
            </w:r>
          </w:p>
        </w:tc>
      </w:tr>
      <w:tr>
        <w:tblPrEx>
          <w:tblLayout w:type="fixed"/>
          <w:tblCellMar>
            <w:top w:w="0" w:type="dxa"/>
            <w:left w:w="108" w:type="dxa"/>
            <w:bottom w:w="0" w:type="dxa"/>
            <w:right w:w="108" w:type="dxa"/>
          </w:tblCellMar>
        </w:tblPrEx>
        <w:trPr>
          <w:gridAfter w:val="1"/>
          <w:wAfter w:w="197" w:type="dxa"/>
          <w:trHeight w:val="405" w:hRule="atLeast"/>
        </w:trPr>
        <w:tc>
          <w:tcPr>
            <w:tcW w:w="15026" w:type="dxa"/>
            <w:gridSpan w:val="12"/>
            <w:tcBorders>
              <w:top w:val="nil"/>
              <w:left w:val="nil"/>
              <w:right w:val="nil"/>
            </w:tcBorders>
            <w:vAlign w:val="center"/>
          </w:tcPr>
          <w:p>
            <w:pPr>
              <w:widowControl/>
              <w:jc w:val="center"/>
              <w:rPr>
                <w:rFonts w:ascii="宋体" w:hAnsi="宋体" w:cs="宋体"/>
                <w:kern w:val="0"/>
                <w:sz w:val="32"/>
                <w:szCs w:val="32"/>
              </w:rPr>
            </w:pPr>
            <w:r>
              <w:rPr>
                <w:rFonts w:hint="eastAsia" w:ascii="宋体" w:hAnsi="宋体" w:cs="宋体"/>
                <w:kern w:val="0"/>
                <w:sz w:val="32"/>
                <w:szCs w:val="32"/>
              </w:rPr>
              <w:t>其他行政权力类</w:t>
            </w:r>
          </w:p>
        </w:tc>
      </w:tr>
      <w:tr>
        <w:tblPrEx>
          <w:tblLayout w:type="fixed"/>
          <w:tblCellMar>
            <w:top w:w="0" w:type="dxa"/>
            <w:left w:w="108" w:type="dxa"/>
            <w:bottom w:w="0" w:type="dxa"/>
            <w:right w:w="108" w:type="dxa"/>
          </w:tblCellMar>
        </w:tblPrEx>
        <w:trPr>
          <w:trHeight w:val="1434" w:hRule="atLeast"/>
        </w:trPr>
        <w:tc>
          <w:tcPr>
            <w:tcW w:w="3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序</w:t>
            </w:r>
            <w:r>
              <w:rPr>
                <w:rFonts w:hint="eastAsia" w:ascii="宋体" w:hAnsi="宋体" w:cs="宋体"/>
                <w:kern w:val="0"/>
                <w:sz w:val="18"/>
                <w:szCs w:val="18"/>
              </w:rPr>
              <w:br w:type="textWrapping"/>
            </w:r>
            <w:r>
              <w:rPr>
                <w:rFonts w:hint="eastAsia" w:ascii="宋体" w:hAnsi="宋体" w:cs="宋体"/>
                <w:kern w:val="0"/>
                <w:sz w:val="18"/>
                <w:szCs w:val="18"/>
              </w:rPr>
              <w:t>号</w:t>
            </w:r>
          </w:p>
        </w:tc>
        <w:tc>
          <w:tcPr>
            <w:tcW w:w="4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权力</w:t>
            </w:r>
            <w:r>
              <w:rPr>
                <w:rFonts w:hint="eastAsia" w:ascii="宋体" w:hAnsi="宋体" w:cs="宋体"/>
                <w:kern w:val="0"/>
                <w:sz w:val="18"/>
                <w:szCs w:val="18"/>
              </w:rPr>
              <w:br w:type="textWrapping"/>
            </w:r>
            <w:r>
              <w:rPr>
                <w:rFonts w:hint="eastAsia" w:ascii="宋体" w:hAnsi="宋体" w:cs="宋体"/>
                <w:kern w:val="0"/>
                <w:sz w:val="18"/>
                <w:szCs w:val="18"/>
              </w:rPr>
              <w:t>名称</w:t>
            </w:r>
          </w:p>
        </w:tc>
        <w:tc>
          <w:tcPr>
            <w:tcW w:w="28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子项</w:t>
            </w:r>
          </w:p>
        </w:tc>
        <w:tc>
          <w:tcPr>
            <w:tcW w:w="1063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      施      依      据</w:t>
            </w:r>
          </w:p>
        </w:tc>
        <w:tc>
          <w:tcPr>
            <w:tcW w:w="4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实施对象</w:t>
            </w:r>
          </w:p>
        </w:tc>
        <w:tc>
          <w:tcPr>
            <w:tcW w:w="4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承办机构</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收费（征收）依据和标准</w:t>
            </w:r>
          </w:p>
        </w:tc>
        <w:tc>
          <w:tcPr>
            <w:tcW w:w="4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前置条件</w:t>
            </w:r>
          </w:p>
        </w:tc>
        <w:tc>
          <w:tcPr>
            <w:tcW w:w="42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行使情况</w:t>
            </w:r>
          </w:p>
        </w:tc>
        <w:tc>
          <w:tcPr>
            <w:tcW w:w="4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行使层级</w:t>
            </w:r>
          </w:p>
        </w:tc>
        <w:tc>
          <w:tcPr>
            <w:tcW w:w="42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部门意见及理由</w:t>
            </w:r>
          </w:p>
        </w:tc>
        <w:tc>
          <w:tcPr>
            <w:tcW w:w="28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备</w:t>
            </w:r>
            <w:r>
              <w:rPr>
                <w:rFonts w:hint="eastAsia" w:ascii="宋体" w:hAnsi="宋体" w:cs="宋体"/>
                <w:kern w:val="0"/>
                <w:sz w:val="18"/>
                <w:szCs w:val="18"/>
              </w:rPr>
              <w:br w:type="textWrapping"/>
            </w:r>
            <w:r>
              <w:rPr>
                <w:rFonts w:hint="eastAsia" w:ascii="宋体" w:hAnsi="宋体" w:cs="宋体"/>
                <w:kern w:val="0"/>
                <w:sz w:val="18"/>
                <w:szCs w:val="18"/>
              </w:rPr>
              <w:t>注</w:t>
            </w:r>
          </w:p>
        </w:tc>
      </w:tr>
      <w:tr>
        <w:tblPrEx>
          <w:tblLayout w:type="fixed"/>
          <w:tblCellMar>
            <w:top w:w="0" w:type="dxa"/>
            <w:left w:w="108" w:type="dxa"/>
            <w:bottom w:w="0" w:type="dxa"/>
            <w:right w:w="108" w:type="dxa"/>
          </w:tblCellMar>
        </w:tblPrEx>
        <w:trPr>
          <w:trHeight w:val="5664" w:hRule="atLeast"/>
        </w:trPr>
        <w:tc>
          <w:tcPr>
            <w:tcW w:w="33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1</w:t>
            </w:r>
          </w:p>
        </w:tc>
        <w:tc>
          <w:tcPr>
            <w:tcW w:w="42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审计监督权</w:t>
            </w:r>
          </w:p>
        </w:tc>
        <w:tc>
          <w:tcPr>
            <w:tcW w:w="288" w:type="dxa"/>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 w:val="16"/>
                <w:szCs w:val="16"/>
              </w:rPr>
            </w:pPr>
            <w:r>
              <w:rPr>
                <w:rFonts w:hint="eastAsia" w:ascii="宋体" w:hAnsi="宋体" w:cs="宋体"/>
                <w:kern w:val="0"/>
                <w:sz w:val="16"/>
                <w:szCs w:val="16"/>
              </w:rPr>
              <w:t>　</w:t>
            </w:r>
          </w:p>
        </w:tc>
        <w:tc>
          <w:tcPr>
            <w:tcW w:w="10631" w:type="dxa"/>
            <w:tcBorders>
              <w:top w:val="nil"/>
              <w:left w:val="nil"/>
              <w:bottom w:val="single" w:color="auto" w:sz="4" w:space="0"/>
              <w:right w:val="single" w:color="auto" w:sz="4" w:space="0"/>
            </w:tcBorders>
          </w:tcPr>
          <w:p>
            <w:pPr>
              <w:widowControl/>
              <w:spacing w:line="240" w:lineRule="exact"/>
              <w:ind w:firstLine="240" w:firstLineChars="150"/>
              <w:jc w:val="left"/>
              <w:rPr>
                <w:rFonts w:ascii="宋体" w:hAnsi="宋体" w:cs="宋体"/>
                <w:kern w:val="0"/>
                <w:sz w:val="16"/>
                <w:szCs w:val="16"/>
              </w:rPr>
            </w:pPr>
            <w:r>
              <w:rPr>
                <w:rFonts w:hint="eastAsia" w:ascii="宋体" w:hAnsi="宋体" w:cs="宋体"/>
                <w:kern w:val="0"/>
                <w:sz w:val="16"/>
                <w:szCs w:val="16"/>
              </w:rPr>
              <w:t>【法律】《中华人民共和国审计法》　第十六条　审计机关对本级各部门（含直属单位）和下级政府预算的执行情况和决算以及其他财政收支情况，进行审计监督。</w:t>
            </w:r>
            <w:r>
              <w:rPr>
                <w:rFonts w:hint="eastAsia" w:ascii="宋体" w:hAnsi="宋体" w:cs="宋体"/>
                <w:kern w:val="0"/>
                <w:sz w:val="16"/>
                <w:szCs w:val="16"/>
              </w:rPr>
              <w:br w:type="textWrapping"/>
            </w:r>
            <w:r>
              <w:rPr>
                <w:rFonts w:hint="eastAsia" w:ascii="宋体" w:hAnsi="宋体" w:cs="宋体"/>
                <w:kern w:val="0"/>
                <w:sz w:val="16"/>
                <w:szCs w:val="16"/>
              </w:rPr>
              <w:t>　　第十七条　审计署在国务院总理领导下，对中央预算执行情况和其他财政收支情况进行审计监督，向国务院总理提出审计结果报告。</w:t>
            </w:r>
            <w:r>
              <w:rPr>
                <w:rFonts w:hint="eastAsia" w:ascii="宋体" w:hAnsi="宋体" w:cs="宋体"/>
                <w:kern w:val="0"/>
                <w:sz w:val="16"/>
                <w:szCs w:val="16"/>
              </w:rPr>
              <w:br w:type="textWrapping"/>
            </w:r>
            <w:r>
              <w:rPr>
                <w:rFonts w:hint="eastAsia" w:ascii="宋体" w:hAnsi="宋体" w:cs="宋体"/>
                <w:kern w:val="0"/>
                <w:sz w:val="16"/>
                <w:szCs w:val="16"/>
              </w:rPr>
              <w:t>　　地方各级审计机关分别在省长、自治区主席、市长、州长、县长、区长和上一级审计机关的领导下，对本级预算执行情况和其他财政收支情况进行审计监督，向本级人民政府和上一级审计机关提出审计结果报告。</w:t>
            </w:r>
            <w:r>
              <w:rPr>
                <w:rFonts w:hint="eastAsia" w:ascii="宋体" w:hAnsi="宋体" w:cs="宋体"/>
                <w:kern w:val="0"/>
                <w:sz w:val="16"/>
                <w:szCs w:val="16"/>
              </w:rPr>
              <w:br w:type="textWrapping"/>
            </w:r>
            <w:r>
              <w:rPr>
                <w:rFonts w:hint="eastAsia" w:ascii="宋体" w:hAnsi="宋体" w:cs="宋体"/>
                <w:kern w:val="0"/>
                <w:sz w:val="16"/>
                <w:szCs w:val="16"/>
              </w:rPr>
              <w:t>　　第十八条　审计署对中央银行的财务收支，进行审计监督。</w:t>
            </w:r>
            <w:r>
              <w:rPr>
                <w:rFonts w:hint="eastAsia" w:ascii="宋体" w:hAnsi="宋体" w:cs="宋体"/>
                <w:kern w:val="0"/>
                <w:sz w:val="16"/>
                <w:szCs w:val="16"/>
              </w:rPr>
              <w:br w:type="textWrapping"/>
            </w:r>
            <w:r>
              <w:rPr>
                <w:rFonts w:hint="eastAsia" w:ascii="宋体" w:hAnsi="宋体" w:cs="宋体"/>
                <w:kern w:val="0"/>
                <w:sz w:val="16"/>
                <w:szCs w:val="16"/>
              </w:rPr>
              <w:t>　　审计机关对国有金融机构的资产、负债、损益，进行审计监督。</w:t>
            </w:r>
            <w:r>
              <w:rPr>
                <w:rFonts w:hint="eastAsia" w:ascii="宋体" w:hAnsi="宋体" w:cs="宋体"/>
                <w:kern w:val="0"/>
                <w:sz w:val="16"/>
                <w:szCs w:val="16"/>
              </w:rPr>
              <w:br w:type="textWrapping"/>
            </w:r>
            <w:r>
              <w:rPr>
                <w:rFonts w:hint="eastAsia" w:ascii="宋体" w:hAnsi="宋体" w:cs="宋体"/>
                <w:kern w:val="0"/>
                <w:sz w:val="16"/>
                <w:szCs w:val="16"/>
              </w:rPr>
              <w:t>　　第十九条　审计机关对国家的事业组织和使用财政资金的其他事业组织的财务收支，进行审计监督。</w:t>
            </w:r>
            <w:r>
              <w:rPr>
                <w:rFonts w:hint="eastAsia" w:ascii="宋体" w:hAnsi="宋体" w:cs="宋体"/>
                <w:kern w:val="0"/>
                <w:sz w:val="16"/>
                <w:szCs w:val="16"/>
              </w:rPr>
              <w:br w:type="textWrapping"/>
            </w:r>
            <w:r>
              <w:rPr>
                <w:rFonts w:hint="eastAsia" w:ascii="宋体" w:hAnsi="宋体" w:cs="宋体"/>
                <w:kern w:val="0"/>
                <w:sz w:val="16"/>
                <w:szCs w:val="16"/>
              </w:rPr>
              <w:t>　　第二十条　审计机关对国有企业的资产、负债、损益，进行审计监督。</w:t>
            </w:r>
            <w:r>
              <w:rPr>
                <w:rFonts w:hint="eastAsia" w:ascii="宋体" w:hAnsi="宋体" w:cs="宋体"/>
                <w:kern w:val="0"/>
                <w:sz w:val="16"/>
                <w:szCs w:val="16"/>
              </w:rPr>
              <w:br w:type="textWrapping"/>
            </w:r>
            <w:r>
              <w:rPr>
                <w:rFonts w:hint="eastAsia" w:ascii="宋体" w:hAnsi="宋体" w:cs="宋体"/>
                <w:kern w:val="0"/>
                <w:sz w:val="16"/>
                <w:szCs w:val="16"/>
              </w:rPr>
              <w:t>　　第二十一条　对国有资本占控股地位或者主导地位的企业、金融机构的审计监督，由国务院规定。</w:t>
            </w:r>
            <w:r>
              <w:rPr>
                <w:rFonts w:hint="eastAsia" w:ascii="宋体" w:hAnsi="宋体" w:cs="宋体"/>
                <w:kern w:val="0"/>
                <w:sz w:val="16"/>
                <w:szCs w:val="16"/>
              </w:rPr>
              <w:br w:type="textWrapping"/>
            </w:r>
            <w:r>
              <w:rPr>
                <w:rFonts w:hint="eastAsia" w:ascii="宋体" w:hAnsi="宋体" w:cs="宋体"/>
                <w:kern w:val="0"/>
                <w:sz w:val="16"/>
                <w:szCs w:val="16"/>
              </w:rPr>
              <w:t>　　第二十二条　审计机关对政府投资和以政府投资为主的建设项目的预算执行情况和决算，进行审计监督。</w:t>
            </w:r>
            <w:r>
              <w:rPr>
                <w:rFonts w:hint="eastAsia" w:ascii="宋体" w:hAnsi="宋体" w:cs="宋体"/>
                <w:kern w:val="0"/>
                <w:sz w:val="16"/>
                <w:szCs w:val="16"/>
              </w:rPr>
              <w:br w:type="textWrapping"/>
            </w:r>
            <w:r>
              <w:rPr>
                <w:rFonts w:hint="eastAsia" w:ascii="宋体" w:hAnsi="宋体" w:cs="宋体"/>
                <w:kern w:val="0"/>
                <w:sz w:val="16"/>
                <w:szCs w:val="16"/>
              </w:rPr>
              <w:t>　　第二十三条　审计机关对政府部门管理的和其他单位受政府委托管理的社会保障基金、社会捐赠资金以及其他有关基金、资金的财务收支，进行审计监督。</w:t>
            </w:r>
            <w:r>
              <w:rPr>
                <w:rFonts w:hint="eastAsia" w:ascii="宋体" w:hAnsi="宋体" w:cs="宋体"/>
                <w:kern w:val="0"/>
                <w:sz w:val="16"/>
                <w:szCs w:val="16"/>
              </w:rPr>
              <w:br w:type="textWrapping"/>
            </w:r>
            <w:r>
              <w:rPr>
                <w:rFonts w:hint="eastAsia" w:ascii="宋体" w:hAnsi="宋体" w:cs="宋体"/>
                <w:kern w:val="0"/>
                <w:sz w:val="16"/>
                <w:szCs w:val="16"/>
              </w:rPr>
              <w:t>　　第二十四条　审计机关对国际组织和外国政府援助、贷款项目的财务收支，进行审计监督。</w:t>
            </w:r>
            <w:r>
              <w:rPr>
                <w:rFonts w:hint="eastAsia" w:ascii="宋体" w:hAnsi="宋体" w:cs="宋体"/>
                <w:kern w:val="0"/>
                <w:sz w:val="16"/>
                <w:szCs w:val="16"/>
              </w:rPr>
              <w:br w:type="textWrapping"/>
            </w:r>
            <w:r>
              <w:rPr>
                <w:rFonts w:hint="eastAsia" w:ascii="宋体" w:hAnsi="宋体" w:cs="宋体"/>
                <w:kern w:val="0"/>
                <w:sz w:val="16"/>
                <w:szCs w:val="16"/>
              </w:rPr>
              <w:t>　　第二十五条　审计机关按照国家有关规定，对国家机关和依法属于审计机关审计监督对象的其他单位的主要负责人，在任职期间对本地区、本部门或者本单位的财政收支、财务收支以及有关经济活动应负经济责任的履行情况，进行审计监督。</w:t>
            </w:r>
            <w:r>
              <w:rPr>
                <w:rFonts w:hint="eastAsia" w:ascii="宋体" w:hAnsi="宋体" w:cs="宋体"/>
                <w:kern w:val="0"/>
                <w:sz w:val="16"/>
                <w:szCs w:val="16"/>
              </w:rPr>
              <w:br w:type="textWrapping"/>
            </w:r>
            <w:r>
              <w:rPr>
                <w:rFonts w:hint="eastAsia" w:ascii="宋体" w:hAnsi="宋体" w:cs="宋体"/>
                <w:kern w:val="0"/>
                <w:sz w:val="16"/>
                <w:szCs w:val="16"/>
              </w:rPr>
              <w:t>　　第二十六条：除本法规定的审计事项外，审计机关对其他法律、行政法规规定应当由审计机关进行审计的事项，依照本法和有关法律、行政法规的规定进行审计监督。</w:t>
            </w:r>
            <w:r>
              <w:rPr>
                <w:rFonts w:hint="eastAsia" w:ascii="宋体" w:hAnsi="宋体" w:cs="宋体"/>
                <w:kern w:val="0"/>
                <w:sz w:val="16"/>
                <w:szCs w:val="16"/>
              </w:rPr>
              <w:br w:type="textWrapping"/>
            </w:r>
            <w:r>
              <w:rPr>
                <w:rFonts w:hint="eastAsia" w:ascii="宋体" w:hAnsi="宋体" w:cs="宋体"/>
                <w:kern w:val="0"/>
                <w:sz w:val="16"/>
                <w:szCs w:val="16"/>
              </w:rPr>
              <w:t>　　第二十七条　审计机关有权对与国家财政收支有关的特定事项，向有关地方、部门、单位进行专项审计调查，并向本级人民政府和上一级审计机关报告审计调查结果。</w:t>
            </w:r>
            <w:r>
              <w:rPr>
                <w:rFonts w:hint="eastAsia" w:ascii="宋体" w:hAnsi="宋体" w:cs="宋体"/>
                <w:kern w:val="0"/>
                <w:sz w:val="16"/>
                <w:szCs w:val="16"/>
              </w:rPr>
              <w:br w:type="textWrapping"/>
            </w:r>
            <w:r>
              <w:rPr>
                <w:rFonts w:hint="eastAsia" w:ascii="宋体" w:hAnsi="宋体" w:cs="宋体"/>
                <w:kern w:val="0"/>
                <w:sz w:val="16"/>
                <w:szCs w:val="16"/>
              </w:rPr>
              <w:t>　　第三十二条 :审计机关进行审计时，有权检查被审计单位的会计凭证、会计账簿、财务会计报告和运用电子计算机管理财政收支、财务收支电子数据的系统，以及其他与财政收支、财务收支有关的资料和资产，被审计单位不得拒绝。</w:t>
            </w:r>
            <w:r>
              <w:rPr>
                <w:rFonts w:hint="eastAsia" w:ascii="宋体" w:hAnsi="宋体" w:cs="宋体"/>
                <w:kern w:val="0"/>
                <w:sz w:val="16"/>
                <w:szCs w:val="16"/>
              </w:rPr>
              <w:br w:type="textWrapping"/>
            </w:r>
            <w:r>
              <w:rPr>
                <w:rFonts w:hint="eastAsia" w:ascii="宋体" w:hAnsi="宋体" w:cs="宋体"/>
                <w:kern w:val="0"/>
                <w:sz w:val="16"/>
                <w:szCs w:val="16"/>
              </w:rPr>
              <w:t>　 【行政法规】《中华人民共和国审计法实施条例》第十九条　审计法第二十一条所称国有资本占控股地位或者主导地位的企业、金融机构，包括：</w:t>
            </w:r>
          </w:p>
          <w:p>
            <w:pPr>
              <w:pStyle w:val="6"/>
              <w:widowControl/>
              <w:numPr>
                <w:ilvl w:val="0"/>
                <w:numId w:val="1"/>
              </w:numPr>
              <w:spacing w:line="240" w:lineRule="exact"/>
              <w:ind w:firstLineChars="0"/>
              <w:jc w:val="left"/>
              <w:rPr>
                <w:rFonts w:ascii="宋体" w:hAnsi="宋体" w:cs="宋体"/>
                <w:kern w:val="0"/>
                <w:sz w:val="16"/>
                <w:szCs w:val="16"/>
              </w:rPr>
            </w:pPr>
            <w:r>
              <w:rPr>
                <w:rFonts w:hint="eastAsia" w:ascii="宋体" w:hAnsi="宋体" w:cs="宋体"/>
                <w:kern w:val="0"/>
                <w:sz w:val="16"/>
                <w:szCs w:val="16"/>
              </w:rPr>
              <w:t>国有资本占企业、金融机构资本（股本）总额的比例超过50%的；</w:t>
            </w:r>
          </w:p>
          <w:p>
            <w:pPr>
              <w:widowControl/>
              <w:spacing w:line="240" w:lineRule="exact"/>
              <w:ind w:firstLine="160" w:firstLineChars="100"/>
              <w:jc w:val="left"/>
              <w:rPr>
                <w:rFonts w:ascii="宋体" w:hAnsi="宋体" w:cs="宋体"/>
                <w:kern w:val="0"/>
                <w:sz w:val="16"/>
                <w:szCs w:val="16"/>
              </w:rPr>
            </w:pPr>
            <w:r>
              <w:rPr>
                <w:rFonts w:hint="eastAsia" w:ascii="宋体" w:hAnsi="宋体" w:cs="宋体"/>
                <w:kern w:val="0"/>
                <w:sz w:val="16"/>
                <w:szCs w:val="16"/>
              </w:rPr>
              <w:t>（二）国有资本占企业、金融机构资本（股本）总额的比例在50%以下，但国有资本投资主体拥有实际控制权的。</w:t>
            </w:r>
          </w:p>
        </w:tc>
        <w:tc>
          <w:tcPr>
            <w:tcW w:w="42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机关、事业单位、企业、社会组织或公民</w:t>
            </w:r>
          </w:p>
        </w:tc>
        <w:tc>
          <w:tcPr>
            <w:tcW w:w="42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运城市审计局各科室</w:t>
            </w:r>
          </w:p>
        </w:tc>
        <w:tc>
          <w:tcPr>
            <w:tcW w:w="709"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无</w:t>
            </w:r>
          </w:p>
        </w:tc>
        <w:tc>
          <w:tcPr>
            <w:tcW w:w="42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无</w:t>
            </w:r>
          </w:p>
        </w:tc>
        <w:tc>
          <w:tcPr>
            <w:tcW w:w="42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常用</w:t>
            </w:r>
          </w:p>
        </w:tc>
        <w:tc>
          <w:tcPr>
            <w:tcW w:w="42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市县级共同使用</w:t>
            </w:r>
          </w:p>
        </w:tc>
        <w:tc>
          <w:tcPr>
            <w:tcW w:w="42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保留</w:t>
            </w:r>
          </w:p>
        </w:tc>
        <w:tc>
          <w:tcPr>
            <w:tcW w:w="284" w:type="dxa"/>
            <w:gridSpan w:val="2"/>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 w:val="16"/>
                <w:szCs w:val="16"/>
              </w:rPr>
            </w:pPr>
            <w:r>
              <w:rPr>
                <w:rFonts w:hint="eastAsia" w:ascii="宋体" w:hAnsi="宋体" w:cs="宋体"/>
                <w:kern w:val="0"/>
                <w:sz w:val="16"/>
                <w:szCs w:val="16"/>
              </w:rPr>
              <w:t>　</w:t>
            </w:r>
          </w:p>
        </w:tc>
      </w:tr>
    </w:tbl>
    <w:tbl>
      <w:tblPr>
        <w:tblStyle w:val="5"/>
        <w:tblpPr w:leftFromText="180" w:rightFromText="180" w:vertAnchor="page" w:horzAnchor="margin" w:tblpXSpec="center" w:tblpY="1458"/>
        <w:tblW w:w="14850" w:type="dxa"/>
        <w:tblInd w:w="0" w:type="dxa"/>
        <w:tblLayout w:type="fixed"/>
        <w:tblCellMar>
          <w:top w:w="0" w:type="dxa"/>
          <w:left w:w="108" w:type="dxa"/>
          <w:bottom w:w="0" w:type="dxa"/>
          <w:right w:w="108" w:type="dxa"/>
        </w:tblCellMar>
      </w:tblPr>
      <w:tblGrid>
        <w:gridCol w:w="335"/>
        <w:gridCol w:w="425"/>
        <w:gridCol w:w="288"/>
        <w:gridCol w:w="10064"/>
        <w:gridCol w:w="425"/>
        <w:gridCol w:w="337"/>
        <w:gridCol w:w="708"/>
        <w:gridCol w:w="426"/>
        <w:gridCol w:w="425"/>
        <w:gridCol w:w="425"/>
        <w:gridCol w:w="709"/>
        <w:gridCol w:w="283"/>
      </w:tblGrid>
      <w:tr>
        <w:tblPrEx>
          <w:tblLayout w:type="fixed"/>
          <w:tblCellMar>
            <w:top w:w="0" w:type="dxa"/>
            <w:left w:w="108" w:type="dxa"/>
            <w:bottom w:w="0" w:type="dxa"/>
            <w:right w:w="108" w:type="dxa"/>
          </w:tblCellMar>
        </w:tblPrEx>
        <w:trPr>
          <w:trHeight w:val="450" w:hRule="atLeast"/>
        </w:trPr>
        <w:tc>
          <w:tcPr>
            <w:tcW w:w="14850" w:type="dxa"/>
            <w:gridSpan w:val="12"/>
            <w:tcBorders>
              <w:top w:val="nil"/>
              <w:left w:val="nil"/>
              <w:bottom w:val="nil"/>
              <w:right w:val="nil"/>
            </w:tcBorders>
            <w:vAlign w:val="center"/>
          </w:tcPr>
          <w:p>
            <w:pPr>
              <w:widowControl/>
              <w:jc w:val="center"/>
              <w:rPr>
                <w:rFonts w:ascii="宋体" w:hAnsi="宋体" w:cs="宋体"/>
                <w:kern w:val="0"/>
                <w:sz w:val="36"/>
                <w:szCs w:val="36"/>
              </w:rPr>
            </w:pPr>
            <w:r>
              <w:rPr>
                <w:rFonts w:hint="eastAsia" w:ascii="宋体" w:hAnsi="宋体" w:cs="宋体"/>
                <w:kern w:val="0"/>
                <w:sz w:val="36"/>
                <w:szCs w:val="36"/>
              </w:rPr>
              <w:t>行政权力事项分表</w:t>
            </w:r>
          </w:p>
        </w:tc>
      </w:tr>
      <w:tr>
        <w:tblPrEx>
          <w:tblLayout w:type="fixed"/>
          <w:tblCellMar>
            <w:top w:w="0" w:type="dxa"/>
            <w:left w:w="108" w:type="dxa"/>
            <w:bottom w:w="0" w:type="dxa"/>
            <w:right w:w="108" w:type="dxa"/>
          </w:tblCellMar>
        </w:tblPrEx>
        <w:trPr>
          <w:trHeight w:val="450" w:hRule="atLeast"/>
        </w:trPr>
        <w:tc>
          <w:tcPr>
            <w:tcW w:w="14850" w:type="dxa"/>
            <w:gridSpan w:val="12"/>
            <w:tcBorders>
              <w:top w:val="nil"/>
              <w:left w:val="nil"/>
              <w:bottom w:val="single" w:color="auto" w:sz="4" w:space="0"/>
              <w:right w:val="nil"/>
            </w:tcBorders>
            <w:vAlign w:val="center"/>
          </w:tcPr>
          <w:p>
            <w:pPr>
              <w:widowControl/>
              <w:jc w:val="center"/>
              <w:rPr>
                <w:rFonts w:ascii="宋体" w:hAnsi="宋体" w:cs="宋体"/>
                <w:kern w:val="0"/>
                <w:sz w:val="32"/>
                <w:szCs w:val="32"/>
              </w:rPr>
            </w:pPr>
            <w:r>
              <w:rPr>
                <w:rFonts w:hint="eastAsia" w:ascii="宋体" w:hAnsi="宋体" w:cs="宋体"/>
                <w:kern w:val="0"/>
                <w:sz w:val="32"/>
                <w:szCs w:val="32"/>
              </w:rPr>
              <w:t>其他行政权力类</w:t>
            </w:r>
          </w:p>
        </w:tc>
      </w:tr>
      <w:tr>
        <w:tblPrEx>
          <w:tblLayout w:type="fixed"/>
          <w:tblCellMar>
            <w:top w:w="0" w:type="dxa"/>
            <w:left w:w="108" w:type="dxa"/>
            <w:bottom w:w="0" w:type="dxa"/>
            <w:right w:w="108" w:type="dxa"/>
          </w:tblCellMar>
        </w:tblPrEx>
        <w:trPr>
          <w:trHeight w:val="1434" w:hRule="atLeast"/>
        </w:trPr>
        <w:tc>
          <w:tcPr>
            <w:tcW w:w="33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序</w:t>
            </w:r>
            <w:r>
              <w:rPr>
                <w:rFonts w:hint="eastAsia" w:ascii="宋体" w:hAnsi="宋体" w:cs="宋体"/>
                <w:kern w:val="0"/>
                <w:sz w:val="18"/>
                <w:szCs w:val="18"/>
              </w:rPr>
              <w:br w:type="textWrapping"/>
            </w:r>
            <w:r>
              <w:rPr>
                <w:rFonts w:hint="eastAsia" w:ascii="宋体" w:hAnsi="宋体" w:cs="宋体"/>
                <w:kern w:val="0"/>
                <w:sz w:val="18"/>
                <w:szCs w:val="18"/>
              </w:rPr>
              <w:t>号</w:t>
            </w:r>
          </w:p>
        </w:tc>
        <w:tc>
          <w:tcPr>
            <w:tcW w:w="42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权力</w:t>
            </w:r>
            <w:r>
              <w:rPr>
                <w:rFonts w:hint="eastAsia" w:ascii="宋体" w:hAnsi="宋体" w:cs="宋体"/>
                <w:kern w:val="0"/>
                <w:sz w:val="18"/>
                <w:szCs w:val="18"/>
              </w:rPr>
              <w:br w:type="textWrapping"/>
            </w:r>
            <w:r>
              <w:rPr>
                <w:rFonts w:hint="eastAsia" w:ascii="宋体" w:hAnsi="宋体" w:cs="宋体"/>
                <w:kern w:val="0"/>
                <w:sz w:val="18"/>
                <w:szCs w:val="18"/>
              </w:rPr>
              <w:t>名称</w:t>
            </w:r>
          </w:p>
        </w:tc>
        <w:tc>
          <w:tcPr>
            <w:tcW w:w="28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子项</w:t>
            </w:r>
          </w:p>
        </w:tc>
        <w:tc>
          <w:tcPr>
            <w:tcW w:w="1006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      施      依      据</w:t>
            </w:r>
          </w:p>
        </w:tc>
        <w:tc>
          <w:tcPr>
            <w:tcW w:w="42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实施对象</w:t>
            </w:r>
          </w:p>
        </w:tc>
        <w:tc>
          <w:tcPr>
            <w:tcW w:w="337"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承办机构</w:t>
            </w:r>
          </w:p>
        </w:tc>
        <w:tc>
          <w:tcPr>
            <w:tcW w:w="708"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收费（征收）依据和标准</w:t>
            </w:r>
          </w:p>
        </w:tc>
        <w:tc>
          <w:tcPr>
            <w:tcW w:w="426"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前置条件</w:t>
            </w:r>
          </w:p>
        </w:tc>
        <w:tc>
          <w:tcPr>
            <w:tcW w:w="42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行使情况</w:t>
            </w:r>
          </w:p>
        </w:tc>
        <w:tc>
          <w:tcPr>
            <w:tcW w:w="425"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行使层级</w:t>
            </w:r>
          </w:p>
        </w:tc>
        <w:tc>
          <w:tcPr>
            <w:tcW w:w="70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部门意见及理由</w:t>
            </w:r>
          </w:p>
        </w:tc>
        <w:tc>
          <w:tcPr>
            <w:tcW w:w="283"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备</w:t>
            </w:r>
            <w:r>
              <w:rPr>
                <w:rFonts w:hint="eastAsia" w:ascii="宋体" w:hAnsi="宋体" w:cs="宋体"/>
                <w:kern w:val="0"/>
                <w:sz w:val="18"/>
                <w:szCs w:val="18"/>
              </w:rPr>
              <w:br w:type="textWrapping"/>
            </w:r>
            <w:r>
              <w:rPr>
                <w:rFonts w:hint="eastAsia" w:ascii="宋体" w:hAnsi="宋体" w:cs="宋体"/>
                <w:kern w:val="0"/>
                <w:sz w:val="18"/>
                <w:szCs w:val="18"/>
              </w:rPr>
              <w:t>注</w:t>
            </w:r>
          </w:p>
        </w:tc>
      </w:tr>
      <w:tr>
        <w:tblPrEx>
          <w:tblLayout w:type="fixed"/>
          <w:tblCellMar>
            <w:top w:w="0" w:type="dxa"/>
            <w:left w:w="108" w:type="dxa"/>
            <w:bottom w:w="0" w:type="dxa"/>
            <w:right w:w="108" w:type="dxa"/>
          </w:tblCellMar>
        </w:tblPrEx>
        <w:trPr>
          <w:trHeight w:val="1685" w:hRule="atLeast"/>
        </w:trPr>
        <w:tc>
          <w:tcPr>
            <w:tcW w:w="335" w:type="dxa"/>
            <w:tcBorders>
              <w:top w:val="nil"/>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1</w:t>
            </w:r>
          </w:p>
        </w:tc>
        <w:tc>
          <w:tcPr>
            <w:tcW w:w="42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审计监督权</w:t>
            </w:r>
          </w:p>
        </w:tc>
        <w:tc>
          <w:tcPr>
            <w:tcW w:w="288" w:type="dxa"/>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 w:val="16"/>
                <w:szCs w:val="16"/>
              </w:rPr>
            </w:pPr>
            <w:r>
              <w:rPr>
                <w:rFonts w:hint="eastAsia" w:ascii="宋体" w:hAnsi="宋体" w:cs="宋体"/>
                <w:kern w:val="0"/>
                <w:sz w:val="16"/>
                <w:szCs w:val="16"/>
              </w:rPr>
              <w:t>　</w:t>
            </w:r>
          </w:p>
        </w:tc>
        <w:tc>
          <w:tcPr>
            <w:tcW w:w="10064" w:type="dxa"/>
            <w:tcBorders>
              <w:top w:val="nil"/>
              <w:left w:val="nil"/>
              <w:bottom w:val="single" w:color="auto" w:sz="4" w:space="0"/>
              <w:right w:val="single" w:color="auto" w:sz="4" w:space="0"/>
            </w:tcBorders>
          </w:tcPr>
          <w:p>
            <w:pPr>
              <w:widowControl/>
              <w:spacing w:line="240" w:lineRule="exact"/>
              <w:jc w:val="left"/>
              <w:rPr>
                <w:rFonts w:ascii="宋体" w:hAnsi="宋体" w:cs="宋体"/>
                <w:kern w:val="0"/>
                <w:sz w:val="16"/>
                <w:szCs w:val="16"/>
              </w:rPr>
            </w:pPr>
            <w:r>
              <w:rPr>
                <w:rFonts w:hint="eastAsia" w:ascii="宋体" w:hAnsi="宋体" w:cs="宋体"/>
                <w:kern w:val="0"/>
                <w:sz w:val="16"/>
                <w:szCs w:val="16"/>
              </w:rPr>
              <w:t>　  审计机关对前款规定的企业、金融机构，除国务院另有规定外，比照审计法第十八条第二款、第二十条规定进行审计监督。</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 xml:space="preserve">　　第二十三条：审计机关可以依照审计法和本条例规定的审计程序、方法以及国家其他有关规定，对预算管理或者国有资产管理使用等与国家财政收支有关的特定事项，向有关地方、部门、单位进行专项审计调查。 </w:t>
            </w:r>
          </w:p>
          <w:p>
            <w:pPr>
              <w:widowControl/>
              <w:spacing w:line="240" w:lineRule="exact"/>
              <w:jc w:val="left"/>
              <w:rPr>
                <w:rFonts w:ascii="宋体" w:hAnsi="宋体" w:cs="宋体"/>
                <w:kern w:val="0"/>
                <w:sz w:val="16"/>
                <w:szCs w:val="16"/>
              </w:rPr>
            </w:pPr>
            <w:r>
              <w:rPr>
                <w:rFonts w:hint="eastAsia" w:ascii="宋体" w:hAnsi="宋体" w:cs="宋体"/>
                <w:kern w:val="0"/>
                <w:sz w:val="16"/>
                <w:szCs w:val="16"/>
              </w:rPr>
              <w:t xml:space="preserve">　　【规范性文件】《国务院关于加强审计工作的意见》（国发[2014]48号）（三）推动政策措施贯彻落实。持续组织对国家重大政策措施和宏观调控部署落实情况的跟踪审计，着力监督检查各地区、各部门落实稳增长、促改革、调结构、惠民生、防风险等政策措施的具体部署、执行进度、实际效果等情况，特别是重大项目落地、重点资金保障，以及简政放权推进情况，及时发现和纠正有令不行、有禁不止行为，反映好的做法、经验和新情况、新问题，促进政策落地生根和不断完善。（六）促进改善民生和生态文明建设。加强对土地、矿产等自然资源，以及大气、水、固体废物等污染治理和环境保护情况的审计，探索实行自然资源资产离任审计，深入分析财政投入与项目发展、事业发展等情况，推动惠民和资源、环保政策落实到位。（十一）依法接受审计监督。凡是涉及管理、分配、使用公共资金、国有资产、国有资源的部门、单位和个人，都要自觉接受审计、配合审计，不得设置障碍。有关部门和单位要依法、及时、全面提供审计所需的财务会计、业务和管理等资料，不得制定限制向审计机关提供资料和开放计算机信息系统查询权限的规定，已经制定的应予修订或废止。对获取的资料，审计机关要严格保密。（十二）提供完整准确真实的电子数据。有关部门、金融机构和国有企事业单位应根据审计工作需要，依法向审计机关提供与本单位、本系统履行职责相关的电子数据信息和必要的技术文档；在确保数据信息安全的前提下，协助审计机关开展联网审计。在现场审计阶段，被审计单位要为审计机关进行电子数据分析提供必要的工作环境。（十五）加强整改督促检查。各级政府每年要专题研究国家重大决策部署和有关政策措施落实情况审计，以及本级预算执行和其他财政收支审计查出问题的整改工作，将整改纳入督查督办事项。对审计反映的问题，被审计单位主管部门要及时督促整改。审计机关要建立整改检查跟踪机制，必要时可提请有关部门协助落实整改意见。（十六）严肃整改问责。各地区、各部门要把审计结果及其整改情况作为考核、奖惩的重要依据。对审计发现的重大问题，要依法依纪作出处理，严肃追究有关人员责任。对审计反映的典型性、普遍性、倾向性问题，要及时研究，完善制度规定。对整改不到位的，要与被审计单位主要负责人进行约谈。对整改不力、屡审屡犯的，要严格追责问责。                                             </w:t>
            </w:r>
          </w:p>
          <w:p>
            <w:pPr>
              <w:widowControl/>
              <w:spacing w:line="240" w:lineRule="exact"/>
              <w:ind w:firstLine="320"/>
              <w:jc w:val="left"/>
              <w:rPr>
                <w:rFonts w:hint="eastAsia" w:ascii="宋体" w:hAnsi="宋体" w:cs="微软雅黑"/>
                <w:color w:val="auto"/>
                <w:sz w:val="16"/>
                <w:szCs w:val="16"/>
              </w:rPr>
            </w:pPr>
            <w:r>
              <w:rPr>
                <w:rFonts w:hint="eastAsia" w:ascii="宋体" w:hAnsi="宋体" w:cs="微软雅黑"/>
                <w:color w:val="auto"/>
                <w:sz w:val="16"/>
                <w:szCs w:val="16"/>
              </w:rPr>
              <w:t>【规范性文件】 《党政主要领导干部和国有企事业单位主要领导人员经济责任审计规定》第十七条　地方各级党委和政府主要领导干部经济责任审计的内容包括：（一）贯彻执行党和国家经济方针政策、决策部署情况；（二）本地区经济社会发展规划和政策措施的制定、执行和效果情况；（三）重大经济事项的决策、执行和效果情况；（四）财政财务管理和经济风险防范情况，民生保障和改善情况，生态文明建设项目、资金等管理使用和效益情况，以及在预算管理中执行机构编制管理规定情况；（五）在经济活动中落实有关党风廉政建设责任和遵守廉洁从政规定情况；（六）以往审计发现问题的整改情况；（七）其他需要审计的内容。</w:t>
            </w:r>
          </w:p>
          <w:p>
            <w:pPr>
              <w:widowControl/>
              <w:spacing w:line="240" w:lineRule="exact"/>
              <w:ind w:firstLine="320"/>
              <w:jc w:val="left"/>
              <w:rPr>
                <w:rFonts w:hint="eastAsia" w:ascii="宋体" w:hAnsi="宋体" w:cs="微软雅黑"/>
                <w:color w:val="auto"/>
                <w:sz w:val="16"/>
                <w:szCs w:val="16"/>
              </w:rPr>
            </w:pPr>
          </w:p>
        </w:tc>
        <w:tc>
          <w:tcPr>
            <w:tcW w:w="42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机关、事业单位、企业、社会组织或公民</w:t>
            </w:r>
          </w:p>
        </w:tc>
        <w:tc>
          <w:tcPr>
            <w:tcW w:w="337"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运城市审计局各科室</w:t>
            </w:r>
          </w:p>
        </w:tc>
        <w:tc>
          <w:tcPr>
            <w:tcW w:w="708"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无</w:t>
            </w:r>
          </w:p>
        </w:tc>
        <w:tc>
          <w:tcPr>
            <w:tcW w:w="426"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无</w:t>
            </w:r>
          </w:p>
        </w:tc>
        <w:tc>
          <w:tcPr>
            <w:tcW w:w="42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常用</w:t>
            </w:r>
          </w:p>
        </w:tc>
        <w:tc>
          <w:tcPr>
            <w:tcW w:w="425"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市县级共同使用</w:t>
            </w:r>
          </w:p>
        </w:tc>
        <w:tc>
          <w:tcPr>
            <w:tcW w:w="709" w:type="dxa"/>
            <w:tcBorders>
              <w:top w:val="nil"/>
              <w:left w:val="nil"/>
              <w:bottom w:val="single" w:color="auto" w:sz="4" w:space="0"/>
              <w:right w:val="single" w:color="auto" w:sz="4" w:space="0"/>
            </w:tcBorders>
            <w:vAlign w:val="center"/>
          </w:tcPr>
          <w:p>
            <w:pPr>
              <w:widowControl/>
              <w:spacing w:line="260" w:lineRule="exact"/>
              <w:jc w:val="center"/>
              <w:rPr>
                <w:rFonts w:ascii="宋体" w:hAnsi="宋体" w:cs="宋体"/>
                <w:kern w:val="0"/>
                <w:sz w:val="16"/>
                <w:szCs w:val="16"/>
              </w:rPr>
            </w:pPr>
            <w:r>
              <w:rPr>
                <w:rFonts w:hint="eastAsia" w:ascii="宋体" w:hAnsi="宋体" w:cs="宋体"/>
                <w:kern w:val="0"/>
                <w:sz w:val="16"/>
                <w:szCs w:val="16"/>
              </w:rPr>
              <w:t>保留</w:t>
            </w:r>
          </w:p>
        </w:tc>
        <w:tc>
          <w:tcPr>
            <w:tcW w:w="283" w:type="dxa"/>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 w:val="16"/>
                <w:szCs w:val="16"/>
              </w:rPr>
            </w:pPr>
            <w:r>
              <w:rPr>
                <w:rFonts w:hint="eastAsia" w:ascii="宋体" w:hAnsi="宋体" w:cs="宋体"/>
                <w:kern w:val="0"/>
                <w:sz w:val="16"/>
                <w:szCs w:val="16"/>
              </w:rPr>
              <w:t>　</w:t>
            </w:r>
          </w:p>
        </w:tc>
      </w:tr>
    </w:tbl>
    <w:tbl>
      <w:tblPr>
        <w:tblStyle w:val="5"/>
        <w:tblW w:w="15437" w:type="dxa"/>
        <w:tblInd w:w="-601" w:type="dxa"/>
        <w:tblLayout w:type="fixed"/>
        <w:tblCellMar>
          <w:top w:w="0" w:type="dxa"/>
          <w:left w:w="108" w:type="dxa"/>
          <w:bottom w:w="0" w:type="dxa"/>
          <w:right w:w="108" w:type="dxa"/>
        </w:tblCellMar>
      </w:tblPr>
      <w:tblGrid>
        <w:gridCol w:w="425"/>
        <w:gridCol w:w="993"/>
        <w:gridCol w:w="425"/>
        <w:gridCol w:w="7853"/>
        <w:gridCol w:w="708"/>
        <w:gridCol w:w="709"/>
        <w:gridCol w:w="992"/>
        <w:gridCol w:w="567"/>
        <w:gridCol w:w="709"/>
        <w:gridCol w:w="714"/>
        <w:gridCol w:w="845"/>
        <w:gridCol w:w="497"/>
      </w:tblGrid>
      <w:tr>
        <w:tblPrEx>
          <w:tblLayout w:type="fixed"/>
          <w:tblCellMar>
            <w:top w:w="0" w:type="dxa"/>
            <w:left w:w="108" w:type="dxa"/>
            <w:bottom w:w="0" w:type="dxa"/>
            <w:right w:w="108" w:type="dxa"/>
          </w:tblCellMar>
        </w:tblPrEx>
        <w:trPr>
          <w:trHeight w:val="885" w:hRule="atLeast"/>
        </w:trPr>
        <w:tc>
          <w:tcPr>
            <w:tcW w:w="15437" w:type="dxa"/>
            <w:gridSpan w:val="12"/>
            <w:tcBorders>
              <w:top w:val="nil"/>
              <w:left w:val="nil"/>
              <w:bottom w:val="nil"/>
              <w:right w:val="nil"/>
            </w:tcBorders>
            <w:vAlign w:val="center"/>
          </w:tcPr>
          <w:p>
            <w:pPr>
              <w:widowControl/>
              <w:jc w:val="center"/>
              <w:rPr>
                <w:rFonts w:hint="eastAsia" w:ascii="宋体" w:hAnsi="宋体" w:cs="宋体"/>
                <w:kern w:val="0"/>
                <w:sz w:val="36"/>
                <w:szCs w:val="36"/>
              </w:rPr>
            </w:pPr>
          </w:p>
          <w:p>
            <w:pPr>
              <w:widowControl/>
              <w:jc w:val="center"/>
              <w:rPr>
                <w:rFonts w:ascii="宋体" w:hAnsi="宋体" w:cs="宋体"/>
                <w:kern w:val="0"/>
                <w:sz w:val="36"/>
                <w:szCs w:val="36"/>
              </w:rPr>
            </w:pPr>
            <w:r>
              <w:rPr>
                <w:rFonts w:hint="eastAsia" w:ascii="宋体" w:hAnsi="宋体" w:cs="宋体"/>
                <w:kern w:val="0"/>
                <w:sz w:val="36"/>
                <w:szCs w:val="36"/>
              </w:rPr>
              <w:t>行政权力事项分表</w:t>
            </w:r>
          </w:p>
        </w:tc>
      </w:tr>
      <w:tr>
        <w:tblPrEx>
          <w:tblLayout w:type="fixed"/>
          <w:tblCellMar>
            <w:top w:w="0" w:type="dxa"/>
            <w:left w:w="108" w:type="dxa"/>
            <w:bottom w:w="0" w:type="dxa"/>
            <w:right w:w="108" w:type="dxa"/>
          </w:tblCellMar>
        </w:tblPrEx>
        <w:trPr>
          <w:trHeight w:val="525" w:hRule="atLeast"/>
        </w:trPr>
        <w:tc>
          <w:tcPr>
            <w:tcW w:w="15437" w:type="dxa"/>
            <w:gridSpan w:val="12"/>
            <w:tcBorders>
              <w:top w:val="nil"/>
              <w:left w:val="nil"/>
              <w:bottom w:val="single" w:color="auto" w:sz="4" w:space="0"/>
              <w:right w:val="nil"/>
            </w:tcBorders>
            <w:vAlign w:val="center"/>
          </w:tcPr>
          <w:p>
            <w:pPr>
              <w:widowControl/>
              <w:jc w:val="center"/>
              <w:rPr>
                <w:rFonts w:ascii="宋体" w:hAnsi="宋体" w:cs="宋体"/>
                <w:kern w:val="0"/>
                <w:sz w:val="32"/>
                <w:szCs w:val="32"/>
              </w:rPr>
            </w:pPr>
            <w:r>
              <w:rPr>
                <w:rFonts w:hint="eastAsia" w:ascii="宋体" w:hAnsi="宋体" w:cs="宋体"/>
                <w:kern w:val="0"/>
                <w:sz w:val="32"/>
                <w:szCs w:val="32"/>
              </w:rPr>
              <w:t>其他行政权力类</w:t>
            </w:r>
          </w:p>
        </w:tc>
      </w:tr>
      <w:tr>
        <w:tblPrEx>
          <w:tblLayout w:type="fixed"/>
          <w:tblCellMar>
            <w:top w:w="0" w:type="dxa"/>
            <w:left w:w="108" w:type="dxa"/>
            <w:bottom w:w="0" w:type="dxa"/>
            <w:right w:w="108" w:type="dxa"/>
          </w:tblCellMar>
        </w:tblPrEx>
        <w:trPr>
          <w:trHeight w:val="1465" w:hRule="atLeast"/>
        </w:trPr>
        <w:tc>
          <w:tcPr>
            <w:tcW w:w="4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序</w:t>
            </w:r>
            <w:r>
              <w:rPr>
                <w:rFonts w:hint="eastAsia" w:ascii="宋体" w:hAnsi="宋体" w:cs="宋体"/>
                <w:kern w:val="0"/>
                <w:sz w:val="18"/>
                <w:szCs w:val="18"/>
              </w:rPr>
              <w:br w:type="textWrapping"/>
            </w:r>
            <w:r>
              <w:rPr>
                <w:rFonts w:hint="eastAsia" w:ascii="宋体" w:hAnsi="宋体" w:cs="宋体"/>
                <w:kern w:val="0"/>
                <w:sz w:val="18"/>
                <w:szCs w:val="18"/>
              </w:rPr>
              <w:t>号</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权力</w:t>
            </w:r>
            <w:r>
              <w:rPr>
                <w:rFonts w:hint="eastAsia" w:ascii="宋体" w:hAnsi="宋体" w:cs="宋体"/>
                <w:kern w:val="0"/>
                <w:sz w:val="18"/>
                <w:szCs w:val="18"/>
              </w:rPr>
              <w:br w:type="textWrapping"/>
            </w:r>
            <w:r>
              <w:rPr>
                <w:rFonts w:hint="eastAsia" w:ascii="宋体" w:hAnsi="宋体" w:cs="宋体"/>
                <w:kern w:val="0"/>
                <w:sz w:val="18"/>
                <w:szCs w:val="18"/>
              </w:rPr>
              <w:t>名称</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子项</w:t>
            </w:r>
          </w:p>
        </w:tc>
        <w:tc>
          <w:tcPr>
            <w:tcW w:w="785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      施      依      据</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实施对象</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承办机构</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收费（征收）依据和标准</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前置条件</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行使情况</w:t>
            </w: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行使层级</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部门意见及理由</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备</w:t>
            </w:r>
            <w:r>
              <w:rPr>
                <w:rFonts w:hint="eastAsia" w:ascii="宋体" w:hAnsi="宋体" w:cs="宋体"/>
                <w:kern w:val="0"/>
                <w:sz w:val="18"/>
                <w:szCs w:val="18"/>
              </w:rPr>
              <w:br w:type="textWrapping"/>
            </w:r>
            <w:r>
              <w:rPr>
                <w:rFonts w:hint="eastAsia" w:ascii="宋体" w:hAnsi="宋体" w:cs="宋体"/>
                <w:kern w:val="0"/>
                <w:sz w:val="18"/>
                <w:szCs w:val="18"/>
              </w:rPr>
              <w:t>注</w:t>
            </w:r>
          </w:p>
        </w:tc>
      </w:tr>
      <w:tr>
        <w:tblPrEx>
          <w:tblLayout w:type="fixed"/>
          <w:tblCellMar>
            <w:top w:w="0" w:type="dxa"/>
            <w:left w:w="108" w:type="dxa"/>
            <w:bottom w:w="0" w:type="dxa"/>
            <w:right w:w="108" w:type="dxa"/>
          </w:tblCellMar>
        </w:tblPrEx>
        <w:trPr>
          <w:trHeight w:val="2251" w:hRule="atLeast"/>
        </w:trPr>
        <w:tc>
          <w:tcPr>
            <w:tcW w:w="42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对社会审计机构出具的有关审计报告进行核查</w:t>
            </w:r>
          </w:p>
        </w:tc>
        <w:tc>
          <w:tcPr>
            <w:tcW w:w="425" w:type="dxa"/>
            <w:tcBorders>
              <w:top w:val="nil"/>
              <w:left w:val="nil"/>
              <w:bottom w:val="single" w:color="auto" w:sz="4" w:space="0"/>
              <w:right w:val="single" w:color="auto" w:sz="4" w:space="0"/>
            </w:tcBorders>
            <w:vAlign w:val="center"/>
          </w:tcPr>
          <w:p>
            <w:pPr>
              <w:widowControl/>
              <w:rPr>
                <w:rFonts w:ascii="宋体" w:hAnsi="宋体" w:cs="宋体"/>
                <w:kern w:val="0"/>
                <w:sz w:val="16"/>
                <w:szCs w:val="16"/>
              </w:rPr>
            </w:pPr>
          </w:p>
        </w:tc>
        <w:tc>
          <w:tcPr>
            <w:tcW w:w="7853" w:type="dxa"/>
            <w:tcBorders>
              <w:top w:val="nil"/>
              <w:left w:val="nil"/>
              <w:bottom w:val="single" w:color="auto" w:sz="4" w:space="0"/>
              <w:right w:val="single" w:color="auto" w:sz="4" w:space="0"/>
            </w:tcBorders>
            <w:vAlign w:val="center"/>
          </w:tcPr>
          <w:p>
            <w:pPr>
              <w:widowControl/>
              <w:ind w:firstLine="240" w:firstLineChars="150"/>
              <w:rPr>
                <w:rFonts w:ascii="宋体" w:hAnsi="宋体" w:cs="宋体"/>
                <w:kern w:val="0"/>
                <w:sz w:val="16"/>
                <w:szCs w:val="16"/>
              </w:rPr>
            </w:pPr>
            <w:r>
              <w:rPr>
                <w:rFonts w:hint="eastAsia" w:ascii="宋体" w:hAnsi="宋体" w:cs="宋体"/>
                <w:kern w:val="0"/>
                <w:sz w:val="16"/>
                <w:szCs w:val="16"/>
              </w:rPr>
              <w:t>【法律】《中华人民共和国审计法》第三十条：社会审计机构审计的单位依法属于审计机关审计监督对象的，审计机关按照国务院的规定，有权对该社会审计机构出具的有关审计报告进行核查。</w:t>
            </w:r>
            <w:r>
              <w:rPr>
                <w:rFonts w:hint="eastAsia" w:ascii="宋体" w:hAnsi="宋体" w:cs="宋体"/>
                <w:kern w:val="0"/>
                <w:sz w:val="16"/>
                <w:szCs w:val="16"/>
              </w:rPr>
              <w:br w:type="textWrapping"/>
            </w:r>
            <w:r>
              <w:rPr>
                <w:rFonts w:hint="eastAsia" w:ascii="宋体" w:hAnsi="宋体" w:cs="宋体"/>
                <w:kern w:val="0"/>
                <w:sz w:val="16"/>
                <w:szCs w:val="16"/>
              </w:rPr>
              <w:t xml:space="preserve">   【行政法规】《中华人民共和国审计法实施条例》第二十七条：审计机关进行审计或者专项审计调查时，有权对社会审计机构出具的相关审计报告进行核查。</w:t>
            </w:r>
            <w:r>
              <w:rPr>
                <w:rFonts w:hint="eastAsia" w:ascii="宋体" w:hAnsi="宋体" w:cs="宋体"/>
                <w:kern w:val="0"/>
                <w:sz w:val="16"/>
                <w:szCs w:val="16"/>
              </w:rPr>
              <w:br w:type="textWrapping"/>
            </w:r>
            <w:r>
              <w:rPr>
                <w:rFonts w:hint="eastAsia" w:ascii="宋体" w:hAnsi="宋体" w:cs="宋体"/>
                <w:kern w:val="0"/>
                <w:sz w:val="16"/>
                <w:szCs w:val="16"/>
              </w:rPr>
              <w:t xml:space="preserve">    审计机关核查社会审计机构出具的相关审计报告时，发现社会审计机构存在违反法律、法规或者执业准则等情况的，应当移送有关主管机关依法追究责任。</w:t>
            </w:r>
          </w:p>
        </w:tc>
        <w:tc>
          <w:tcPr>
            <w:tcW w:w="70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社会中介机构</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运城市审计局</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无</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无</w:t>
            </w:r>
          </w:p>
        </w:tc>
        <w:tc>
          <w:tcPr>
            <w:tcW w:w="70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常用</w:t>
            </w:r>
          </w:p>
        </w:tc>
        <w:tc>
          <w:tcPr>
            <w:tcW w:w="71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市县级共同使用</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保留</w:t>
            </w:r>
          </w:p>
        </w:tc>
        <w:tc>
          <w:tcPr>
            <w:tcW w:w="49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2824" w:hRule="atLeast"/>
        </w:trPr>
        <w:tc>
          <w:tcPr>
            <w:tcW w:w="4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6"/>
                <w:szCs w:val="16"/>
              </w:rPr>
            </w:pPr>
            <w:r>
              <w:rPr>
                <w:rFonts w:hint="eastAsia" w:ascii="宋体" w:hAnsi="宋体" w:cs="宋体"/>
                <w:kern w:val="0"/>
                <w:sz w:val="16"/>
                <w:szCs w:val="16"/>
              </w:rPr>
              <w:t>3</w:t>
            </w:r>
          </w:p>
        </w:tc>
        <w:tc>
          <w:tcPr>
            <w:tcW w:w="993" w:type="dxa"/>
            <w:tcBorders>
              <w:top w:val="single" w:color="auto" w:sz="4" w:space="0"/>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对内部审计工作的监督          内部审计工作指导监督</w:t>
            </w:r>
          </w:p>
          <w:p>
            <w:pPr>
              <w:jc w:val="center"/>
              <w:rPr>
                <w:rFonts w:ascii="宋体" w:hAnsi="宋体" w:cs="宋体"/>
                <w:kern w:val="0"/>
                <w:sz w:val="16"/>
                <w:szCs w:val="16"/>
              </w:rPr>
            </w:pPr>
          </w:p>
        </w:tc>
        <w:tc>
          <w:tcPr>
            <w:tcW w:w="42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16"/>
                <w:szCs w:val="16"/>
              </w:rPr>
            </w:pPr>
          </w:p>
        </w:tc>
        <w:tc>
          <w:tcPr>
            <w:tcW w:w="7853" w:type="dxa"/>
            <w:tcBorders>
              <w:top w:val="single" w:color="auto" w:sz="4" w:space="0"/>
              <w:left w:val="nil"/>
              <w:bottom w:val="single" w:color="auto" w:sz="4" w:space="0"/>
              <w:right w:val="single" w:color="auto" w:sz="4" w:space="0"/>
            </w:tcBorders>
            <w:vAlign w:val="center"/>
          </w:tcPr>
          <w:p>
            <w:pPr>
              <w:ind w:firstLine="320" w:firstLineChars="200"/>
              <w:rPr>
                <w:rFonts w:ascii="宋体" w:hAnsi="宋体" w:cs="宋体"/>
                <w:kern w:val="0"/>
                <w:sz w:val="16"/>
                <w:szCs w:val="16"/>
              </w:rPr>
            </w:pPr>
            <w:r>
              <w:rPr>
                <w:rFonts w:hint="eastAsia" w:ascii="宋体" w:hAnsi="宋体" w:cs="宋体"/>
                <w:kern w:val="0"/>
                <w:sz w:val="16"/>
                <w:szCs w:val="16"/>
              </w:rPr>
              <w:t>【法律】《中华人民共和国审计法》第二十九条:依法属于审计机关审计监督对象的单位，应当按照国家有关规定建立健全内部审计制度；其内部审计工作应当接受审计机关的业务指导和监督。</w:t>
            </w:r>
            <w:r>
              <w:rPr>
                <w:rFonts w:hint="eastAsia" w:ascii="宋体" w:hAnsi="宋体" w:cs="宋体"/>
                <w:kern w:val="0"/>
                <w:sz w:val="16"/>
                <w:szCs w:val="16"/>
              </w:rPr>
              <w:br w:type="textWrapping"/>
            </w:r>
            <w:r>
              <w:rPr>
                <w:rFonts w:hint="eastAsia" w:ascii="宋体" w:hAnsi="宋体" w:cs="宋体"/>
                <w:kern w:val="0"/>
                <w:sz w:val="16"/>
                <w:szCs w:val="16"/>
              </w:rPr>
              <w:t xml:space="preserve">   【行政法规】《中华人民共和国审计法实施条例》第二十六条：依法属于审计机关审计监督对象的单位的内部审计工作，应当接受审计机关的业务指导和监督。依法属于审计机关审计监督对象的单位，可以根据内部审计工作的需要，参加依法成立的内部审计自律组织。审计机关可以通过内部审计自律组织，加强对内部审计工作的业务指导和监督。</w:t>
            </w:r>
          </w:p>
          <w:p>
            <w:pPr>
              <w:ind w:firstLine="240" w:firstLineChars="150"/>
              <w:rPr>
                <w:rFonts w:ascii="宋体" w:hAnsi="宋体" w:cs="宋体"/>
                <w:kern w:val="0"/>
                <w:sz w:val="16"/>
                <w:szCs w:val="16"/>
              </w:rPr>
            </w:pP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相关内部审计机构</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运城市审计局各科室</w:t>
            </w:r>
          </w:p>
        </w:tc>
        <w:tc>
          <w:tcPr>
            <w:tcW w:w="992" w:type="dxa"/>
            <w:tcBorders>
              <w:top w:val="single" w:color="auto" w:sz="4" w:space="0"/>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无</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无</w:t>
            </w:r>
          </w:p>
        </w:tc>
        <w:tc>
          <w:tcPr>
            <w:tcW w:w="709" w:type="dxa"/>
            <w:tcBorders>
              <w:top w:val="single" w:color="auto" w:sz="4" w:space="0"/>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常用</w:t>
            </w:r>
          </w:p>
        </w:tc>
        <w:tc>
          <w:tcPr>
            <w:tcW w:w="714" w:type="dxa"/>
            <w:tcBorders>
              <w:top w:val="single" w:color="auto" w:sz="4" w:space="0"/>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市县级共同使用</w:t>
            </w:r>
          </w:p>
        </w:tc>
        <w:tc>
          <w:tcPr>
            <w:tcW w:w="845" w:type="dxa"/>
            <w:tcBorders>
              <w:top w:val="single" w:color="auto" w:sz="4" w:space="0"/>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保留</w:t>
            </w:r>
          </w:p>
        </w:tc>
        <w:tc>
          <w:tcPr>
            <w:tcW w:w="49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6"/>
                <w:szCs w:val="16"/>
              </w:rPr>
            </w:pPr>
          </w:p>
        </w:tc>
      </w:tr>
    </w:tbl>
    <w:p>
      <w:pPr>
        <w:spacing w:line="260" w:lineRule="exact"/>
        <w:rPr>
          <w:rFonts w:ascii="宋体" w:hAnsi="宋体"/>
          <w:sz w:val="16"/>
          <w:szCs w:val="16"/>
        </w:rPr>
      </w:pPr>
    </w:p>
    <w:p>
      <w:pPr>
        <w:spacing w:line="260" w:lineRule="exact"/>
        <w:rPr>
          <w:sz w:val="13"/>
          <w:szCs w:val="13"/>
        </w:rPr>
      </w:pPr>
    </w:p>
    <w:p>
      <w:pPr>
        <w:spacing w:line="260" w:lineRule="exact"/>
        <w:rPr>
          <w:sz w:val="13"/>
          <w:szCs w:val="13"/>
        </w:rPr>
      </w:pPr>
    </w:p>
    <w:p>
      <w:pPr>
        <w:spacing w:line="260" w:lineRule="exact"/>
        <w:rPr>
          <w:sz w:val="13"/>
          <w:szCs w:val="13"/>
        </w:rPr>
      </w:pPr>
    </w:p>
    <w:tbl>
      <w:tblPr>
        <w:tblStyle w:val="5"/>
        <w:tblW w:w="15168" w:type="dxa"/>
        <w:tblInd w:w="-459" w:type="dxa"/>
        <w:tblLayout w:type="fixed"/>
        <w:tblCellMar>
          <w:top w:w="0" w:type="dxa"/>
          <w:left w:w="108" w:type="dxa"/>
          <w:bottom w:w="0" w:type="dxa"/>
          <w:right w:w="108" w:type="dxa"/>
        </w:tblCellMar>
      </w:tblPr>
      <w:tblGrid>
        <w:gridCol w:w="283"/>
        <w:gridCol w:w="142"/>
        <w:gridCol w:w="284"/>
        <w:gridCol w:w="284"/>
        <w:gridCol w:w="567"/>
        <w:gridCol w:w="8930"/>
        <w:gridCol w:w="420"/>
        <w:gridCol w:w="289"/>
        <w:gridCol w:w="311"/>
        <w:gridCol w:w="256"/>
        <w:gridCol w:w="239"/>
        <w:gridCol w:w="611"/>
        <w:gridCol w:w="142"/>
        <w:gridCol w:w="425"/>
        <w:gridCol w:w="142"/>
        <w:gridCol w:w="283"/>
        <w:gridCol w:w="142"/>
        <w:gridCol w:w="284"/>
        <w:gridCol w:w="141"/>
        <w:gridCol w:w="567"/>
        <w:gridCol w:w="56"/>
        <w:gridCol w:w="370"/>
      </w:tblGrid>
      <w:tr>
        <w:tblPrEx>
          <w:tblLayout w:type="fixed"/>
          <w:tblCellMar>
            <w:top w:w="0" w:type="dxa"/>
            <w:left w:w="108" w:type="dxa"/>
            <w:bottom w:w="0" w:type="dxa"/>
            <w:right w:w="108" w:type="dxa"/>
          </w:tblCellMar>
        </w:tblPrEx>
        <w:trPr>
          <w:trHeight w:val="885" w:hRule="atLeast"/>
        </w:trPr>
        <w:tc>
          <w:tcPr>
            <w:tcW w:w="15168" w:type="dxa"/>
            <w:gridSpan w:val="2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宋体" w:hAnsi="宋体" w:cs="宋体"/>
                <w:kern w:val="0"/>
                <w:sz w:val="36"/>
                <w:szCs w:val="36"/>
              </w:rPr>
            </w:pPr>
            <w:r>
              <w:rPr>
                <w:rFonts w:hint="eastAsia" w:ascii="宋体" w:hAnsi="宋体" w:cs="宋体"/>
                <w:kern w:val="0"/>
                <w:sz w:val="36"/>
                <w:szCs w:val="36"/>
              </w:rPr>
              <w:t>行政权力事项分表</w:t>
            </w:r>
          </w:p>
        </w:tc>
      </w:tr>
      <w:tr>
        <w:tblPrEx>
          <w:tblLayout w:type="fixed"/>
          <w:tblCellMar>
            <w:top w:w="0" w:type="dxa"/>
            <w:left w:w="108" w:type="dxa"/>
            <w:bottom w:w="0" w:type="dxa"/>
            <w:right w:w="108" w:type="dxa"/>
          </w:tblCellMar>
        </w:tblPrEx>
        <w:trPr>
          <w:trHeight w:val="525" w:hRule="atLeast"/>
        </w:trPr>
        <w:tc>
          <w:tcPr>
            <w:tcW w:w="15168" w:type="dxa"/>
            <w:gridSpan w:val="22"/>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ascii="宋体" w:hAnsi="宋体" w:cs="宋体"/>
                <w:kern w:val="0"/>
                <w:sz w:val="32"/>
                <w:szCs w:val="32"/>
              </w:rPr>
            </w:pPr>
            <w:r>
              <w:rPr>
                <w:rFonts w:hint="eastAsia" w:ascii="宋体" w:hAnsi="宋体" w:cs="宋体"/>
                <w:kern w:val="0"/>
                <w:sz w:val="32"/>
                <w:szCs w:val="32"/>
              </w:rPr>
              <w:t>其他行政权力类</w:t>
            </w:r>
          </w:p>
        </w:tc>
      </w:tr>
      <w:tr>
        <w:tblPrEx>
          <w:tblLayout w:type="fixed"/>
          <w:tblCellMar>
            <w:top w:w="0" w:type="dxa"/>
            <w:left w:w="108" w:type="dxa"/>
            <w:bottom w:w="0" w:type="dxa"/>
            <w:right w:w="108" w:type="dxa"/>
          </w:tblCellMar>
        </w:tblPrEx>
        <w:trPr>
          <w:trHeight w:val="1465" w:hRule="atLeast"/>
        </w:trPr>
        <w:tc>
          <w:tcPr>
            <w:tcW w:w="28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序</w:t>
            </w:r>
            <w:r>
              <w:rPr>
                <w:rFonts w:hint="eastAsia" w:ascii="宋体" w:hAnsi="宋体" w:cs="宋体"/>
                <w:kern w:val="0"/>
                <w:sz w:val="18"/>
                <w:szCs w:val="18"/>
              </w:rPr>
              <w:br w:type="textWrapping"/>
            </w:r>
            <w:r>
              <w:rPr>
                <w:rFonts w:hint="eastAsia" w:ascii="宋体" w:hAnsi="宋体" w:cs="宋体"/>
                <w:kern w:val="0"/>
                <w:sz w:val="18"/>
                <w:szCs w:val="18"/>
              </w:rPr>
              <w:t>号</w:t>
            </w:r>
          </w:p>
        </w:tc>
        <w:tc>
          <w:tcPr>
            <w:tcW w:w="42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权力</w:t>
            </w:r>
            <w:r>
              <w:rPr>
                <w:rFonts w:hint="eastAsia" w:ascii="宋体" w:hAnsi="宋体" w:cs="宋体"/>
                <w:kern w:val="0"/>
                <w:sz w:val="18"/>
                <w:szCs w:val="18"/>
              </w:rPr>
              <w:br w:type="textWrapping"/>
            </w:r>
            <w:r>
              <w:rPr>
                <w:rFonts w:hint="eastAsia" w:ascii="宋体" w:hAnsi="宋体" w:cs="宋体"/>
                <w:kern w:val="0"/>
                <w:sz w:val="18"/>
                <w:szCs w:val="18"/>
              </w:rPr>
              <w:t>名称</w:t>
            </w:r>
          </w:p>
        </w:tc>
        <w:tc>
          <w:tcPr>
            <w:tcW w:w="2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子项</w:t>
            </w:r>
          </w:p>
        </w:tc>
        <w:tc>
          <w:tcPr>
            <w:tcW w:w="9917"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      施      依      据</w:t>
            </w:r>
          </w:p>
        </w:tc>
        <w:tc>
          <w:tcPr>
            <w:tcW w:w="6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实施对象</w:t>
            </w:r>
          </w:p>
        </w:tc>
        <w:tc>
          <w:tcPr>
            <w:tcW w:w="49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承办机构</w:t>
            </w:r>
          </w:p>
        </w:tc>
        <w:tc>
          <w:tcPr>
            <w:tcW w:w="75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收费（征收）依据和标准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前置条件</w:t>
            </w:r>
          </w:p>
        </w:tc>
        <w:tc>
          <w:tcPr>
            <w:tcW w:w="4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行使情况</w:t>
            </w:r>
          </w:p>
        </w:tc>
        <w:tc>
          <w:tcPr>
            <w:tcW w:w="4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行使层级</w:t>
            </w:r>
          </w:p>
        </w:tc>
        <w:tc>
          <w:tcPr>
            <w:tcW w:w="623"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部门意见及理由</w:t>
            </w:r>
          </w:p>
        </w:tc>
        <w:tc>
          <w:tcPr>
            <w:tcW w:w="37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备</w:t>
            </w:r>
            <w:r>
              <w:rPr>
                <w:rFonts w:hint="eastAsia" w:ascii="宋体" w:hAnsi="宋体" w:cs="宋体"/>
                <w:kern w:val="0"/>
                <w:sz w:val="18"/>
                <w:szCs w:val="18"/>
              </w:rPr>
              <w:br w:type="textWrapping"/>
            </w:r>
            <w:r>
              <w:rPr>
                <w:rFonts w:hint="eastAsia" w:ascii="宋体" w:hAnsi="宋体" w:cs="宋体"/>
                <w:kern w:val="0"/>
                <w:sz w:val="18"/>
                <w:szCs w:val="18"/>
              </w:rPr>
              <w:t>注</w:t>
            </w:r>
          </w:p>
        </w:tc>
      </w:tr>
      <w:tr>
        <w:tblPrEx>
          <w:tblLayout w:type="fixed"/>
          <w:tblCellMar>
            <w:top w:w="0" w:type="dxa"/>
            <w:left w:w="108" w:type="dxa"/>
            <w:bottom w:w="0" w:type="dxa"/>
            <w:right w:w="108" w:type="dxa"/>
          </w:tblCellMar>
        </w:tblPrEx>
        <w:trPr>
          <w:trHeight w:val="77" w:hRule="atLeast"/>
        </w:trPr>
        <w:tc>
          <w:tcPr>
            <w:tcW w:w="28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426"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审计处理权</w:t>
            </w:r>
          </w:p>
          <w:p>
            <w:pPr>
              <w:widowControl/>
              <w:jc w:val="center"/>
              <w:rPr>
                <w:rFonts w:ascii="宋体" w:hAnsi="宋体" w:cs="宋体"/>
                <w:kern w:val="0"/>
                <w:sz w:val="16"/>
                <w:szCs w:val="16"/>
              </w:rPr>
            </w:pPr>
          </w:p>
        </w:tc>
        <w:tc>
          <w:tcPr>
            <w:tcW w:w="284" w:type="dxa"/>
            <w:tcBorders>
              <w:top w:val="nil"/>
              <w:left w:val="nil"/>
              <w:bottom w:val="single" w:color="auto" w:sz="4" w:space="0"/>
              <w:right w:val="single" w:color="auto" w:sz="4" w:space="0"/>
            </w:tcBorders>
            <w:vAlign w:val="center"/>
          </w:tcPr>
          <w:p>
            <w:pPr>
              <w:widowControl/>
              <w:rPr>
                <w:rFonts w:ascii="宋体" w:hAnsi="宋体" w:cs="宋体"/>
                <w:kern w:val="0"/>
                <w:sz w:val="16"/>
                <w:szCs w:val="16"/>
              </w:rPr>
            </w:pPr>
          </w:p>
        </w:tc>
        <w:tc>
          <w:tcPr>
            <w:tcW w:w="9917" w:type="dxa"/>
            <w:gridSpan w:val="3"/>
            <w:tcBorders>
              <w:top w:val="nil"/>
              <w:left w:val="nil"/>
              <w:bottom w:val="single" w:color="auto" w:sz="4" w:space="0"/>
              <w:right w:val="single" w:color="auto" w:sz="4" w:space="0"/>
            </w:tcBorders>
            <w:vAlign w:val="center"/>
          </w:tcPr>
          <w:p>
            <w:pPr>
              <w:widowControl/>
              <w:ind w:firstLine="240" w:firstLineChars="150"/>
              <w:rPr>
                <w:rFonts w:ascii="宋体" w:hAnsi="宋体" w:cs="宋体"/>
                <w:kern w:val="0"/>
                <w:sz w:val="16"/>
                <w:szCs w:val="16"/>
              </w:rPr>
            </w:pPr>
            <w:r>
              <w:rPr>
                <w:rFonts w:hint="eastAsia" w:ascii="宋体" w:hAnsi="宋体" w:cs="宋体"/>
                <w:kern w:val="0"/>
                <w:sz w:val="16"/>
                <w:szCs w:val="16"/>
              </w:rPr>
              <w:t>【法律】《中华人民共和国审计法》第四十五条　对本级各部门（含直属单位）和下级政府违反预算的行为或者其他违反国家规定的财政收支行为，审计机关、人民政府或者有关主管部门在法定职权范围内，依照法律、行政法规的规定，区别情况采取下列处理措施：</w:t>
            </w:r>
            <w:r>
              <w:rPr>
                <w:rFonts w:hint="eastAsia" w:ascii="宋体" w:hAnsi="宋体" w:cs="宋体"/>
                <w:kern w:val="0"/>
                <w:sz w:val="16"/>
                <w:szCs w:val="16"/>
              </w:rPr>
              <w:br w:type="textWrapping"/>
            </w:r>
            <w:r>
              <w:rPr>
                <w:rFonts w:hint="eastAsia" w:ascii="宋体" w:hAnsi="宋体" w:cs="宋体"/>
                <w:kern w:val="0"/>
                <w:sz w:val="16"/>
                <w:szCs w:val="16"/>
              </w:rPr>
              <w:t>　　（一）责令限期缴纳应当上缴的款项；</w:t>
            </w:r>
            <w:r>
              <w:rPr>
                <w:rFonts w:hint="eastAsia" w:ascii="宋体" w:hAnsi="宋体" w:cs="宋体"/>
                <w:kern w:val="0"/>
                <w:sz w:val="16"/>
                <w:szCs w:val="16"/>
              </w:rPr>
              <w:br w:type="textWrapping"/>
            </w:r>
            <w:r>
              <w:rPr>
                <w:rFonts w:hint="eastAsia" w:ascii="宋体" w:hAnsi="宋体" w:cs="宋体"/>
                <w:kern w:val="0"/>
                <w:sz w:val="16"/>
                <w:szCs w:val="16"/>
              </w:rPr>
              <w:t>　　（二）责令限期退还被侵占的国有资产；</w:t>
            </w:r>
            <w:r>
              <w:rPr>
                <w:rFonts w:hint="eastAsia" w:ascii="宋体" w:hAnsi="宋体" w:cs="宋体"/>
                <w:kern w:val="0"/>
                <w:sz w:val="16"/>
                <w:szCs w:val="16"/>
              </w:rPr>
              <w:br w:type="textWrapping"/>
            </w:r>
            <w:r>
              <w:rPr>
                <w:rFonts w:hint="eastAsia" w:ascii="宋体" w:hAnsi="宋体" w:cs="宋体"/>
                <w:kern w:val="0"/>
                <w:sz w:val="16"/>
                <w:szCs w:val="16"/>
              </w:rPr>
              <w:t>　　（三）责令限期退还违法所得；</w:t>
            </w:r>
            <w:r>
              <w:rPr>
                <w:rFonts w:hint="eastAsia" w:ascii="宋体" w:hAnsi="宋体" w:cs="宋体"/>
                <w:kern w:val="0"/>
                <w:sz w:val="16"/>
                <w:szCs w:val="16"/>
              </w:rPr>
              <w:br w:type="textWrapping"/>
            </w:r>
            <w:r>
              <w:rPr>
                <w:rFonts w:hint="eastAsia" w:ascii="宋体" w:hAnsi="宋体" w:cs="宋体"/>
                <w:kern w:val="0"/>
                <w:sz w:val="16"/>
                <w:szCs w:val="16"/>
              </w:rPr>
              <w:t>　　（四）责令按照国家统一的会计制度的有关规定进行处理；</w:t>
            </w:r>
            <w:r>
              <w:rPr>
                <w:rFonts w:hint="eastAsia" w:ascii="宋体" w:hAnsi="宋体" w:cs="宋体"/>
                <w:kern w:val="0"/>
                <w:sz w:val="16"/>
                <w:szCs w:val="16"/>
              </w:rPr>
              <w:br w:type="textWrapping"/>
            </w:r>
            <w:r>
              <w:rPr>
                <w:rFonts w:hint="eastAsia" w:ascii="宋体" w:hAnsi="宋体" w:cs="宋体"/>
                <w:kern w:val="0"/>
                <w:sz w:val="16"/>
                <w:szCs w:val="16"/>
              </w:rPr>
              <w:t>　　（五）其他处理措施。</w:t>
            </w:r>
            <w:r>
              <w:rPr>
                <w:rFonts w:hint="eastAsia" w:ascii="宋体" w:hAnsi="宋体" w:cs="宋体"/>
                <w:kern w:val="0"/>
                <w:sz w:val="16"/>
                <w:szCs w:val="16"/>
              </w:rPr>
              <w:br w:type="textWrapping"/>
            </w:r>
            <w:r>
              <w:rPr>
                <w:rFonts w:hint="eastAsia" w:ascii="宋体" w:hAnsi="宋体" w:cs="宋体"/>
                <w:kern w:val="0"/>
                <w:sz w:val="16"/>
                <w:szCs w:val="16"/>
              </w:rPr>
              <w:t>　　第四十六条　对被审计单位违反国家规定的财务收支行为，审计机关、人民政府或者有关主管部门在法定职权范围内，依照法律、行政法规的规定，区别情况采取前条规定的处理措施，并可以依法给予处罚。</w:t>
            </w:r>
            <w:r>
              <w:rPr>
                <w:rFonts w:hint="eastAsia" w:ascii="宋体" w:hAnsi="宋体" w:cs="宋体"/>
                <w:kern w:val="0"/>
                <w:sz w:val="16"/>
                <w:szCs w:val="16"/>
              </w:rPr>
              <w:br w:type="textWrapping"/>
            </w:r>
            <w:r>
              <w:rPr>
                <w:rFonts w:hint="eastAsia" w:ascii="宋体" w:hAnsi="宋体" w:cs="宋体"/>
                <w:kern w:val="0"/>
                <w:sz w:val="16"/>
                <w:szCs w:val="16"/>
              </w:rPr>
              <w:t>　　第五十条　被审计单位的财政收支、财务收支违反法律、行政法规的规定，构成犯罪的，依法追究刑事责任。</w:t>
            </w:r>
            <w:r>
              <w:rPr>
                <w:rFonts w:hint="eastAsia" w:ascii="宋体" w:hAnsi="宋体" w:cs="宋体"/>
                <w:kern w:val="0"/>
                <w:sz w:val="16"/>
                <w:szCs w:val="16"/>
              </w:rPr>
              <w:br w:type="textWrapping"/>
            </w:r>
            <w:r>
              <w:rPr>
                <w:rFonts w:hint="eastAsia" w:ascii="宋体" w:hAnsi="宋体" w:cs="宋体"/>
                <w:kern w:val="0"/>
                <w:sz w:val="16"/>
                <w:szCs w:val="16"/>
              </w:rPr>
              <w:t xml:space="preserve">    第四十二条：上级审计机关认为下级审计机关作出的审计决定违反国家有关规定的，可以责成下级审计机关予以变更或者撤销，必要时也可以直接作出变更或者撤销的决定。</w:t>
            </w:r>
            <w:r>
              <w:rPr>
                <w:rFonts w:hint="eastAsia" w:ascii="宋体" w:hAnsi="宋体" w:cs="宋体"/>
                <w:kern w:val="0"/>
                <w:sz w:val="16"/>
                <w:szCs w:val="16"/>
              </w:rPr>
              <w:br w:type="textWrapping"/>
            </w:r>
            <w:r>
              <w:rPr>
                <w:rFonts w:hint="eastAsia" w:ascii="宋体" w:hAnsi="宋体" w:cs="宋体"/>
                <w:kern w:val="0"/>
                <w:sz w:val="16"/>
                <w:szCs w:val="16"/>
              </w:rPr>
              <w:t xml:space="preserve">   【行政法规】《中华人民共和国审计法实施条例》第四十条　审计机关有关业务机构和专门机构或者人员对审计组的审计报告以及相关审计事项进行复核、审理后，由审计机关按照下列规定办理：</w:t>
            </w:r>
            <w:r>
              <w:rPr>
                <w:rFonts w:hint="eastAsia" w:ascii="宋体" w:hAnsi="宋体" w:cs="宋体"/>
                <w:kern w:val="0"/>
                <w:sz w:val="16"/>
                <w:szCs w:val="16"/>
              </w:rPr>
              <w:br w:type="textWrapping"/>
            </w:r>
            <w:r>
              <w:rPr>
                <w:rFonts w:hint="eastAsia" w:ascii="宋体" w:hAnsi="宋体" w:cs="宋体"/>
                <w:kern w:val="0"/>
                <w:sz w:val="16"/>
                <w:szCs w:val="16"/>
              </w:rPr>
              <w:t xml:space="preserve">    （一）提出审计机关的审计报告，内容包括：对审计事项的审计评价，对违反国家规定的财政收支、财务收支行为提出的处理、处罚意见，移送有关主管机关、单位的意见，改进财政收支、财务收支管理工作的意见；</w:t>
            </w:r>
            <w:r>
              <w:rPr>
                <w:rFonts w:hint="eastAsia" w:ascii="宋体" w:hAnsi="宋体" w:cs="宋体"/>
                <w:kern w:val="0"/>
                <w:sz w:val="16"/>
                <w:szCs w:val="16"/>
              </w:rPr>
              <w:br w:type="textWrapping"/>
            </w:r>
            <w:r>
              <w:rPr>
                <w:rFonts w:hint="eastAsia" w:ascii="宋体" w:hAnsi="宋体" w:cs="宋体"/>
                <w:kern w:val="0"/>
                <w:sz w:val="16"/>
                <w:szCs w:val="16"/>
              </w:rPr>
              <w:t xml:space="preserve">    （二）对违反国家规定的财政收支、财务收支行为，依法应当给予处理、处罚的，在法定职权范围内作出处理、处罚的审计决定；</w:t>
            </w:r>
          </w:p>
          <w:p>
            <w:pPr>
              <w:widowControl/>
              <w:numPr>
                <w:ilvl w:val="0"/>
                <w:numId w:val="2"/>
              </w:numPr>
              <w:ind w:firstLine="320" w:firstLineChars="200"/>
              <w:rPr>
                <w:rFonts w:hint="eastAsia" w:ascii="宋体" w:hAnsi="宋体" w:cs="宋体"/>
                <w:kern w:val="0"/>
                <w:sz w:val="16"/>
                <w:szCs w:val="16"/>
              </w:rPr>
            </w:pPr>
            <w:r>
              <w:rPr>
                <w:rFonts w:hint="eastAsia" w:ascii="宋体" w:hAnsi="宋体" w:cs="宋体"/>
                <w:kern w:val="0"/>
                <w:sz w:val="16"/>
                <w:szCs w:val="16"/>
              </w:rPr>
              <w:t>对依法应当追究有关人员责任的，向有关主管机关、单位提出给予处分的建议；对依法应当由有关主管机关处理、处罚的，移送有关主管机关；涉嫌犯罪的，移送司法机关</w:t>
            </w:r>
            <w:r>
              <w:rPr>
                <w:rFonts w:hint="eastAsia" w:ascii="宋体" w:hAnsi="宋体" w:cs="微软雅黑"/>
                <w:bCs/>
                <w:color w:val="auto"/>
                <w:sz w:val="16"/>
                <w:szCs w:val="16"/>
                <w:lang w:eastAsia="zh-CN"/>
              </w:rPr>
              <w:t>。</w:t>
            </w:r>
            <w:bookmarkStart w:id="0" w:name="_GoBack"/>
            <w:bookmarkEnd w:id="0"/>
          </w:p>
        </w:tc>
        <w:tc>
          <w:tcPr>
            <w:tcW w:w="600"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机关、事业单位、企业、社会组织或公民</w:t>
            </w:r>
          </w:p>
        </w:tc>
        <w:tc>
          <w:tcPr>
            <w:tcW w:w="495"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运城市审计局各科室</w:t>
            </w:r>
          </w:p>
        </w:tc>
        <w:tc>
          <w:tcPr>
            <w:tcW w:w="753"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无</w:t>
            </w:r>
          </w:p>
        </w:tc>
        <w:tc>
          <w:tcPr>
            <w:tcW w:w="567"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无</w:t>
            </w:r>
          </w:p>
        </w:tc>
        <w:tc>
          <w:tcPr>
            <w:tcW w:w="425"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常用</w:t>
            </w:r>
          </w:p>
        </w:tc>
        <w:tc>
          <w:tcPr>
            <w:tcW w:w="425"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市县级共同使用</w:t>
            </w:r>
          </w:p>
        </w:tc>
        <w:tc>
          <w:tcPr>
            <w:tcW w:w="623"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保留</w:t>
            </w:r>
          </w:p>
        </w:tc>
        <w:tc>
          <w:tcPr>
            <w:tcW w:w="370"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885" w:hRule="atLeast"/>
        </w:trPr>
        <w:tc>
          <w:tcPr>
            <w:tcW w:w="15168" w:type="dxa"/>
            <w:gridSpan w:val="22"/>
            <w:tcBorders>
              <w:top w:val="nil"/>
              <w:left w:val="nil"/>
              <w:bottom w:val="nil"/>
              <w:right w:val="nil"/>
            </w:tcBorders>
            <w:vAlign w:val="center"/>
          </w:tcPr>
          <w:p>
            <w:pPr>
              <w:widowControl/>
              <w:jc w:val="center"/>
              <w:rPr>
                <w:rFonts w:ascii="宋体" w:hAnsi="宋体" w:cs="宋体"/>
                <w:kern w:val="0"/>
                <w:sz w:val="36"/>
                <w:szCs w:val="36"/>
              </w:rPr>
            </w:pPr>
            <w:r>
              <w:rPr>
                <w:rFonts w:hint="eastAsia" w:ascii="宋体" w:hAnsi="宋体" w:cs="宋体"/>
                <w:kern w:val="0"/>
                <w:sz w:val="36"/>
                <w:szCs w:val="36"/>
              </w:rPr>
              <w:t>行政权力事项分表</w:t>
            </w:r>
          </w:p>
        </w:tc>
      </w:tr>
      <w:tr>
        <w:tblPrEx>
          <w:tblLayout w:type="fixed"/>
          <w:tblCellMar>
            <w:top w:w="0" w:type="dxa"/>
            <w:left w:w="108" w:type="dxa"/>
            <w:bottom w:w="0" w:type="dxa"/>
            <w:right w:w="108" w:type="dxa"/>
          </w:tblCellMar>
        </w:tblPrEx>
        <w:trPr>
          <w:trHeight w:val="525" w:hRule="atLeast"/>
        </w:trPr>
        <w:tc>
          <w:tcPr>
            <w:tcW w:w="15168" w:type="dxa"/>
            <w:gridSpan w:val="22"/>
            <w:tcBorders>
              <w:top w:val="nil"/>
              <w:left w:val="nil"/>
              <w:bottom w:val="single" w:color="auto" w:sz="4" w:space="0"/>
              <w:right w:val="nil"/>
            </w:tcBorders>
            <w:vAlign w:val="center"/>
          </w:tcPr>
          <w:p>
            <w:pPr>
              <w:widowControl/>
              <w:jc w:val="center"/>
              <w:rPr>
                <w:rFonts w:ascii="宋体" w:hAnsi="宋体" w:cs="宋体"/>
                <w:kern w:val="0"/>
                <w:sz w:val="32"/>
                <w:szCs w:val="32"/>
              </w:rPr>
            </w:pPr>
            <w:r>
              <w:rPr>
                <w:rFonts w:hint="eastAsia" w:ascii="宋体" w:hAnsi="宋体" w:cs="宋体"/>
                <w:kern w:val="0"/>
                <w:sz w:val="32"/>
                <w:szCs w:val="32"/>
              </w:rPr>
              <w:t>其他行政权力类</w:t>
            </w:r>
          </w:p>
        </w:tc>
      </w:tr>
      <w:tr>
        <w:tblPrEx>
          <w:tblLayout w:type="fixed"/>
          <w:tblCellMar>
            <w:top w:w="0" w:type="dxa"/>
            <w:left w:w="108" w:type="dxa"/>
            <w:bottom w:w="0" w:type="dxa"/>
            <w:right w:w="108" w:type="dxa"/>
          </w:tblCellMar>
        </w:tblPrEx>
        <w:trPr>
          <w:trHeight w:val="1465" w:hRule="atLeast"/>
        </w:trPr>
        <w:tc>
          <w:tcPr>
            <w:tcW w:w="42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序</w:t>
            </w:r>
            <w:r>
              <w:rPr>
                <w:rFonts w:hint="eastAsia" w:ascii="宋体" w:hAnsi="宋体" w:cs="宋体"/>
                <w:kern w:val="0"/>
                <w:sz w:val="18"/>
                <w:szCs w:val="18"/>
              </w:rPr>
              <w:br w:type="textWrapping"/>
            </w:r>
            <w:r>
              <w:rPr>
                <w:rFonts w:hint="eastAsia" w:ascii="宋体" w:hAnsi="宋体" w:cs="宋体"/>
                <w:kern w:val="0"/>
                <w:sz w:val="18"/>
                <w:szCs w:val="18"/>
              </w:rPr>
              <w:t>号</w:t>
            </w:r>
          </w:p>
        </w:tc>
        <w:tc>
          <w:tcPr>
            <w:tcW w:w="56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权力</w:t>
            </w:r>
            <w:r>
              <w:rPr>
                <w:rFonts w:hint="eastAsia" w:ascii="宋体" w:hAnsi="宋体" w:cs="宋体"/>
                <w:kern w:val="0"/>
                <w:sz w:val="18"/>
                <w:szCs w:val="18"/>
              </w:rPr>
              <w:br w:type="textWrapping"/>
            </w:r>
            <w:r>
              <w:rPr>
                <w:rFonts w:hint="eastAsia" w:ascii="宋体" w:hAnsi="宋体" w:cs="宋体"/>
                <w:kern w:val="0"/>
                <w:sz w:val="18"/>
                <w:szCs w:val="18"/>
              </w:rPr>
              <w:t>名称</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子项</w:t>
            </w:r>
          </w:p>
        </w:tc>
        <w:tc>
          <w:tcPr>
            <w:tcW w:w="893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      施      依      据</w:t>
            </w:r>
          </w:p>
        </w:tc>
        <w:tc>
          <w:tcPr>
            <w:tcW w:w="70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实施对象</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承办机构</w:t>
            </w:r>
          </w:p>
        </w:tc>
        <w:tc>
          <w:tcPr>
            <w:tcW w:w="85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收费（征收）依据和标准</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前置条件</w:t>
            </w:r>
          </w:p>
        </w:tc>
        <w:tc>
          <w:tcPr>
            <w:tcW w:w="42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行使情况</w:t>
            </w:r>
          </w:p>
        </w:tc>
        <w:tc>
          <w:tcPr>
            <w:tcW w:w="42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行使层级</w:t>
            </w:r>
          </w:p>
        </w:tc>
        <w:tc>
          <w:tcPr>
            <w:tcW w:w="7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部门意见及理由</w:t>
            </w:r>
          </w:p>
        </w:tc>
        <w:tc>
          <w:tcPr>
            <w:tcW w:w="42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备</w:t>
            </w:r>
            <w:r>
              <w:rPr>
                <w:rFonts w:hint="eastAsia" w:ascii="宋体" w:hAnsi="宋体" w:cs="宋体"/>
                <w:kern w:val="0"/>
                <w:sz w:val="18"/>
                <w:szCs w:val="18"/>
              </w:rPr>
              <w:br w:type="textWrapping"/>
            </w:r>
            <w:r>
              <w:rPr>
                <w:rFonts w:hint="eastAsia" w:ascii="宋体" w:hAnsi="宋体" w:cs="宋体"/>
                <w:kern w:val="0"/>
                <w:sz w:val="18"/>
                <w:szCs w:val="18"/>
              </w:rPr>
              <w:t>注</w:t>
            </w:r>
          </w:p>
        </w:tc>
      </w:tr>
      <w:tr>
        <w:tblPrEx>
          <w:tblLayout w:type="fixed"/>
          <w:tblCellMar>
            <w:top w:w="0" w:type="dxa"/>
            <w:left w:w="108" w:type="dxa"/>
            <w:bottom w:w="0" w:type="dxa"/>
            <w:right w:w="108" w:type="dxa"/>
          </w:tblCellMar>
        </w:tblPrEx>
        <w:trPr>
          <w:trHeight w:val="77" w:hRule="atLeast"/>
        </w:trPr>
        <w:tc>
          <w:tcPr>
            <w:tcW w:w="425"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68"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查询被审计单位及被审计单位以下人名义在金融机构账户存款权</w:t>
            </w:r>
          </w:p>
          <w:p>
            <w:pPr>
              <w:widowControl/>
              <w:jc w:val="center"/>
              <w:rPr>
                <w:rFonts w:ascii="宋体" w:hAnsi="宋体" w:cs="宋体"/>
                <w:kern w:val="0"/>
                <w:sz w:val="16"/>
                <w:szCs w:val="16"/>
              </w:rPr>
            </w:pPr>
          </w:p>
        </w:tc>
        <w:tc>
          <w:tcPr>
            <w:tcW w:w="567" w:type="dxa"/>
            <w:tcBorders>
              <w:top w:val="nil"/>
              <w:left w:val="nil"/>
              <w:bottom w:val="single" w:color="auto" w:sz="4" w:space="0"/>
              <w:right w:val="single" w:color="auto" w:sz="4" w:space="0"/>
            </w:tcBorders>
            <w:vAlign w:val="center"/>
          </w:tcPr>
          <w:p>
            <w:pPr>
              <w:widowControl/>
              <w:rPr>
                <w:rFonts w:ascii="宋体" w:hAnsi="宋体" w:cs="宋体"/>
                <w:kern w:val="0"/>
                <w:sz w:val="16"/>
                <w:szCs w:val="16"/>
              </w:rPr>
            </w:pPr>
          </w:p>
        </w:tc>
        <w:tc>
          <w:tcPr>
            <w:tcW w:w="8930" w:type="dxa"/>
            <w:tcBorders>
              <w:top w:val="nil"/>
              <w:left w:val="nil"/>
              <w:bottom w:val="single" w:color="auto" w:sz="4" w:space="0"/>
              <w:right w:val="single" w:color="auto" w:sz="4" w:space="0"/>
            </w:tcBorders>
            <w:vAlign w:val="center"/>
          </w:tcPr>
          <w:p>
            <w:pPr>
              <w:widowControl/>
              <w:ind w:firstLine="240" w:firstLineChars="150"/>
              <w:rPr>
                <w:rFonts w:ascii="宋体" w:hAnsi="宋体" w:cs="宋体"/>
                <w:kern w:val="0"/>
                <w:sz w:val="16"/>
                <w:szCs w:val="16"/>
              </w:rPr>
            </w:pPr>
            <w:r>
              <w:rPr>
                <w:rFonts w:hint="eastAsia" w:ascii="宋体" w:hAnsi="宋体" w:cs="宋体"/>
                <w:kern w:val="0"/>
                <w:sz w:val="16"/>
                <w:szCs w:val="16"/>
              </w:rPr>
              <w:t>【法律】《中华人民共和国审计法》第三十三条　审计机关进行审计时，有权就审计事项的有关问题向有关单位和个人进行调查，并取得有关证明材料。有关单位和个人应当支持、协助审计机关工作，如实向审计机关反映情况，提供有关证明材料。</w:t>
            </w:r>
            <w:r>
              <w:rPr>
                <w:rFonts w:hint="eastAsia" w:ascii="宋体" w:hAnsi="宋体" w:cs="宋体"/>
                <w:kern w:val="0"/>
                <w:sz w:val="16"/>
                <w:szCs w:val="16"/>
              </w:rPr>
              <w:br w:type="textWrapping"/>
            </w:r>
            <w:r>
              <w:rPr>
                <w:rFonts w:hint="eastAsia" w:ascii="宋体" w:hAnsi="宋体" w:cs="宋体"/>
                <w:kern w:val="0"/>
                <w:sz w:val="16"/>
                <w:szCs w:val="16"/>
              </w:rPr>
              <w:t>　　审计机关经县级以上人民政府审计机关负责人批准，有权查询被审计单位在金融机构的账户。</w:t>
            </w:r>
            <w:r>
              <w:rPr>
                <w:rFonts w:hint="eastAsia" w:ascii="宋体" w:hAnsi="宋体" w:cs="宋体"/>
                <w:kern w:val="0"/>
                <w:sz w:val="16"/>
                <w:szCs w:val="16"/>
              </w:rPr>
              <w:br w:type="textWrapping"/>
            </w:r>
            <w:r>
              <w:rPr>
                <w:rFonts w:hint="eastAsia" w:ascii="宋体" w:hAnsi="宋体" w:cs="宋体"/>
                <w:kern w:val="0"/>
                <w:sz w:val="16"/>
                <w:szCs w:val="16"/>
              </w:rPr>
              <w:t>　　审计机关有证据证明被审计单位以个人名义存储公款的，经县级以上人民政府审计机关主要负责人批准，有权查询被审计单位以个人名义在金融机构的存款。</w:t>
            </w:r>
            <w:r>
              <w:rPr>
                <w:rFonts w:hint="eastAsia" w:ascii="宋体" w:hAnsi="宋体" w:cs="宋体"/>
                <w:kern w:val="0"/>
                <w:sz w:val="16"/>
                <w:szCs w:val="16"/>
              </w:rPr>
              <w:br w:type="textWrapping"/>
            </w:r>
            <w:r>
              <w:rPr>
                <w:rFonts w:hint="eastAsia" w:ascii="宋体" w:hAnsi="宋体" w:cs="宋体"/>
                <w:kern w:val="0"/>
                <w:sz w:val="16"/>
                <w:szCs w:val="16"/>
              </w:rPr>
              <w:t>【行政法规】《中华人民共和国审计法实施条例》第三十条　审计机关依照审计法第三十三条规定查询被审计单位在金融机构的账户的，应当持县级以上人民政府审计机关负责人签发的协助查询单位账户通知书；查询被审计单位以个人名义在金融机构的存款的，应当持县级以上人民政府审计机关主要负责人签发的协助查询个人存款通知书。有关金融机构应当予以协助，并提供证明材料，审计机关和审计人员负有保密义务。</w:t>
            </w:r>
          </w:p>
          <w:p>
            <w:pPr>
              <w:widowControl/>
              <w:ind w:firstLine="320" w:firstLineChars="200"/>
              <w:rPr>
                <w:rFonts w:ascii="宋体" w:hAnsi="宋体" w:cs="宋体"/>
                <w:kern w:val="0"/>
                <w:sz w:val="16"/>
                <w:szCs w:val="16"/>
              </w:rPr>
            </w:pPr>
          </w:p>
        </w:tc>
        <w:tc>
          <w:tcPr>
            <w:tcW w:w="709"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机关、事业单位、企业、社会组织或公民</w:t>
            </w:r>
          </w:p>
        </w:tc>
        <w:tc>
          <w:tcPr>
            <w:tcW w:w="567"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运城市审计局各科室</w:t>
            </w:r>
          </w:p>
        </w:tc>
        <w:tc>
          <w:tcPr>
            <w:tcW w:w="850"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无</w:t>
            </w:r>
          </w:p>
        </w:tc>
        <w:tc>
          <w:tcPr>
            <w:tcW w:w="567"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无</w:t>
            </w:r>
          </w:p>
        </w:tc>
        <w:tc>
          <w:tcPr>
            <w:tcW w:w="425"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常用</w:t>
            </w:r>
          </w:p>
        </w:tc>
        <w:tc>
          <w:tcPr>
            <w:tcW w:w="426"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市县级共同使用</w:t>
            </w:r>
          </w:p>
        </w:tc>
        <w:tc>
          <w:tcPr>
            <w:tcW w:w="708"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sz w:val="16"/>
                <w:szCs w:val="16"/>
              </w:rPr>
              <w:t>保留</w:t>
            </w:r>
          </w:p>
        </w:tc>
        <w:tc>
          <w:tcPr>
            <w:tcW w:w="426" w:type="dxa"/>
            <w:gridSpan w:val="2"/>
            <w:tcBorders>
              <w:top w:val="nil"/>
              <w:left w:val="nil"/>
              <w:bottom w:val="single" w:color="auto" w:sz="4" w:space="0"/>
              <w:right w:val="single" w:color="auto" w:sz="4" w:space="0"/>
            </w:tcBorders>
            <w:vAlign w:val="center"/>
          </w:tcPr>
          <w:p>
            <w:pPr>
              <w:rPr>
                <w:rFonts w:ascii="宋体" w:hAnsi="宋体" w:cs="宋体"/>
                <w:sz w:val="16"/>
                <w:szCs w:val="16"/>
              </w:rPr>
            </w:pPr>
            <w:r>
              <w:rPr>
                <w:rFonts w:hint="eastAsia" w:ascii="宋体" w:hAnsi="宋体"/>
                <w:sz w:val="16"/>
                <w:szCs w:val="16"/>
              </w:rPr>
              <w:t>　</w:t>
            </w:r>
          </w:p>
        </w:tc>
      </w:tr>
    </w:tbl>
    <w:p>
      <w:pPr>
        <w:spacing w:line="260" w:lineRule="exact"/>
        <w:rPr>
          <w:rFonts w:ascii="宋体" w:hAnsi="宋体"/>
          <w:sz w:val="16"/>
          <w:szCs w:val="16"/>
        </w:rPr>
      </w:pPr>
    </w:p>
    <w:p>
      <w:pPr>
        <w:spacing w:line="260" w:lineRule="exact"/>
        <w:rPr>
          <w:sz w:val="16"/>
          <w:szCs w:val="16"/>
        </w:rPr>
      </w:pPr>
      <w:r>
        <w:rPr>
          <w:rFonts w:hint="eastAsia"/>
          <w:sz w:val="16"/>
          <w:szCs w:val="16"/>
        </w:rPr>
        <w:t>说明：备注内是向省审计厅提出的“建议”。</w:t>
      </w:r>
    </w:p>
    <w:p>
      <w:pPr>
        <w:spacing w:line="260" w:lineRule="exact"/>
        <w:rPr>
          <w:sz w:val="16"/>
          <w:szCs w:val="16"/>
        </w:rPr>
      </w:pPr>
    </w:p>
    <w:p>
      <w:pPr>
        <w:spacing w:line="260" w:lineRule="exact"/>
        <w:rPr>
          <w:sz w:val="13"/>
          <w:szCs w:val="13"/>
        </w:rPr>
      </w:pPr>
    </w:p>
    <w:p>
      <w:pPr>
        <w:spacing w:line="260" w:lineRule="exact"/>
        <w:rPr>
          <w:sz w:val="13"/>
          <w:szCs w:val="13"/>
        </w:rPr>
      </w:pPr>
    </w:p>
    <w:sectPr>
      <w:pgSz w:w="16838" w:h="11906" w:orient="landscape"/>
      <w:pgMar w:top="1474" w:right="1304" w:bottom="102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7AE"/>
    <w:multiLevelType w:val="multilevel"/>
    <w:tmpl w:val="0B8517AE"/>
    <w:lvl w:ilvl="0" w:tentative="0">
      <w:start w:val="1"/>
      <w:numFmt w:val="japaneseCounting"/>
      <w:lvlText w:val="（%1）"/>
      <w:lvlJc w:val="left"/>
      <w:pPr>
        <w:ind w:left="880" w:hanging="720"/>
      </w:pPr>
      <w:rPr>
        <w:rFonts w:hint="default"/>
      </w:rPr>
    </w:lvl>
    <w:lvl w:ilvl="1" w:tentative="0">
      <w:start w:val="1"/>
      <w:numFmt w:val="lowerLetter"/>
      <w:lvlText w:val="%2)"/>
      <w:lvlJc w:val="left"/>
      <w:pPr>
        <w:ind w:left="1000" w:hanging="420"/>
      </w:pPr>
    </w:lvl>
    <w:lvl w:ilvl="2" w:tentative="0">
      <w:start w:val="1"/>
      <w:numFmt w:val="lowerRoman"/>
      <w:lvlText w:val="%3."/>
      <w:lvlJc w:val="right"/>
      <w:pPr>
        <w:ind w:left="1420" w:hanging="420"/>
      </w:pPr>
    </w:lvl>
    <w:lvl w:ilvl="3" w:tentative="0">
      <w:start w:val="1"/>
      <w:numFmt w:val="decimal"/>
      <w:lvlText w:val="%4."/>
      <w:lvlJc w:val="left"/>
      <w:pPr>
        <w:ind w:left="1840" w:hanging="420"/>
      </w:pPr>
    </w:lvl>
    <w:lvl w:ilvl="4" w:tentative="0">
      <w:start w:val="1"/>
      <w:numFmt w:val="lowerLetter"/>
      <w:lvlText w:val="%5)"/>
      <w:lvlJc w:val="left"/>
      <w:pPr>
        <w:ind w:left="2260" w:hanging="420"/>
      </w:pPr>
    </w:lvl>
    <w:lvl w:ilvl="5" w:tentative="0">
      <w:start w:val="1"/>
      <w:numFmt w:val="lowerRoman"/>
      <w:lvlText w:val="%6."/>
      <w:lvlJc w:val="right"/>
      <w:pPr>
        <w:ind w:left="2680" w:hanging="420"/>
      </w:pPr>
    </w:lvl>
    <w:lvl w:ilvl="6" w:tentative="0">
      <w:start w:val="1"/>
      <w:numFmt w:val="decimal"/>
      <w:lvlText w:val="%7."/>
      <w:lvlJc w:val="left"/>
      <w:pPr>
        <w:ind w:left="3100" w:hanging="420"/>
      </w:pPr>
    </w:lvl>
    <w:lvl w:ilvl="7" w:tentative="0">
      <w:start w:val="1"/>
      <w:numFmt w:val="lowerLetter"/>
      <w:lvlText w:val="%8)"/>
      <w:lvlJc w:val="left"/>
      <w:pPr>
        <w:ind w:left="3520" w:hanging="420"/>
      </w:pPr>
    </w:lvl>
    <w:lvl w:ilvl="8" w:tentative="0">
      <w:start w:val="1"/>
      <w:numFmt w:val="lowerRoman"/>
      <w:lvlText w:val="%9."/>
      <w:lvlJc w:val="right"/>
      <w:pPr>
        <w:ind w:left="3940" w:hanging="420"/>
      </w:pPr>
    </w:lvl>
  </w:abstractNum>
  <w:abstractNum w:abstractNumId="1">
    <w:nsid w:val="608131B3"/>
    <w:multiLevelType w:val="singleLevel"/>
    <w:tmpl w:val="608131B3"/>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0C"/>
    <w:rsid w:val="000F1E0C"/>
    <w:rsid w:val="006D4103"/>
    <w:rsid w:val="0081693A"/>
    <w:rsid w:val="00AF45DF"/>
    <w:rsid w:val="00FC51A7"/>
    <w:rsid w:val="0D063F95"/>
    <w:rsid w:val="687878F1"/>
    <w:rsid w:val="6C454D64"/>
    <w:rsid w:val="70994335"/>
    <w:rsid w:val="77E67703"/>
    <w:rsid w:val="7AC96A6E"/>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790</Words>
  <Characters>4506</Characters>
  <Lines>37</Lines>
  <Paragraphs>10</Paragraphs>
  <ScaleCrop>false</ScaleCrop>
  <LinksUpToDate>false</LinksUpToDate>
  <CharactersWithSpaces>5286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2015-12-28T11:13:00Z</dcterms:created>
  <dc:creator>lenovo-1</dc:creator>
  <cp:lastModifiedBy>Administrator</cp:lastModifiedBy>
  <cp:lastPrinted>2020-05-20T02:44:00Z</cp:lastPrinted>
  <dcterms:modified xsi:type="dcterms:W3CDTF">2021-04-22T08:19:57Z</dcterms:modified>
  <dc:title>行政权力事项分表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