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jc w:val="center"/>
        <w:rPr>
          <w:rFonts w:ascii="宋体"/>
          <w:bCs/>
          <w:color w:val="333333"/>
          <w:sz w:val="36"/>
          <w:szCs w:val="36"/>
        </w:rPr>
      </w:pPr>
      <w:r>
        <w:rPr>
          <w:rFonts w:hint="eastAsia" w:ascii="宋体" w:hAnsi="宋体"/>
          <w:bCs/>
          <w:color w:val="000000"/>
          <w:kern w:val="0"/>
          <w:sz w:val="36"/>
          <w:szCs w:val="36"/>
        </w:rPr>
        <w:t>运城市审计局行政权力清单和责任清单</w:t>
      </w:r>
    </w:p>
    <w:tbl>
      <w:tblPr>
        <w:tblStyle w:val="11"/>
        <w:tblW w:w="14547" w:type="dxa"/>
        <w:jc w:val="center"/>
        <w:tblCellSpacing w:w="0" w:type="dxa"/>
        <w:tblInd w:w="-12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00"/>
        <w:gridCol w:w="363"/>
        <w:gridCol w:w="341"/>
        <w:gridCol w:w="359"/>
        <w:gridCol w:w="271"/>
        <w:gridCol w:w="992"/>
        <w:gridCol w:w="2126"/>
        <w:gridCol w:w="9356"/>
        <w:gridCol w:w="43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0" w:hRule="atLeast"/>
          <w:tblCellSpacing w:w="0" w:type="dxa"/>
          <w:jc w:val="center"/>
        </w:trPr>
        <w:tc>
          <w:tcPr>
            <w:tcW w:w="300" w:type="dxa"/>
            <w:vMerge w:val="restart"/>
            <w:tcBorders>
              <w:top w:val="outset" w:color="auto" w:sz="6" w:space="0"/>
              <w:left w:val="single" w:color="auto" w:sz="4"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序号</w:t>
            </w:r>
          </w:p>
        </w:tc>
        <w:tc>
          <w:tcPr>
            <w:tcW w:w="363"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w:t>
            </w:r>
            <w:r>
              <w:rPr>
                <w:rFonts w:hint="eastAsia" w:ascii="宋体" w:hAnsi="宋体" w:cs="微软雅黑"/>
                <w:color w:val="333333"/>
                <w:sz w:val="18"/>
                <w:szCs w:val="18"/>
              </w:rPr>
              <w:br w:type="textWrapping"/>
            </w:r>
            <w:r>
              <w:rPr>
                <w:rFonts w:hint="eastAsia" w:ascii="宋体" w:hAnsi="宋体" w:cs="微软雅黑"/>
                <w:color w:val="333333"/>
                <w:sz w:val="18"/>
                <w:szCs w:val="18"/>
              </w:rPr>
              <w:t>类型</w:t>
            </w:r>
          </w:p>
        </w:tc>
        <w:tc>
          <w:tcPr>
            <w:tcW w:w="341" w:type="dxa"/>
            <w:vMerge w:val="restart"/>
            <w:tcBorders>
              <w:top w:val="outset" w:color="auto" w:sz="6" w:space="0"/>
              <w:left w:val="outset" w:color="auto" w:sz="6" w:space="0"/>
              <w:bottom w:val="outset" w:color="auto" w:sz="6" w:space="0"/>
              <w:right w:val="outset" w:color="auto" w:sz="6" w:space="0"/>
            </w:tcBorders>
            <w:vAlign w:val="top"/>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w:t>
            </w:r>
          </w:p>
          <w:p>
            <w:pPr>
              <w:autoSpaceDN w:val="0"/>
              <w:jc w:val="center"/>
              <w:rPr>
                <w:rFonts w:ascii="宋体" w:hAnsi="宋体" w:cs="微软雅黑"/>
                <w:color w:val="333333"/>
                <w:sz w:val="18"/>
                <w:szCs w:val="18"/>
              </w:rPr>
            </w:pPr>
            <w:r>
              <w:rPr>
                <w:rFonts w:hint="eastAsia" w:ascii="宋体" w:hAnsi="宋体" w:cs="微软雅黑"/>
                <w:color w:val="333333"/>
                <w:sz w:val="18"/>
                <w:szCs w:val="18"/>
              </w:rPr>
              <w:t>编码</w:t>
            </w:r>
          </w:p>
        </w:tc>
        <w:tc>
          <w:tcPr>
            <w:tcW w:w="630" w:type="dxa"/>
            <w:gridSpan w:val="2"/>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职权名称</w:t>
            </w:r>
          </w:p>
        </w:tc>
        <w:tc>
          <w:tcPr>
            <w:tcW w:w="992"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实施依据</w:t>
            </w:r>
          </w:p>
        </w:tc>
        <w:tc>
          <w:tcPr>
            <w:tcW w:w="2126"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责任事项</w:t>
            </w:r>
          </w:p>
        </w:tc>
        <w:tc>
          <w:tcPr>
            <w:tcW w:w="9356"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责任事项依据</w:t>
            </w:r>
          </w:p>
        </w:tc>
        <w:tc>
          <w:tcPr>
            <w:tcW w:w="439" w:type="dxa"/>
            <w:vMerge w:val="restart"/>
            <w:tcBorders>
              <w:top w:val="outset" w:color="auto" w:sz="6" w:space="0"/>
              <w:left w:val="outset" w:color="auto" w:sz="6" w:space="0"/>
              <w:bottom w:val="outset" w:color="auto" w:sz="6" w:space="0"/>
              <w:right w:val="nil"/>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3" w:hRule="atLeast"/>
          <w:tblCellSpacing w:w="0" w:type="dxa"/>
          <w:jc w:val="center"/>
        </w:trPr>
        <w:tc>
          <w:tcPr>
            <w:tcW w:w="300" w:type="dxa"/>
            <w:vMerge w:val="continue"/>
            <w:tcBorders>
              <w:top w:val="outset" w:color="auto" w:sz="6" w:space="0"/>
              <w:left w:val="single" w:color="auto" w:sz="4"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363"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341"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359"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项目</w:t>
            </w:r>
          </w:p>
        </w:tc>
        <w:tc>
          <w:tcPr>
            <w:tcW w:w="271"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子项</w:t>
            </w:r>
          </w:p>
        </w:tc>
        <w:tc>
          <w:tcPr>
            <w:tcW w:w="992"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2126"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9356"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439" w:type="dxa"/>
            <w:vMerge w:val="continue"/>
            <w:tcBorders>
              <w:top w:val="outset" w:color="auto" w:sz="6" w:space="0"/>
              <w:left w:val="outset" w:color="auto" w:sz="6" w:space="0"/>
              <w:bottom w:val="outset" w:color="auto" w:sz="6" w:space="0"/>
              <w:right w:val="nil"/>
            </w:tcBorders>
            <w:vAlign w:val="center"/>
          </w:tcPr>
          <w:p>
            <w:pPr>
              <w:jc w:val="left"/>
              <w:rPr>
                <w:rFonts w:ascii="宋体" w:hAnsi="宋体" w:cs="微软雅黑"/>
                <w:color w:val="333333"/>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395" w:hRule="atLeast"/>
          <w:tblCellSpacing w:w="0" w:type="dxa"/>
          <w:jc w:val="center"/>
        </w:trPr>
        <w:tc>
          <w:tcPr>
            <w:tcW w:w="300" w:type="dxa"/>
            <w:tcBorders>
              <w:top w:val="outset" w:color="auto" w:sz="6" w:space="0"/>
              <w:left w:val="single" w:color="auto" w:sz="4" w:space="0"/>
              <w:bottom w:val="outset" w:color="auto" w:sz="6" w:space="0"/>
              <w:right w:val="outset" w:color="auto" w:sz="6" w:space="0"/>
            </w:tcBorders>
            <w:vAlign w:val="center"/>
          </w:tcPr>
          <w:p>
            <w:pPr>
              <w:autoSpaceDN w:val="0"/>
              <w:jc w:val="center"/>
              <w:rPr>
                <w:rFonts w:ascii="宋体" w:hAnsi="宋体" w:cs="微软雅黑"/>
                <w:color w:val="333333"/>
                <w:sz w:val="16"/>
                <w:szCs w:val="16"/>
              </w:rPr>
            </w:pPr>
            <w:r>
              <w:rPr>
                <w:rFonts w:hint="eastAsia" w:ascii="宋体" w:hAnsi="宋体" w:cs="微软雅黑"/>
                <w:color w:val="333333"/>
                <w:sz w:val="16"/>
                <w:szCs w:val="16"/>
              </w:rPr>
              <w:t>1</w:t>
            </w:r>
          </w:p>
        </w:tc>
        <w:tc>
          <w:tcPr>
            <w:tcW w:w="363"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6"/>
                <w:szCs w:val="16"/>
              </w:rPr>
            </w:pPr>
            <w:r>
              <w:rPr>
                <w:rFonts w:hint="eastAsia" w:ascii="宋体" w:hAnsi="宋体" w:cs="微软雅黑"/>
                <w:color w:val="333333"/>
                <w:sz w:val="16"/>
                <w:szCs w:val="16"/>
              </w:rPr>
              <w:t>行政</w:t>
            </w:r>
            <w:r>
              <w:rPr>
                <w:rFonts w:hint="eastAsia" w:ascii="宋体" w:hAnsi="宋体" w:cs="微软雅黑"/>
                <w:color w:val="333333"/>
                <w:sz w:val="16"/>
                <w:szCs w:val="16"/>
              </w:rPr>
              <w:br w:type="textWrapping"/>
            </w:r>
            <w:r>
              <w:rPr>
                <w:rFonts w:hint="eastAsia" w:ascii="宋体" w:hAnsi="宋体" w:cs="微软雅黑"/>
                <w:color w:val="333333"/>
                <w:sz w:val="16"/>
                <w:szCs w:val="16"/>
              </w:rPr>
              <w:t>处罚</w:t>
            </w:r>
          </w:p>
        </w:tc>
        <w:tc>
          <w:tcPr>
            <w:tcW w:w="341" w:type="dxa"/>
            <w:tcBorders>
              <w:top w:val="outset" w:color="auto" w:sz="6" w:space="0"/>
              <w:left w:val="outset" w:color="auto" w:sz="6" w:space="0"/>
              <w:bottom w:val="outset" w:color="auto" w:sz="6" w:space="0"/>
              <w:right w:val="outset" w:color="auto" w:sz="6" w:space="0"/>
            </w:tcBorders>
            <w:vAlign w:val="top"/>
          </w:tcPr>
          <w:p>
            <w:pPr>
              <w:autoSpaceDN w:val="0"/>
              <w:rPr>
                <w:rFonts w:ascii="宋体" w:hAnsi="宋体" w:cs="微软雅黑"/>
                <w:color w:val="333333"/>
                <w:sz w:val="16"/>
                <w:szCs w:val="16"/>
              </w:rPr>
            </w:pPr>
          </w:p>
        </w:tc>
        <w:tc>
          <w:tcPr>
            <w:tcW w:w="630" w:type="dxa"/>
            <w:gridSpan w:val="2"/>
            <w:tcBorders>
              <w:top w:val="outset" w:color="auto" w:sz="6" w:space="0"/>
              <w:left w:val="outset" w:color="auto" w:sz="6" w:space="0"/>
              <w:bottom w:val="outset" w:color="auto" w:sz="6" w:space="0"/>
              <w:right w:val="outset" w:color="auto" w:sz="6" w:space="0"/>
            </w:tcBorders>
            <w:vAlign w:val="center"/>
          </w:tcPr>
          <w:p>
            <w:pPr>
              <w:autoSpaceDN w:val="0"/>
              <w:jc w:val="left"/>
              <w:rPr>
                <w:rFonts w:ascii="宋体" w:hAnsi="宋体" w:cs="微软雅黑"/>
                <w:color w:val="333333"/>
                <w:sz w:val="16"/>
                <w:szCs w:val="16"/>
              </w:rPr>
            </w:pPr>
            <w:r>
              <w:rPr>
                <w:rFonts w:hint="eastAsia" w:ascii="宋体" w:hAnsi="宋体" w:cs="微软雅黑"/>
                <w:color w:val="333333"/>
                <w:sz w:val="16"/>
                <w:szCs w:val="16"/>
              </w:rPr>
              <w:t>对拒绝、拖延提供与审计事项有关的资料，或者提供的资料不真实、不完整，或者拒绝、阻碍检查的处罚</w:t>
            </w:r>
          </w:p>
        </w:tc>
        <w:tc>
          <w:tcPr>
            <w:tcW w:w="992" w:type="dxa"/>
            <w:tcBorders>
              <w:top w:val="outset" w:color="auto" w:sz="6" w:space="0"/>
              <w:left w:val="outset" w:color="auto" w:sz="6" w:space="0"/>
              <w:bottom w:val="outset" w:color="auto" w:sz="6" w:space="0"/>
              <w:right w:val="outset" w:color="auto" w:sz="6" w:space="0"/>
            </w:tcBorders>
            <w:vAlign w:val="center"/>
          </w:tcPr>
          <w:p>
            <w:pPr>
              <w:autoSpaceDN w:val="0"/>
              <w:jc w:val="left"/>
              <w:rPr>
                <w:rFonts w:ascii="宋体" w:hAnsi="宋体" w:cs="微软雅黑"/>
                <w:color w:val="333333"/>
                <w:sz w:val="16"/>
                <w:szCs w:val="16"/>
              </w:rPr>
            </w:pPr>
            <w:r>
              <w:rPr>
                <w:rFonts w:hint="eastAsia" w:ascii="宋体" w:hAnsi="宋体" w:cs="微软雅黑"/>
                <w:color w:val="333333"/>
                <w:sz w:val="16"/>
                <w:szCs w:val="16"/>
              </w:rPr>
              <w:t xml:space="preserve">   【法律】《中华人民共和国审计法》第四十三条：被审计单位违反本法规定，拒绝或者拖延提供与审计事项有关的资料的，或者提供的资料不真实、不完整，或者拒绝、阻碍检查的，由审计机关责令改正，可以通报批评，给予警告；拒不改正的，依法追究责任。                                     </w:t>
            </w:r>
          </w:p>
          <w:p>
            <w:pPr>
              <w:autoSpaceDN w:val="0"/>
              <w:jc w:val="left"/>
              <w:rPr>
                <w:rFonts w:ascii="宋体" w:hAnsi="宋体" w:cs="微软雅黑"/>
                <w:color w:val="333333"/>
                <w:sz w:val="16"/>
                <w:szCs w:val="16"/>
              </w:rPr>
            </w:pPr>
            <w:r>
              <w:rPr>
                <w:rFonts w:hint="eastAsia" w:ascii="宋体" w:hAnsi="宋体" w:cs="微软雅黑"/>
                <w:color w:val="333333"/>
                <w:sz w:val="16"/>
                <w:szCs w:val="16"/>
              </w:rPr>
              <w:t xml:space="preserve">          </w:t>
            </w:r>
          </w:p>
        </w:tc>
        <w:tc>
          <w:tcPr>
            <w:tcW w:w="2126" w:type="dxa"/>
            <w:tcBorders>
              <w:top w:val="outset" w:color="auto" w:sz="6" w:space="0"/>
              <w:left w:val="outset" w:color="auto" w:sz="6" w:space="0"/>
              <w:bottom w:val="outset" w:color="auto" w:sz="6" w:space="0"/>
              <w:right w:val="outset" w:color="auto" w:sz="6" w:space="0"/>
            </w:tcBorders>
            <w:vAlign w:val="center"/>
          </w:tcPr>
          <w:p>
            <w:pPr>
              <w:autoSpaceDN w:val="0"/>
              <w:rPr>
                <w:rFonts w:ascii="宋体" w:hAnsi="宋体" w:cs="微软雅黑"/>
                <w:color w:val="333333"/>
                <w:sz w:val="16"/>
                <w:szCs w:val="16"/>
              </w:rPr>
            </w:pPr>
            <w:r>
              <w:rPr>
                <w:rFonts w:hint="eastAsia" w:ascii="宋体" w:hAnsi="宋体" w:cs="微软雅黑"/>
                <w:color w:val="333333"/>
                <w:sz w:val="16"/>
                <w:szCs w:val="16"/>
              </w:rPr>
              <w:t>1.发现和受理责任：审计机关派出审计组在审计（或专项审计调查）时，发现被审计单位或者有关人员拒绝或者拖延提供与审计事项有关的资料，或者拒绝、阻碍检查；发现或者接到举报被审计单位或者有关人员提供的资料不真实、不完整，审计组应当报告审计机关，并责令改正。情节严重或拒不改正的，审计机关予以审查，决定进一步核查和追责。</w:t>
            </w:r>
            <w:r>
              <w:rPr>
                <w:rFonts w:hint="eastAsia" w:ascii="宋体" w:hAnsi="宋体" w:cs="微软雅黑"/>
                <w:color w:val="333333"/>
                <w:sz w:val="16"/>
                <w:szCs w:val="16"/>
              </w:rPr>
              <w:br w:type="textWrapping"/>
            </w:r>
            <w:r>
              <w:rPr>
                <w:rFonts w:hint="eastAsia" w:ascii="宋体" w:hAnsi="宋体" w:cs="微软雅黑"/>
                <w:color w:val="333333"/>
                <w:sz w:val="16"/>
                <w:szCs w:val="16"/>
              </w:rPr>
              <w:t>2.调查取证责任：审计组在进一步调查过程中，要指定专人负责，与当事人有直接利害关系的应当回避。审计人员不得少于两人，允许被审计单位和有关人员申辩和陈述，并以审计组审计报告形式征求被审计单位意见。审计人员应当保守有关秘密。</w:t>
            </w:r>
          </w:p>
        </w:tc>
        <w:tc>
          <w:tcPr>
            <w:tcW w:w="9356" w:type="dxa"/>
            <w:tcBorders>
              <w:top w:val="outset" w:color="auto" w:sz="6" w:space="0"/>
              <w:left w:val="outset" w:color="auto" w:sz="6" w:space="0"/>
              <w:bottom w:val="outset" w:color="auto" w:sz="6" w:space="0"/>
              <w:right w:val="outset" w:color="auto" w:sz="6" w:space="0"/>
            </w:tcBorders>
            <w:vAlign w:val="center"/>
          </w:tcPr>
          <w:p>
            <w:pPr>
              <w:autoSpaceDN w:val="0"/>
              <w:rPr>
                <w:rFonts w:ascii="宋体" w:hAnsi="宋体" w:cs="微软雅黑"/>
                <w:color w:val="333333"/>
                <w:sz w:val="16"/>
                <w:szCs w:val="16"/>
              </w:rPr>
            </w:pPr>
            <w:r>
              <w:rPr>
                <w:rFonts w:hint="eastAsia" w:ascii="宋体" w:hAnsi="宋体" w:cs="微软雅黑"/>
                <w:color w:val="333333"/>
                <w:sz w:val="16"/>
                <w:szCs w:val="16"/>
              </w:rPr>
              <w:t>《行政处罚法》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autoSpaceDN w:val="0"/>
              <w:rPr>
                <w:rFonts w:ascii="宋体" w:hAnsi="宋体" w:cs="微软雅黑"/>
                <w:color w:val="333333"/>
                <w:sz w:val="16"/>
                <w:szCs w:val="16"/>
              </w:rPr>
            </w:pPr>
            <w:r>
              <w:rPr>
                <w:rFonts w:hint="eastAsia" w:ascii="宋体" w:hAnsi="宋体" w:cs="微软雅黑"/>
                <w:color w:val="333333"/>
                <w:sz w:val="16"/>
                <w:szCs w:val="16"/>
              </w:rPr>
              <w:t>第三十七条　行政机关在调查或者进行检查时，执法人员不得少于两人，并应当向当事人或者有关人员出示证件。当事人或者有关人员应当如实回答询问，并协助调查或者检查，不得阻挠。询问或者检查应当制作笔录。</w:t>
            </w:r>
          </w:p>
          <w:p>
            <w:pPr>
              <w:autoSpaceDN w:val="0"/>
              <w:rPr>
                <w:rFonts w:ascii="宋体" w:hAnsi="宋体" w:cs="微软雅黑"/>
                <w:color w:val="333333"/>
                <w:sz w:val="16"/>
                <w:szCs w:val="16"/>
              </w:rPr>
            </w:pPr>
            <w:r>
              <w:rPr>
                <w:rFonts w:hint="eastAsia" w:ascii="宋体" w:hAnsi="宋体" w:cs="微软雅黑"/>
                <w:color w:val="333333"/>
                <w:sz w:val="16"/>
                <w:szCs w:val="16"/>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utoSpaceDN w:val="0"/>
              <w:rPr>
                <w:rFonts w:ascii="宋体" w:hAnsi="宋体" w:cs="微软雅黑"/>
                <w:color w:val="333333"/>
                <w:sz w:val="16"/>
                <w:szCs w:val="16"/>
              </w:rPr>
            </w:pPr>
            <w:r>
              <w:rPr>
                <w:rFonts w:hint="eastAsia" w:ascii="宋体" w:hAnsi="宋体" w:cs="微软雅黑"/>
                <w:color w:val="333333"/>
                <w:sz w:val="16"/>
                <w:szCs w:val="16"/>
              </w:rPr>
              <w:t>执法人员与当事人有直接利害关系的，应当回避。</w:t>
            </w:r>
          </w:p>
          <w:p>
            <w:pPr>
              <w:autoSpaceDN w:val="0"/>
              <w:rPr>
                <w:rFonts w:ascii="宋体" w:hAnsi="宋体" w:cs="微软雅黑"/>
                <w:color w:val="333333"/>
                <w:sz w:val="16"/>
                <w:szCs w:val="16"/>
              </w:rPr>
            </w:pPr>
            <w:r>
              <w:rPr>
                <w:rFonts w:hint="eastAsia" w:ascii="宋体" w:hAnsi="宋体" w:cs="微软雅黑"/>
                <w:color w:val="333333"/>
                <w:sz w:val="16"/>
                <w:szCs w:val="16"/>
              </w:rPr>
              <w:t>第三十八条　调查终结，行政机关负责人应当对调查结果进行审查，根据不同情况，分别作出如下决定：</w:t>
            </w:r>
          </w:p>
          <w:p>
            <w:pPr>
              <w:autoSpaceDN w:val="0"/>
              <w:rPr>
                <w:rFonts w:ascii="宋体" w:hAnsi="宋体" w:cs="微软雅黑"/>
                <w:color w:val="333333"/>
                <w:sz w:val="16"/>
                <w:szCs w:val="16"/>
              </w:rPr>
            </w:pPr>
            <w:r>
              <w:rPr>
                <w:rFonts w:hint="eastAsia" w:ascii="宋体" w:hAnsi="宋体" w:cs="微软雅黑"/>
                <w:color w:val="333333"/>
                <w:sz w:val="16"/>
                <w:szCs w:val="16"/>
              </w:rPr>
              <w:t>（一）确有应受行政处罚的违法行为的，根据情节轻重及具体情况，作出行政处罚决定；（二）违法行为轻微，依法可以不予行政处罚的，不予行政处罚；（三）违法事实不能成立的，不得给予行政处罚；（四）违法行为已构成犯罪的，移送司法机关。</w:t>
            </w:r>
          </w:p>
          <w:p>
            <w:pPr>
              <w:autoSpaceDN w:val="0"/>
              <w:rPr>
                <w:rFonts w:ascii="宋体" w:hAnsi="宋体" w:cs="微软雅黑"/>
                <w:color w:val="333333"/>
                <w:sz w:val="16"/>
                <w:szCs w:val="16"/>
              </w:rPr>
            </w:pPr>
            <w:r>
              <w:rPr>
                <w:rFonts w:hint="eastAsia" w:ascii="宋体" w:hAnsi="宋体" w:cs="微软雅黑"/>
                <w:color w:val="333333"/>
                <w:sz w:val="16"/>
                <w:szCs w:val="16"/>
              </w:rPr>
              <w:t>对情节复杂或者重大违法行为给予较重的行政处罚，行政机关的负责人应当集体讨论决定。</w:t>
            </w:r>
          </w:p>
          <w:p>
            <w:pPr>
              <w:autoSpaceDN w:val="0"/>
              <w:rPr>
                <w:rFonts w:ascii="宋体" w:hAnsi="宋体" w:cs="微软雅黑"/>
                <w:color w:val="333333"/>
                <w:sz w:val="16"/>
                <w:szCs w:val="16"/>
              </w:rPr>
            </w:pPr>
            <w:r>
              <w:rPr>
                <w:rFonts w:hint="eastAsia" w:ascii="宋体" w:hAnsi="宋体" w:cs="微软雅黑"/>
                <w:color w:val="333333"/>
                <w:sz w:val="16"/>
                <w:szCs w:val="16"/>
              </w:rPr>
              <w:t>第三十九条　行政机关依照本法第三十八条的规定给予行政处罚，应当制作行政处罚决定书。行政处罚决定书应当载明下列事项：（一）当事人的姓名或者名称、地址；（二）违反法律、法规或者规章的事实和证据；</w:t>
            </w:r>
          </w:p>
          <w:p>
            <w:pPr>
              <w:autoSpaceDN w:val="0"/>
              <w:rPr>
                <w:rFonts w:ascii="宋体" w:hAnsi="宋体" w:cs="微软雅黑"/>
                <w:color w:val="333333"/>
                <w:sz w:val="16"/>
                <w:szCs w:val="16"/>
              </w:rPr>
            </w:pPr>
            <w:r>
              <w:rPr>
                <w:rFonts w:hint="eastAsia" w:ascii="宋体" w:hAnsi="宋体" w:cs="微软雅黑"/>
                <w:color w:val="333333"/>
                <w:sz w:val="16"/>
                <w:szCs w:val="16"/>
              </w:rPr>
              <w:t>（三）行政处罚的种类和依据；（四）行政处罚的履行方式和期限；（五）不服行政处罚决定，申请行政复议或者提起行政诉讼的途径和期限；（六）作出行政处罚决定的行政机关名称和作出决定的日期。</w:t>
            </w:r>
          </w:p>
          <w:p>
            <w:pPr>
              <w:autoSpaceDN w:val="0"/>
              <w:jc w:val="left"/>
              <w:rPr>
                <w:rFonts w:ascii="宋体" w:hAnsi="宋体" w:cs="微软雅黑"/>
                <w:color w:val="333333"/>
                <w:sz w:val="16"/>
                <w:szCs w:val="16"/>
              </w:rPr>
            </w:pPr>
            <w:r>
              <w:rPr>
                <w:rFonts w:hint="eastAsia" w:ascii="宋体" w:hAnsi="宋体" w:cs="微软雅黑"/>
                <w:color w:val="333333"/>
                <w:sz w:val="16"/>
                <w:szCs w:val="16"/>
              </w:rPr>
              <w:t>行政处罚决定书必须盖有作出行政处罚决定的行政机关的印章。  第四十条　行政处罚决定书应当在宣告后当场交付当事人；当事人不在场的，行政机关应当在七日内依照民事诉讼法的有关规定，将行政处罚决定书送达当事人。</w:t>
            </w:r>
          </w:p>
          <w:p>
            <w:pPr>
              <w:autoSpaceDN w:val="0"/>
              <w:jc w:val="left"/>
              <w:rPr>
                <w:rFonts w:ascii="宋体" w:hAnsi="宋体" w:cs="微软雅黑"/>
                <w:color w:val="333333"/>
                <w:sz w:val="16"/>
                <w:szCs w:val="16"/>
              </w:rPr>
            </w:pPr>
            <w:r>
              <w:rPr>
                <w:rFonts w:hint="eastAsia" w:ascii="宋体" w:hAnsi="宋体" w:cs="微软雅黑"/>
                <w:color w:val="333333"/>
                <w:sz w:val="16"/>
                <w:szCs w:val="16"/>
              </w:rPr>
              <w:t xml:space="preserve">第四十四条　行政处罚决定依法作出后，当事人应当在行政处罚决定的期限内，予以履行。                   </w:t>
            </w:r>
          </w:p>
          <w:p>
            <w:pPr>
              <w:autoSpaceDN w:val="0"/>
              <w:jc w:val="left"/>
              <w:rPr>
                <w:rFonts w:ascii="宋体" w:hAnsi="宋体" w:cs="微软雅黑"/>
                <w:color w:val="333333"/>
                <w:sz w:val="16"/>
                <w:szCs w:val="16"/>
              </w:rPr>
            </w:pPr>
            <w:r>
              <w:rPr>
                <w:rFonts w:hint="eastAsia" w:ascii="宋体" w:hAnsi="宋体" w:cs="微软雅黑"/>
                <w:color w:val="333333"/>
                <w:sz w:val="16"/>
                <w:szCs w:val="16"/>
              </w:rPr>
              <w:t xml:space="preserve">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tc>
        <w:tc>
          <w:tcPr>
            <w:tcW w:w="439" w:type="dxa"/>
            <w:tcBorders>
              <w:top w:val="outset" w:color="auto" w:sz="6" w:space="0"/>
              <w:left w:val="outset" w:color="auto" w:sz="6" w:space="0"/>
              <w:bottom w:val="outset" w:color="auto" w:sz="6" w:space="0"/>
              <w:right w:val="nil"/>
            </w:tcBorders>
            <w:vAlign w:val="center"/>
          </w:tcPr>
          <w:p>
            <w:pPr>
              <w:autoSpaceDN w:val="0"/>
              <w:jc w:val="center"/>
              <w:rPr>
                <w:rFonts w:ascii="微软雅黑" w:hAnsi="微软雅黑" w:eastAsia="微软雅黑" w:cs="微软雅黑"/>
                <w:color w:val="333333"/>
                <w:sz w:val="18"/>
                <w:szCs w:val="18"/>
              </w:rPr>
            </w:pPr>
          </w:p>
        </w:tc>
      </w:tr>
    </w:tbl>
    <w:p>
      <w:pPr>
        <w:autoSpaceDN w:val="0"/>
        <w:jc w:val="center"/>
        <w:rPr>
          <w:rFonts w:ascii="宋体"/>
          <w:bCs/>
          <w:color w:val="333333"/>
          <w:sz w:val="36"/>
          <w:szCs w:val="36"/>
        </w:rPr>
      </w:pPr>
      <w:r>
        <w:rPr>
          <w:rFonts w:hint="eastAsia" w:ascii="宋体" w:hAnsi="宋体"/>
          <w:bCs/>
          <w:color w:val="000000"/>
          <w:kern w:val="0"/>
          <w:sz w:val="36"/>
          <w:szCs w:val="36"/>
        </w:rPr>
        <w:t>运城市审计局行政权力清单和责任清单</w:t>
      </w:r>
    </w:p>
    <w:tbl>
      <w:tblPr>
        <w:tblStyle w:val="11"/>
        <w:tblW w:w="14547" w:type="dxa"/>
        <w:jc w:val="center"/>
        <w:tblCellSpacing w:w="0" w:type="dxa"/>
        <w:tblInd w:w="-11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37"/>
        <w:gridCol w:w="426"/>
        <w:gridCol w:w="341"/>
        <w:gridCol w:w="205"/>
        <w:gridCol w:w="283"/>
        <w:gridCol w:w="992"/>
        <w:gridCol w:w="2127"/>
        <w:gridCol w:w="9497"/>
        <w:gridCol w:w="43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0" w:hRule="atLeast"/>
          <w:tblCellSpacing w:w="0" w:type="dxa"/>
          <w:jc w:val="center"/>
        </w:trPr>
        <w:tc>
          <w:tcPr>
            <w:tcW w:w="237" w:type="dxa"/>
            <w:vMerge w:val="restart"/>
            <w:tcBorders>
              <w:top w:val="outset" w:color="auto" w:sz="6" w:space="0"/>
              <w:left w:val="single" w:color="auto" w:sz="4" w:space="0"/>
              <w:bottom w:val="outset" w:color="auto" w:sz="6" w:space="0"/>
              <w:right w:val="outset" w:color="auto" w:sz="6" w:space="0"/>
            </w:tcBorders>
            <w:vAlign w:val="center"/>
          </w:tcPr>
          <w:p>
            <w:pPr>
              <w:autoSpaceDN w:val="0"/>
              <w:spacing w:line="280" w:lineRule="exact"/>
              <w:jc w:val="center"/>
              <w:rPr>
                <w:rFonts w:ascii="宋体" w:hAnsi="宋体" w:cs="微软雅黑"/>
                <w:color w:val="333333"/>
                <w:sz w:val="18"/>
                <w:szCs w:val="18"/>
              </w:rPr>
            </w:pPr>
            <w:r>
              <w:rPr>
                <w:rFonts w:hint="eastAsia" w:ascii="宋体" w:hAnsi="宋体" w:cs="微软雅黑"/>
                <w:color w:val="333333"/>
                <w:sz w:val="18"/>
                <w:szCs w:val="18"/>
              </w:rPr>
              <w:t>序号</w:t>
            </w:r>
          </w:p>
        </w:tc>
        <w:tc>
          <w:tcPr>
            <w:tcW w:w="426" w:type="dxa"/>
            <w:vMerge w:val="restart"/>
            <w:tcBorders>
              <w:top w:val="outset" w:color="auto" w:sz="6" w:space="0"/>
              <w:left w:val="outset" w:color="auto" w:sz="6" w:space="0"/>
              <w:bottom w:val="outset" w:color="auto" w:sz="6" w:space="0"/>
              <w:right w:val="outset" w:color="auto" w:sz="6" w:space="0"/>
            </w:tcBorders>
            <w:vAlign w:val="center"/>
          </w:tcPr>
          <w:p>
            <w:pPr>
              <w:autoSpaceDN w:val="0"/>
              <w:spacing w:line="280" w:lineRule="exact"/>
              <w:jc w:val="center"/>
              <w:rPr>
                <w:rFonts w:ascii="宋体" w:hAnsi="宋体" w:cs="微软雅黑"/>
                <w:color w:val="333333"/>
                <w:sz w:val="18"/>
                <w:szCs w:val="18"/>
              </w:rPr>
            </w:pPr>
            <w:r>
              <w:rPr>
                <w:rFonts w:hint="eastAsia" w:ascii="宋体" w:hAnsi="宋体" w:cs="微软雅黑"/>
                <w:color w:val="333333"/>
                <w:sz w:val="18"/>
                <w:szCs w:val="18"/>
              </w:rPr>
              <w:t>职权</w:t>
            </w:r>
            <w:r>
              <w:rPr>
                <w:rFonts w:hint="eastAsia" w:ascii="宋体" w:hAnsi="宋体" w:cs="微软雅黑"/>
                <w:color w:val="333333"/>
                <w:sz w:val="18"/>
                <w:szCs w:val="18"/>
              </w:rPr>
              <w:br w:type="textWrapping"/>
            </w:r>
            <w:r>
              <w:rPr>
                <w:rFonts w:hint="eastAsia" w:ascii="宋体" w:hAnsi="宋体" w:cs="微软雅黑"/>
                <w:color w:val="333333"/>
                <w:sz w:val="18"/>
                <w:szCs w:val="18"/>
              </w:rPr>
              <w:t>类型</w:t>
            </w:r>
          </w:p>
        </w:tc>
        <w:tc>
          <w:tcPr>
            <w:tcW w:w="341" w:type="dxa"/>
            <w:vMerge w:val="restart"/>
            <w:tcBorders>
              <w:top w:val="outset" w:color="auto" w:sz="6" w:space="0"/>
              <w:left w:val="outset" w:color="auto" w:sz="6" w:space="0"/>
              <w:bottom w:val="outset" w:color="auto" w:sz="6" w:space="0"/>
              <w:right w:val="outset" w:color="auto" w:sz="6" w:space="0"/>
            </w:tcBorders>
            <w:vAlign w:val="top"/>
          </w:tcPr>
          <w:p>
            <w:pPr>
              <w:autoSpaceDN w:val="0"/>
              <w:spacing w:line="280" w:lineRule="exact"/>
              <w:jc w:val="center"/>
              <w:rPr>
                <w:rFonts w:ascii="宋体" w:hAnsi="宋体" w:cs="微软雅黑"/>
                <w:color w:val="333333"/>
                <w:sz w:val="18"/>
                <w:szCs w:val="18"/>
              </w:rPr>
            </w:pPr>
            <w:r>
              <w:rPr>
                <w:rFonts w:hint="eastAsia" w:ascii="宋体" w:hAnsi="宋体" w:cs="微软雅黑"/>
                <w:color w:val="333333"/>
                <w:sz w:val="18"/>
                <w:szCs w:val="18"/>
              </w:rPr>
              <w:t>职权</w:t>
            </w:r>
          </w:p>
          <w:p>
            <w:pPr>
              <w:autoSpaceDN w:val="0"/>
              <w:spacing w:line="280" w:lineRule="exact"/>
              <w:jc w:val="center"/>
              <w:rPr>
                <w:rFonts w:ascii="宋体" w:hAnsi="宋体" w:cs="微软雅黑"/>
                <w:color w:val="333333"/>
                <w:sz w:val="18"/>
                <w:szCs w:val="18"/>
              </w:rPr>
            </w:pPr>
            <w:r>
              <w:rPr>
                <w:rFonts w:hint="eastAsia" w:ascii="宋体" w:hAnsi="宋体" w:cs="微软雅黑"/>
                <w:color w:val="333333"/>
                <w:sz w:val="18"/>
                <w:szCs w:val="18"/>
              </w:rPr>
              <w:t>编码</w:t>
            </w:r>
          </w:p>
        </w:tc>
        <w:tc>
          <w:tcPr>
            <w:tcW w:w="488" w:type="dxa"/>
            <w:gridSpan w:val="2"/>
            <w:tcBorders>
              <w:top w:val="outset" w:color="auto" w:sz="6" w:space="0"/>
              <w:left w:val="outset" w:color="auto" w:sz="6" w:space="0"/>
              <w:bottom w:val="outset" w:color="auto" w:sz="6" w:space="0"/>
              <w:right w:val="outset" w:color="auto" w:sz="6" w:space="0"/>
            </w:tcBorders>
            <w:vAlign w:val="center"/>
          </w:tcPr>
          <w:p>
            <w:pPr>
              <w:autoSpaceDN w:val="0"/>
              <w:spacing w:line="280" w:lineRule="exact"/>
              <w:jc w:val="center"/>
              <w:rPr>
                <w:rFonts w:ascii="宋体" w:hAnsi="宋体" w:cs="微软雅黑"/>
                <w:color w:val="333333"/>
                <w:sz w:val="18"/>
                <w:szCs w:val="18"/>
              </w:rPr>
            </w:pPr>
            <w:r>
              <w:rPr>
                <w:rFonts w:hint="eastAsia" w:ascii="宋体" w:hAnsi="宋体" w:cs="微软雅黑"/>
                <w:color w:val="333333"/>
                <w:sz w:val="18"/>
                <w:szCs w:val="18"/>
              </w:rPr>
              <w:t>职权名称</w:t>
            </w:r>
          </w:p>
        </w:tc>
        <w:tc>
          <w:tcPr>
            <w:tcW w:w="992" w:type="dxa"/>
            <w:vMerge w:val="restart"/>
            <w:tcBorders>
              <w:top w:val="outset" w:color="auto" w:sz="6" w:space="0"/>
              <w:left w:val="outset" w:color="auto" w:sz="6" w:space="0"/>
              <w:bottom w:val="outset" w:color="auto" w:sz="6" w:space="0"/>
              <w:right w:val="outset" w:color="auto" w:sz="6" w:space="0"/>
            </w:tcBorders>
            <w:vAlign w:val="center"/>
          </w:tcPr>
          <w:p>
            <w:pPr>
              <w:autoSpaceDN w:val="0"/>
              <w:spacing w:line="280" w:lineRule="exact"/>
              <w:jc w:val="center"/>
              <w:rPr>
                <w:rFonts w:ascii="宋体" w:hAnsi="宋体" w:cs="微软雅黑"/>
                <w:color w:val="333333"/>
                <w:sz w:val="18"/>
                <w:szCs w:val="18"/>
              </w:rPr>
            </w:pPr>
            <w:r>
              <w:rPr>
                <w:rFonts w:hint="eastAsia" w:ascii="宋体" w:hAnsi="宋体" w:cs="微软雅黑"/>
                <w:color w:val="333333"/>
                <w:sz w:val="18"/>
                <w:szCs w:val="18"/>
              </w:rPr>
              <w:t>实施依据</w:t>
            </w:r>
          </w:p>
        </w:tc>
        <w:tc>
          <w:tcPr>
            <w:tcW w:w="2127" w:type="dxa"/>
            <w:vMerge w:val="restart"/>
            <w:tcBorders>
              <w:top w:val="outset" w:color="auto" w:sz="6" w:space="0"/>
              <w:left w:val="outset" w:color="auto" w:sz="6" w:space="0"/>
              <w:bottom w:val="outset" w:color="auto" w:sz="6" w:space="0"/>
              <w:right w:val="outset" w:color="auto" w:sz="6" w:space="0"/>
            </w:tcBorders>
            <w:vAlign w:val="center"/>
          </w:tcPr>
          <w:p>
            <w:pPr>
              <w:autoSpaceDN w:val="0"/>
              <w:spacing w:line="280" w:lineRule="exact"/>
              <w:jc w:val="center"/>
              <w:rPr>
                <w:rFonts w:ascii="宋体" w:hAnsi="宋体" w:cs="微软雅黑"/>
                <w:color w:val="333333"/>
                <w:sz w:val="18"/>
                <w:szCs w:val="18"/>
              </w:rPr>
            </w:pPr>
            <w:r>
              <w:rPr>
                <w:rFonts w:hint="eastAsia" w:ascii="宋体" w:hAnsi="宋体" w:cs="微软雅黑"/>
                <w:color w:val="333333"/>
                <w:sz w:val="18"/>
                <w:szCs w:val="18"/>
              </w:rPr>
              <w:t>责任事项</w:t>
            </w:r>
          </w:p>
        </w:tc>
        <w:tc>
          <w:tcPr>
            <w:tcW w:w="9497" w:type="dxa"/>
            <w:vMerge w:val="restart"/>
            <w:tcBorders>
              <w:top w:val="outset" w:color="auto" w:sz="6" w:space="0"/>
              <w:left w:val="outset" w:color="auto" w:sz="6" w:space="0"/>
              <w:bottom w:val="outset" w:color="auto" w:sz="6" w:space="0"/>
              <w:right w:val="outset" w:color="auto" w:sz="6" w:space="0"/>
            </w:tcBorders>
            <w:vAlign w:val="center"/>
          </w:tcPr>
          <w:p>
            <w:pPr>
              <w:autoSpaceDN w:val="0"/>
              <w:spacing w:line="280" w:lineRule="exact"/>
              <w:jc w:val="center"/>
              <w:rPr>
                <w:rFonts w:ascii="宋体" w:hAnsi="宋体" w:cs="微软雅黑"/>
                <w:color w:val="333333"/>
                <w:sz w:val="18"/>
                <w:szCs w:val="18"/>
              </w:rPr>
            </w:pPr>
            <w:r>
              <w:rPr>
                <w:rFonts w:hint="eastAsia" w:ascii="宋体" w:hAnsi="宋体" w:cs="微软雅黑"/>
                <w:color w:val="333333"/>
                <w:sz w:val="18"/>
                <w:szCs w:val="18"/>
              </w:rPr>
              <w:t>责任事项依据</w:t>
            </w:r>
          </w:p>
        </w:tc>
        <w:tc>
          <w:tcPr>
            <w:tcW w:w="439" w:type="dxa"/>
            <w:vMerge w:val="restart"/>
            <w:tcBorders>
              <w:top w:val="outset" w:color="auto" w:sz="6" w:space="0"/>
              <w:left w:val="outset" w:color="auto" w:sz="6" w:space="0"/>
              <w:bottom w:val="outset" w:color="auto" w:sz="6" w:space="0"/>
              <w:right w:val="nil"/>
            </w:tcBorders>
            <w:vAlign w:val="center"/>
          </w:tcPr>
          <w:p>
            <w:pPr>
              <w:autoSpaceDN w:val="0"/>
              <w:spacing w:line="280" w:lineRule="exact"/>
              <w:jc w:val="center"/>
              <w:rPr>
                <w:rFonts w:ascii="宋体" w:hAnsi="宋体" w:cs="微软雅黑"/>
                <w:color w:val="333333"/>
                <w:sz w:val="18"/>
                <w:szCs w:val="18"/>
              </w:rPr>
            </w:pPr>
            <w:r>
              <w:rPr>
                <w:rFonts w:hint="eastAsia" w:ascii="宋体" w:hAnsi="宋体" w:cs="微软雅黑"/>
                <w:color w:val="333333"/>
                <w:sz w:val="18"/>
                <w:szCs w:val="18"/>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3" w:hRule="atLeast"/>
          <w:tblCellSpacing w:w="0" w:type="dxa"/>
          <w:jc w:val="center"/>
        </w:trPr>
        <w:tc>
          <w:tcPr>
            <w:tcW w:w="237" w:type="dxa"/>
            <w:vMerge w:val="continue"/>
            <w:tcBorders>
              <w:top w:val="outset" w:color="auto" w:sz="6" w:space="0"/>
              <w:left w:val="single" w:color="auto" w:sz="4" w:space="0"/>
              <w:bottom w:val="outset" w:color="auto" w:sz="6" w:space="0"/>
              <w:right w:val="outset" w:color="auto" w:sz="6" w:space="0"/>
            </w:tcBorders>
            <w:vAlign w:val="center"/>
          </w:tcPr>
          <w:p>
            <w:pPr>
              <w:spacing w:line="280" w:lineRule="exact"/>
              <w:jc w:val="left"/>
              <w:rPr>
                <w:rFonts w:ascii="宋体" w:hAnsi="宋体" w:cs="微软雅黑"/>
                <w:color w:val="333333"/>
                <w:sz w:val="18"/>
                <w:szCs w:val="18"/>
              </w:rPr>
            </w:pPr>
          </w:p>
        </w:tc>
        <w:tc>
          <w:tcPr>
            <w:tcW w:w="426" w:type="dxa"/>
            <w:vMerge w:val="continue"/>
            <w:tcBorders>
              <w:top w:val="outset" w:color="auto" w:sz="6" w:space="0"/>
              <w:left w:val="outset" w:color="auto" w:sz="6" w:space="0"/>
              <w:bottom w:val="outset" w:color="auto" w:sz="6" w:space="0"/>
              <w:right w:val="outset" w:color="auto" w:sz="6" w:space="0"/>
            </w:tcBorders>
            <w:vAlign w:val="center"/>
          </w:tcPr>
          <w:p>
            <w:pPr>
              <w:spacing w:line="280" w:lineRule="exact"/>
              <w:jc w:val="left"/>
              <w:rPr>
                <w:rFonts w:ascii="宋体" w:hAnsi="宋体" w:cs="微软雅黑"/>
                <w:color w:val="333333"/>
                <w:sz w:val="18"/>
                <w:szCs w:val="18"/>
              </w:rPr>
            </w:pPr>
          </w:p>
        </w:tc>
        <w:tc>
          <w:tcPr>
            <w:tcW w:w="341" w:type="dxa"/>
            <w:vMerge w:val="continue"/>
            <w:tcBorders>
              <w:top w:val="outset" w:color="auto" w:sz="6" w:space="0"/>
              <w:left w:val="outset" w:color="auto" w:sz="6" w:space="0"/>
              <w:bottom w:val="outset" w:color="auto" w:sz="6" w:space="0"/>
              <w:right w:val="outset" w:color="auto" w:sz="6" w:space="0"/>
            </w:tcBorders>
            <w:vAlign w:val="center"/>
          </w:tcPr>
          <w:p>
            <w:pPr>
              <w:spacing w:line="280" w:lineRule="exact"/>
              <w:jc w:val="left"/>
              <w:rPr>
                <w:rFonts w:ascii="宋体" w:hAnsi="宋体" w:cs="微软雅黑"/>
                <w:color w:val="333333"/>
                <w:sz w:val="18"/>
                <w:szCs w:val="18"/>
              </w:rPr>
            </w:pPr>
          </w:p>
        </w:tc>
        <w:tc>
          <w:tcPr>
            <w:tcW w:w="205" w:type="dxa"/>
            <w:tcBorders>
              <w:top w:val="outset" w:color="auto" w:sz="6" w:space="0"/>
              <w:left w:val="outset" w:color="auto" w:sz="6" w:space="0"/>
              <w:bottom w:val="outset" w:color="auto" w:sz="6" w:space="0"/>
              <w:right w:val="outset" w:color="auto" w:sz="6" w:space="0"/>
            </w:tcBorders>
            <w:vAlign w:val="center"/>
          </w:tcPr>
          <w:p>
            <w:pPr>
              <w:autoSpaceDN w:val="0"/>
              <w:spacing w:line="280" w:lineRule="exact"/>
              <w:jc w:val="center"/>
              <w:rPr>
                <w:rFonts w:ascii="宋体" w:hAnsi="宋体" w:cs="微软雅黑"/>
                <w:color w:val="333333"/>
                <w:sz w:val="18"/>
                <w:szCs w:val="18"/>
              </w:rPr>
            </w:pPr>
            <w:r>
              <w:rPr>
                <w:rFonts w:hint="eastAsia" w:ascii="宋体" w:hAnsi="宋体" w:cs="微软雅黑"/>
                <w:color w:val="333333"/>
                <w:sz w:val="18"/>
                <w:szCs w:val="18"/>
              </w:rPr>
              <w:t>项目</w:t>
            </w:r>
          </w:p>
        </w:tc>
        <w:tc>
          <w:tcPr>
            <w:tcW w:w="283" w:type="dxa"/>
            <w:tcBorders>
              <w:top w:val="outset" w:color="auto" w:sz="6" w:space="0"/>
              <w:left w:val="outset" w:color="auto" w:sz="6" w:space="0"/>
              <w:bottom w:val="outset" w:color="auto" w:sz="6" w:space="0"/>
              <w:right w:val="outset" w:color="auto" w:sz="6" w:space="0"/>
            </w:tcBorders>
            <w:vAlign w:val="center"/>
          </w:tcPr>
          <w:p>
            <w:pPr>
              <w:autoSpaceDN w:val="0"/>
              <w:spacing w:line="280" w:lineRule="exact"/>
              <w:jc w:val="center"/>
              <w:rPr>
                <w:rFonts w:ascii="宋体" w:hAnsi="宋体" w:cs="微软雅黑"/>
                <w:color w:val="333333"/>
                <w:sz w:val="18"/>
                <w:szCs w:val="18"/>
              </w:rPr>
            </w:pPr>
            <w:r>
              <w:rPr>
                <w:rFonts w:hint="eastAsia" w:ascii="宋体" w:hAnsi="宋体" w:cs="微软雅黑"/>
                <w:color w:val="333333"/>
                <w:sz w:val="18"/>
                <w:szCs w:val="18"/>
              </w:rPr>
              <w:t>子项</w:t>
            </w:r>
          </w:p>
        </w:tc>
        <w:tc>
          <w:tcPr>
            <w:tcW w:w="992" w:type="dxa"/>
            <w:vMerge w:val="continue"/>
            <w:tcBorders>
              <w:top w:val="outset" w:color="auto" w:sz="6" w:space="0"/>
              <w:left w:val="outset" w:color="auto" w:sz="6" w:space="0"/>
              <w:bottom w:val="outset" w:color="auto" w:sz="6" w:space="0"/>
              <w:right w:val="outset" w:color="auto" w:sz="6" w:space="0"/>
            </w:tcBorders>
            <w:vAlign w:val="center"/>
          </w:tcPr>
          <w:p>
            <w:pPr>
              <w:spacing w:line="280" w:lineRule="exact"/>
              <w:jc w:val="left"/>
              <w:rPr>
                <w:rFonts w:ascii="宋体" w:hAnsi="宋体" w:cs="微软雅黑"/>
                <w:color w:val="333333"/>
                <w:sz w:val="18"/>
                <w:szCs w:val="18"/>
              </w:rPr>
            </w:pPr>
          </w:p>
        </w:tc>
        <w:tc>
          <w:tcPr>
            <w:tcW w:w="2127" w:type="dxa"/>
            <w:vMerge w:val="continue"/>
            <w:tcBorders>
              <w:top w:val="outset" w:color="auto" w:sz="6" w:space="0"/>
              <w:left w:val="outset" w:color="auto" w:sz="6" w:space="0"/>
              <w:bottom w:val="outset" w:color="auto" w:sz="6" w:space="0"/>
              <w:right w:val="outset" w:color="auto" w:sz="6" w:space="0"/>
            </w:tcBorders>
            <w:vAlign w:val="center"/>
          </w:tcPr>
          <w:p>
            <w:pPr>
              <w:spacing w:line="280" w:lineRule="exact"/>
              <w:jc w:val="left"/>
              <w:rPr>
                <w:rFonts w:ascii="宋体" w:hAnsi="宋体" w:cs="微软雅黑"/>
                <w:color w:val="333333"/>
                <w:sz w:val="18"/>
                <w:szCs w:val="18"/>
              </w:rPr>
            </w:pPr>
          </w:p>
        </w:tc>
        <w:tc>
          <w:tcPr>
            <w:tcW w:w="9497" w:type="dxa"/>
            <w:vMerge w:val="continue"/>
            <w:tcBorders>
              <w:top w:val="outset" w:color="auto" w:sz="6" w:space="0"/>
              <w:left w:val="outset" w:color="auto" w:sz="6" w:space="0"/>
              <w:bottom w:val="outset" w:color="auto" w:sz="6" w:space="0"/>
              <w:right w:val="outset" w:color="auto" w:sz="6" w:space="0"/>
            </w:tcBorders>
            <w:vAlign w:val="center"/>
          </w:tcPr>
          <w:p>
            <w:pPr>
              <w:spacing w:line="280" w:lineRule="exact"/>
              <w:jc w:val="left"/>
              <w:rPr>
                <w:rFonts w:ascii="宋体" w:hAnsi="宋体" w:cs="微软雅黑"/>
                <w:color w:val="333333"/>
                <w:sz w:val="18"/>
                <w:szCs w:val="18"/>
              </w:rPr>
            </w:pPr>
          </w:p>
        </w:tc>
        <w:tc>
          <w:tcPr>
            <w:tcW w:w="439" w:type="dxa"/>
            <w:vMerge w:val="continue"/>
            <w:tcBorders>
              <w:top w:val="outset" w:color="auto" w:sz="6" w:space="0"/>
              <w:left w:val="outset" w:color="auto" w:sz="6" w:space="0"/>
              <w:bottom w:val="outset" w:color="auto" w:sz="6" w:space="0"/>
              <w:right w:val="nil"/>
            </w:tcBorders>
            <w:vAlign w:val="center"/>
          </w:tcPr>
          <w:p>
            <w:pPr>
              <w:spacing w:line="280" w:lineRule="exact"/>
              <w:jc w:val="left"/>
              <w:rPr>
                <w:rFonts w:ascii="宋体" w:hAnsi="宋体" w:cs="微软雅黑"/>
                <w:color w:val="333333"/>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395" w:hRule="atLeast"/>
          <w:tblCellSpacing w:w="0" w:type="dxa"/>
          <w:jc w:val="center"/>
        </w:trPr>
        <w:tc>
          <w:tcPr>
            <w:tcW w:w="237" w:type="dxa"/>
            <w:tcBorders>
              <w:top w:val="outset" w:color="auto" w:sz="6" w:space="0"/>
              <w:left w:val="single" w:color="auto" w:sz="4" w:space="0"/>
              <w:bottom w:val="outset" w:color="auto" w:sz="6" w:space="0"/>
              <w:right w:val="outset" w:color="auto" w:sz="6" w:space="0"/>
            </w:tcBorders>
            <w:vAlign w:val="center"/>
          </w:tcPr>
          <w:p>
            <w:pPr>
              <w:autoSpaceDN w:val="0"/>
              <w:spacing w:line="280" w:lineRule="exact"/>
              <w:jc w:val="center"/>
              <w:rPr>
                <w:rFonts w:ascii="宋体" w:hAnsi="宋体" w:cs="微软雅黑"/>
                <w:color w:val="333333"/>
                <w:sz w:val="16"/>
                <w:szCs w:val="16"/>
              </w:rPr>
            </w:pPr>
            <w:r>
              <w:rPr>
                <w:rFonts w:hint="eastAsia" w:ascii="宋体" w:hAnsi="宋体" w:cs="微软雅黑"/>
                <w:color w:val="333333"/>
                <w:sz w:val="16"/>
                <w:szCs w:val="16"/>
              </w:rPr>
              <w:t>1</w:t>
            </w:r>
          </w:p>
        </w:tc>
        <w:tc>
          <w:tcPr>
            <w:tcW w:w="426" w:type="dxa"/>
            <w:tcBorders>
              <w:top w:val="outset" w:color="auto" w:sz="6" w:space="0"/>
              <w:left w:val="single" w:color="auto" w:sz="4" w:space="0"/>
              <w:bottom w:val="outset" w:color="auto" w:sz="6" w:space="0"/>
              <w:right w:val="outset" w:color="auto" w:sz="6" w:space="0"/>
            </w:tcBorders>
            <w:vAlign w:val="center"/>
          </w:tcPr>
          <w:p>
            <w:pPr>
              <w:autoSpaceDN w:val="0"/>
              <w:spacing w:line="280" w:lineRule="exact"/>
              <w:jc w:val="center"/>
              <w:rPr>
                <w:rFonts w:ascii="宋体" w:hAnsi="宋体" w:cs="微软雅黑"/>
                <w:color w:val="333333"/>
                <w:sz w:val="16"/>
                <w:szCs w:val="16"/>
              </w:rPr>
            </w:pPr>
            <w:r>
              <w:rPr>
                <w:rFonts w:hint="eastAsia" w:ascii="宋体" w:hAnsi="宋体" w:cs="微软雅黑"/>
                <w:color w:val="333333"/>
                <w:sz w:val="16"/>
                <w:szCs w:val="16"/>
              </w:rPr>
              <w:t>行政</w:t>
            </w:r>
            <w:r>
              <w:rPr>
                <w:rFonts w:hint="eastAsia" w:ascii="宋体" w:hAnsi="宋体" w:cs="微软雅黑"/>
                <w:color w:val="333333"/>
                <w:sz w:val="16"/>
                <w:szCs w:val="16"/>
              </w:rPr>
              <w:br w:type="textWrapping"/>
            </w:r>
            <w:r>
              <w:rPr>
                <w:rFonts w:hint="eastAsia" w:ascii="宋体" w:hAnsi="宋体" w:cs="微软雅黑"/>
                <w:color w:val="333333"/>
                <w:sz w:val="16"/>
                <w:szCs w:val="16"/>
              </w:rPr>
              <w:t>处罚</w:t>
            </w:r>
          </w:p>
        </w:tc>
        <w:tc>
          <w:tcPr>
            <w:tcW w:w="341" w:type="dxa"/>
            <w:tcBorders>
              <w:top w:val="outset" w:color="auto" w:sz="6" w:space="0"/>
              <w:left w:val="outset" w:color="auto" w:sz="6" w:space="0"/>
              <w:bottom w:val="outset" w:color="auto" w:sz="6" w:space="0"/>
              <w:right w:val="outset" w:color="auto" w:sz="6" w:space="0"/>
            </w:tcBorders>
            <w:vAlign w:val="top"/>
          </w:tcPr>
          <w:p>
            <w:pPr>
              <w:autoSpaceDN w:val="0"/>
              <w:spacing w:line="280" w:lineRule="exact"/>
              <w:rPr>
                <w:rFonts w:ascii="宋体" w:hAnsi="宋体" w:cs="微软雅黑"/>
                <w:color w:val="333333"/>
                <w:sz w:val="16"/>
                <w:szCs w:val="16"/>
              </w:rPr>
            </w:pPr>
          </w:p>
        </w:tc>
        <w:tc>
          <w:tcPr>
            <w:tcW w:w="488" w:type="dxa"/>
            <w:gridSpan w:val="2"/>
            <w:tcBorders>
              <w:top w:val="outset" w:color="auto" w:sz="6" w:space="0"/>
              <w:left w:val="outset" w:color="auto" w:sz="6" w:space="0"/>
              <w:bottom w:val="outset" w:color="auto" w:sz="6" w:space="0"/>
              <w:right w:val="outset" w:color="auto" w:sz="6" w:space="0"/>
            </w:tcBorders>
            <w:vAlign w:val="center"/>
          </w:tcPr>
          <w:p>
            <w:pPr>
              <w:autoSpaceDN w:val="0"/>
              <w:spacing w:line="280" w:lineRule="exact"/>
              <w:jc w:val="left"/>
              <w:rPr>
                <w:rFonts w:ascii="宋体" w:hAnsi="宋体" w:cs="微软雅黑"/>
                <w:color w:val="333333"/>
                <w:sz w:val="16"/>
                <w:szCs w:val="16"/>
              </w:rPr>
            </w:pPr>
            <w:r>
              <w:rPr>
                <w:rFonts w:hint="eastAsia" w:ascii="宋体" w:hAnsi="宋体" w:cs="微软雅黑"/>
                <w:color w:val="333333"/>
                <w:sz w:val="16"/>
                <w:szCs w:val="16"/>
              </w:rPr>
              <w:t>对拒绝、拖延提供与审计事项有关的资料，或者提供的资料不真实、不完整，或者拒绝、阻碍检查的处罚</w:t>
            </w:r>
          </w:p>
        </w:tc>
        <w:tc>
          <w:tcPr>
            <w:tcW w:w="992" w:type="dxa"/>
            <w:tcBorders>
              <w:top w:val="outset" w:color="auto" w:sz="6" w:space="0"/>
              <w:left w:val="outset" w:color="auto" w:sz="6" w:space="0"/>
              <w:bottom w:val="outset" w:color="auto" w:sz="6" w:space="0"/>
              <w:right w:val="outset" w:color="auto" w:sz="6" w:space="0"/>
            </w:tcBorders>
            <w:vAlign w:val="center"/>
          </w:tcPr>
          <w:p>
            <w:pPr>
              <w:autoSpaceDN w:val="0"/>
              <w:spacing w:line="280" w:lineRule="exact"/>
              <w:jc w:val="left"/>
              <w:rPr>
                <w:rFonts w:ascii="宋体" w:hAnsi="宋体" w:cs="微软雅黑"/>
                <w:color w:val="333333"/>
                <w:sz w:val="16"/>
                <w:szCs w:val="16"/>
              </w:rPr>
            </w:pPr>
            <w:r>
              <w:rPr>
                <w:rFonts w:hint="eastAsia" w:ascii="宋体" w:hAnsi="宋体" w:cs="微软雅黑"/>
                <w:color w:val="333333"/>
                <w:sz w:val="16"/>
                <w:szCs w:val="16"/>
              </w:rPr>
              <w:t xml:space="preserve">【行政法规】《中华人民共和国审计法实施条例》第四十七条：对被审计单位违反审计法和本条例的规定，拒绝、拖延提供与审计事项有关的资料的，或者提供的资料不真实、不完整，或者拒绝、阻碍检查的，由审计机关责令改正，可以通报批评，给予警告；拒不改正的，对被审     </w:t>
            </w:r>
          </w:p>
        </w:tc>
        <w:tc>
          <w:tcPr>
            <w:tcW w:w="2127" w:type="dxa"/>
            <w:tcBorders>
              <w:top w:val="outset" w:color="auto" w:sz="6" w:space="0"/>
              <w:left w:val="outset" w:color="auto" w:sz="6" w:space="0"/>
              <w:bottom w:val="outset" w:color="auto" w:sz="6" w:space="0"/>
              <w:right w:val="outset" w:color="auto" w:sz="6" w:space="0"/>
            </w:tcBorders>
            <w:vAlign w:val="center"/>
          </w:tcPr>
          <w:p>
            <w:pPr>
              <w:autoSpaceDN w:val="0"/>
              <w:spacing w:line="280" w:lineRule="exact"/>
              <w:rPr>
                <w:rFonts w:ascii="宋体" w:hAnsi="宋体" w:cs="微软雅黑"/>
                <w:color w:val="333333"/>
                <w:sz w:val="16"/>
                <w:szCs w:val="16"/>
              </w:rPr>
            </w:pPr>
            <w:r>
              <w:rPr>
                <w:rFonts w:hint="eastAsia" w:ascii="宋体" w:hAnsi="宋体" w:cs="微软雅黑"/>
                <w:color w:val="333333"/>
                <w:sz w:val="16"/>
                <w:szCs w:val="16"/>
              </w:rPr>
              <w:t>3.审核责任：审计机关派出审计组、审计组所在部门、审理部门应当对违法事实、证据、审计程序、法律适用、处罚幅度，以及被审计单位和有关人员申辩、陈述和被审计单位反馈意见等进行审核、复核、审理。</w:t>
            </w:r>
            <w:r>
              <w:rPr>
                <w:rFonts w:hint="eastAsia" w:ascii="宋体" w:hAnsi="宋体" w:cs="微软雅黑"/>
                <w:color w:val="333333"/>
                <w:sz w:val="16"/>
                <w:szCs w:val="16"/>
              </w:rPr>
              <w:br w:type="textWrapping"/>
            </w:r>
            <w:r>
              <w:rPr>
                <w:rFonts w:hint="eastAsia" w:ascii="宋体" w:hAnsi="宋体" w:cs="微软雅黑"/>
                <w:color w:val="333333"/>
                <w:sz w:val="16"/>
                <w:szCs w:val="16"/>
              </w:rPr>
              <w:t>4.告知责任：审计机关在做出较大数额罚款的处罚决定前，应当书面告知被审计单位和有关人员有要求举行听证的权利。</w:t>
            </w:r>
            <w:r>
              <w:rPr>
                <w:rFonts w:hint="eastAsia" w:ascii="宋体" w:hAnsi="宋体" w:cs="微软雅黑"/>
                <w:color w:val="333333"/>
                <w:sz w:val="16"/>
                <w:szCs w:val="16"/>
              </w:rPr>
              <w:br w:type="textWrapping"/>
            </w:r>
            <w:r>
              <w:rPr>
                <w:rFonts w:hint="eastAsia" w:ascii="宋体" w:hAnsi="宋体" w:cs="微软雅黑"/>
                <w:color w:val="333333"/>
                <w:sz w:val="16"/>
                <w:szCs w:val="16"/>
              </w:rPr>
              <w:t>5.决定责任：审计机关根据审核、复核、审理情况，采取厅长审定和厅审计业务会议审定相结合的原则；需要厅业务会议审定的事项，上会研究审定；特殊情况下，经审计机关主要负责人（或者授权审计机关其他负责人）审定。依法需要给予审计处罚的，应制作审计处罚决定书，并告知申请行政复议、提起行政诉讼或者提请政</w:t>
            </w:r>
          </w:p>
        </w:tc>
        <w:tc>
          <w:tcPr>
            <w:tcW w:w="9497" w:type="dxa"/>
            <w:tcBorders>
              <w:top w:val="outset" w:color="auto" w:sz="6" w:space="0"/>
              <w:left w:val="outset" w:color="auto" w:sz="6" w:space="0"/>
              <w:bottom w:val="outset" w:color="auto" w:sz="6" w:space="0"/>
              <w:right w:val="outset" w:color="auto" w:sz="6" w:space="0"/>
            </w:tcBorders>
            <w:vAlign w:val="center"/>
          </w:tcPr>
          <w:p>
            <w:pPr>
              <w:autoSpaceDN w:val="0"/>
              <w:spacing w:line="280" w:lineRule="exact"/>
              <w:jc w:val="left"/>
              <w:rPr>
                <w:rFonts w:ascii="宋体" w:hAnsi="宋体" w:cs="微软雅黑"/>
                <w:color w:val="333333"/>
                <w:sz w:val="16"/>
                <w:szCs w:val="16"/>
              </w:rPr>
            </w:pPr>
            <w:r>
              <w:rPr>
                <w:rFonts w:hint="eastAsia" w:ascii="宋体" w:hAnsi="宋体" w:cs="微软雅黑"/>
                <w:color w:val="333333"/>
                <w:sz w:val="16"/>
                <w:szCs w:val="16"/>
              </w:rPr>
              <w:t>《审计法》第十三条　审计人员办理审计事项，与被审计单位或者审计事项有利害关系的，应当回避。</w:t>
            </w:r>
          </w:p>
          <w:p>
            <w:pPr>
              <w:autoSpaceDN w:val="0"/>
              <w:spacing w:line="280" w:lineRule="exact"/>
              <w:jc w:val="left"/>
              <w:rPr>
                <w:rFonts w:ascii="宋体" w:hAnsi="宋体" w:cs="微软雅黑"/>
                <w:color w:val="333333"/>
                <w:sz w:val="16"/>
                <w:szCs w:val="16"/>
              </w:rPr>
            </w:pPr>
            <w:r>
              <w:rPr>
                <w:rFonts w:hint="eastAsia" w:ascii="宋体" w:hAnsi="宋体" w:cs="微软雅黑"/>
                <w:color w:val="333333"/>
                <w:sz w:val="16"/>
                <w:szCs w:val="16"/>
              </w:rPr>
              <w:t>第三十八条　审计机关根据审计项目计划确定的审计事项组成审计组，并应当在实施审计三日前，向被审计单位送达审计通知书；遇有特殊情况，经本级人民政府批准，审计机关可以直接持审计通知书实施审计。</w:t>
            </w:r>
            <w:r>
              <w:rPr>
                <w:rFonts w:hint="eastAsia" w:ascii="宋体" w:hAnsi="宋体" w:cs="微软雅黑"/>
                <w:color w:val="333333"/>
                <w:sz w:val="16"/>
                <w:szCs w:val="16"/>
              </w:rPr>
              <w:br w:type="textWrapping"/>
            </w:r>
            <w:r>
              <w:rPr>
                <w:rFonts w:hint="eastAsia" w:ascii="宋体" w:hAnsi="宋体" w:cs="微软雅黑"/>
                <w:color w:val="333333"/>
                <w:sz w:val="16"/>
                <w:szCs w:val="16"/>
              </w:rPr>
              <w:t>第四十条　审计组对审计事项实施审计后，应当向审计机关提出审计组的审计报告。审计组的审计报告报送审计机关前，应当征求被审计对象的意见。被审计对象应当自接到审计组的审计报告之日起十日内，将其书面意见送交审计组。审计组应当将被审计对象的书面意见一并报送审计机关。</w:t>
            </w:r>
          </w:p>
          <w:p>
            <w:pPr>
              <w:autoSpaceDN w:val="0"/>
              <w:spacing w:line="280" w:lineRule="exact"/>
              <w:jc w:val="left"/>
              <w:rPr>
                <w:rFonts w:ascii="宋体" w:hAnsi="宋体" w:cs="微软雅黑"/>
                <w:color w:val="333333"/>
                <w:sz w:val="16"/>
                <w:szCs w:val="16"/>
              </w:rPr>
            </w:pPr>
            <w:r>
              <w:rPr>
                <w:rFonts w:hint="eastAsia" w:ascii="宋体" w:hAnsi="宋体" w:cs="微软雅黑"/>
                <w:color w:val="333333"/>
                <w:sz w:val="16"/>
                <w:szCs w:val="16"/>
              </w:rPr>
              <w:t>第四十一条　审计机关按照审计署规定的程序对审计组的审计报告进行审议，并对被审计对象对审计组的审计报告提出的意见一并研究后，提出审计机关的审计报告；对违反国家规定的财政收支、财务收支行为，依法应当给予处理、处罚的，在法定职权范围内作出审计决定或者向有关主管机关提出处理、处罚的意见。</w:t>
            </w:r>
          </w:p>
          <w:p>
            <w:pPr>
              <w:autoSpaceDN w:val="0"/>
              <w:spacing w:line="280" w:lineRule="exact"/>
              <w:jc w:val="left"/>
              <w:rPr>
                <w:rFonts w:ascii="宋体" w:hAnsi="宋体" w:cs="微软雅黑"/>
                <w:color w:val="333333"/>
                <w:sz w:val="16"/>
                <w:szCs w:val="16"/>
              </w:rPr>
            </w:pPr>
            <w:r>
              <w:rPr>
                <w:rFonts w:hint="eastAsia" w:ascii="宋体" w:hAnsi="宋体" w:cs="微软雅黑"/>
                <w:color w:val="333333"/>
                <w:sz w:val="16"/>
                <w:szCs w:val="16"/>
              </w:rPr>
              <w:t>第四十三条　被审计单位违反本法规定，拒绝或者拖延提供与审计事项有关的资料的，或者提供的资料不真实、不完整的，或者拒绝、阻碍检查的，由审计机关责令改正，可以通报批评，给予警告；拒不改正的，依法追究责任。</w:t>
            </w:r>
          </w:p>
          <w:p>
            <w:pPr>
              <w:autoSpaceDN w:val="0"/>
              <w:spacing w:line="280" w:lineRule="exact"/>
              <w:jc w:val="left"/>
              <w:rPr>
                <w:rFonts w:hint="eastAsia" w:ascii="宋体" w:hAnsi="宋体" w:cs="微软雅黑"/>
                <w:color w:val="333333"/>
                <w:sz w:val="16"/>
                <w:szCs w:val="16"/>
              </w:rPr>
            </w:pPr>
            <w:r>
              <w:rPr>
                <w:rFonts w:hint="eastAsia" w:ascii="宋体" w:hAnsi="宋体" w:cs="微软雅黑"/>
                <w:color w:val="333333"/>
                <w:sz w:val="16"/>
                <w:szCs w:val="16"/>
              </w:rPr>
              <w:t>第四十八条　被审计单位对审计机关作出的有关财务收支的审计决定不服的，可以依法申请行政复议或者提起行政诉讼。</w:t>
            </w:r>
          </w:p>
          <w:p>
            <w:pPr>
              <w:autoSpaceDN w:val="0"/>
              <w:spacing w:line="280" w:lineRule="exact"/>
              <w:jc w:val="left"/>
              <w:rPr>
                <w:rFonts w:hint="eastAsia" w:ascii="宋体" w:hAnsi="宋体" w:cs="微软雅黑"/>
                <w:color w:val="333333"/>
                <w:sz w:val="16"/>
                <w:szCs w:val="16"/>
              </w:rPr>
            </w:pPr>
            <w:r>
              <w:rPr>
                <w:rFonts w:hint="eastAsia" w:ascii="宋体" w:hAnsi="宋体" w:cs="微软雅黑"/>
                <w:color w:val="333333"/>
                <w:sz w:val="16"/>
                <w:szCs w:val="16"/>
              </w:rPr>
              <w:t>《审计法实施条例》第六条　任何单位和个人对依法应当接受审计机关审计监督的单位违反国家规定的财政收支、财务收支行为，有权向审计机关举报。审计机关接到举报，应当依法及时处理。</w:t>
            </w:r>
          </w:p>
          <w:p>
            <w:pPr>
              <w:autoSpaceDN w:val="0"/>
              <w:spacing w:line="280" w:lineRule="exact"/>
              <w:jc w:val="left"/>
              <w:rPr>
                <w:rFonts w:hint="eastAsia" w:ascii="宋体" w:hAnsi="宋体" w:cs="微软雅黑"/>
                <w:color w:val="333333"/>
                <w:sz w:val="16"/>
                <w:szCs w:val="16"/>
              </w:rPr>
            </w:pPr>
            <w:r>
              <w:rPr>
                <w:rFonts w:hint="eastAsia" w:ascii="宋体" w:hAnsi="宋体" w:cs="微软雅黑"/>
                <w:color w:val="333333"/>
                <w:sz w:val="16"/>
                <w:szCs w:val="16"/>
              </w:rPr>
              <w:t>第五十条　审计机关在作出较大数额罚款的处罚决定前，应当告知被审计单位和有关人员有要求举行听证的权利。较大数额罚款的具体标准由审计署规定。</w:t>
            </w:r>
          </w:p>
          <w:p>
            <w:pPr>
              <w:autoSpaceDN w:val="0"/>
              <w:spacing w:line="280" w:lineRule="exact"/>
              <w:jc w:val="left"/>
              <w:rPr>
                <w:rFonts w:hint="eastAsia" w:ascii="宋体" w:hAnsi="宋体" w:cs="微软雅黑"/>
                <w:color w:val="333333"/>
                <w:sz w:val="16"/>
                <w:szCs w:val="16"/>
              </w:rPr>
            </w:pPr>
            <w:r>
              <w:rPr>
                <w:rFonts w:hint="eastAsia" w:ascii="宋体" w:hAnsi="宋体" w:cs="微软雅黑"/>
                <w:color w:val="333333"/>
                <w:sz w:val="16"/>
                <w:szCs w:val="16"/>
              </w:rPr>
              <w:t xml:space="preserve">第五十四条　被审计单位应当将审计决定执行情况书面报告审计机关。审计机关应当检查审计决定的执行情况。   被审计单位不执行审计决定的，审计机关应当责令限期执行；逾期仍不执行的，审计机关可以申请人民法院强制执行，建议有关主管机关、单位对直接负责的主管人员和其他直接责任人员给予处分。 </w:t>
            </w:r>
            <w:r>
              <w:rPr>
                <w:rFonts w:hint="eastAsia" w:ascii="宋体" w:hAnsi="宋体" w:cs="微软雅黑"/>
                <w:color w:val="333333"/>
                <w:sz w:val="16"/>
                <w:szCs w:val="16"/>
              </w:rPr>
              <w:br w:type="textWrapping"/>
            </w:r>
            <w:r>
              <w:rPr>
                <w:rFonts w:hint="eastAsia" w:ascii="宋体" w:hAnsi="宋体" w:cs="微软雅黑"/>
                <w:color w:val="333333"/>
                <w:sz w:val="16"/>
                <w:szCs w:val="16"/>
              </w:rPr>
              <w:t>《山西省行政执法条例》第二十条　行政执法人员执行公务时，应当出示省人民政府统一印制的行政执法证件。行政执法证件的管理办法，由省人民政府制定。行政执法人员执行公务时，凡国家规定统一着装或佩戴证章的，应当按规定着装和佩戴证章。</w:t>
            </w:r>
          </w:p>
          <w:p>
            <w:pPr>
              <w:autoSpaceDN w:val="0"/>
              <w:spacing w:line="280" w:lineRule="exact"/>
              <w:jc w:val="left"/>
              <w:rPr>
                <w:rFonts w:hint="eastAsia" w:ascii="宋体" w:hAnsi="宋体" w:cs="微软雅黑"/>
                <w:color w:val="333333"/>
                <w:sz w:val="16"/>
                <w:szCs w:val="16"/>
              </w:rPr>
            </w:pPr>
            <w:r>
              <w:rPr>
                <w:rFonts w:hint="eastAsia" w:ascii="宋体" w:hAnsi="宋体" w:cs="微软雅黑"/>
                <w:color w:val="333333"/>
                <w:sz w:val="16"/>
                <w:szCs w:val="16"/>
              </w:rPr>
              <w:t>　　第二十一条　行政执法机关及其行政执法人员在作出具体行政行为时，应当告知当事人有关的事实、依据以及相关的权利和义务。</w:t>
            </w:r>
          </w:p>
          <w:p>
            <w:pPr>
              <w:autoSpaceDN w:val="0"/>
              <w:spacing w:line="280" w:lineRule="exact"/>
              <w:jc w:val="left"/>
              <w:rPr>
                <w:rFonts w:ascii="宋体" w:hAnsi="宋体" w:cs="微软雅黑"/>
                <w:color w:val="333333"/>
                <w:sz w:val="16"/>
                <w:szCs w:val="16"/>
              </w:rPr>
            </w:pPr>
            <w:r>
              <w:rPr>
                <w:rFonts w:hint="eastAsia" w:ascii="宋体" w:hAnsi="宋体" w:cs="微软雅黑"/>
                <w:color w:val="333333"/>
                <w:sz w:val="16"/>
                <w:szCs w:val="16"/>
              </w:rPr>
              <w:t>　　第二十二条　行政执法人员在检查工作、调查案件、收集证据、执行强制措施时不得少于二人。</w:t>
            </w:r>
            <w:r>
              <w:rPr>
                <w:rFonts w:hint="eastAsia" w:ascii="宋体" w:hAnsi="宋体" w:cs="微软雅黑"/>
                <w:color w:val="333333"/>
                <w:sz w:val="16"/>
                <w:szCs w:val="16"/>
              </w:rPr>
              <w:br w:type="textWrapping"/>
            </w:r>
            <w:r>
              <w:rPr>
                <w:rFonts w:hint="eastAsia" w:ascii="宋体" w:hAnsi="宋体" w:cs="微软雅黑"/>
                <w:color w:val="333333"/>
                <w:sz w:val="16"/>
                <w:szCs w:val="16"/>
              </w:rPr>
              <w:t>　　行政执法实行回避制度。当事人及其代理人有依法申请行政执法人员回避的权利。</w:t>
            </w:r>
          </w:p>
        </w:tc>
        <w:tc>
          <w:tcPr>
            <w:tcW w:w="439" w:type="dxa"/>
            <w:tcBorders>
              <w:top w:val="outset" w:color="auto" w:sz="6" w:space="0"/>
              <w:left w:val="outset" w:color="auto" w:sz="6" w:space="0"/>
              <w:bottom w:val="outset" w:color="auto" w:sz="6" w:space="0"/>
              <w:right w:val="nil"/>
            </w:tcBorders>
            <w:vAlign w:val="center"/>
          </w:tcPr>
          <w:p>
            <w:pPr>
              <w:autoSpaceDN w:val="0"/>
              <w:spacing w:line="280" w:lineRule="exact"/>
              <w:jc w:val="center"/>
              <w:rPr>
                <w:rFonts w:ascii="微软雅黑" w:hAnsi="微软雅黑" w:eastAsia="微软雅黑" w:cs="微软雅黑"/>
                <w:color w:val="333333"/>
                <w:sz w:val="18"/>
                <w:szCs w:val="18"/>
              </w:rPr>
            </w:pPr>
          </w:p>
        </w:tc>
      </w:tr>
    </w:tbl>
    <w:p>
      <w:pPr>
        <w:autoSpaceDN w:val="0"/>
        <w:jc w:val="center"/>
        <w:rPr>
          <w:rFonts w:ascii="宋体"/>
          <w:bCs/>
          <w:color w:val="333333"/>
          <w:sz w:val="36"/>
          <w:szCs w:val="36"/>
        </w:rPr>
      </w:pPr>
      <w:r>
        <w:rPr>
          <w:rFonts w:hint="eastAsia" w:ascii="宋体" w:hAnsi="宋体"/>
          <w:bCs/>
          <w:color w:val="000000"/>
          <w:kern w:val="0"/>
          <w:sz w:val="36"/>
          <w:szCs w:val="36"/>
        </w:rPr>
        <w:t>运城市审计局行政权力清单和责任清单</w:t>
      </w:r>
    </w:p>
    <w:tbl>
      <w:tblPr>
        <w:tblStyle w:val="11"/>
        <w:tblW w:w="14547"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37"/>
        <w:gridCol w:w="426"/>
        <w:gridCol w:w="341"/>
        <w:gridCol w:w="359"/>
        <w:gridCol w:w="271"/>
        <w:gridCol w:w="992"/>
        <w:gridCol w:w="2126"/>
        <w:gridCol w:w="9356"/>
        <w:gridCol w:w="43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0" w:hRule="atLeast"/>
          <w:tblCellSpacing w:w="0" w:type="dxa"/>
          <w:jc w:val="center"/>
        </w:trPr>
        <w:tc>
          <w:tcPr>
            <w:tcW w:w="237" w:type="dxa"/>
            <w:vMerge w:val="restart"/>
            <w:tcBorders>
              <w:top w:val="outset" w:color="auto" w:sz="6" w:space="0"/>
              <w:left w:val="single" w:color="auto" w:sz="4"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序号</w:t>
            </w:r>
          </w:p>
        </w:tc>
        <w:tc>
          <w:tcPr>
            <w:tcW w:w="426"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w:t>
            </w:r>
            <w:r>
              <w:rPr>
                <w:rFonts w:hint="eastAsia" w:ascii="宋体" w:hAnsi="宋体" w:cs="微软雅黑"/>
                <w:color w:val="333333"/>
                <w:sz w:val="18"/>
                <w:szCs w:val="18"/>
              </w:rPr>
              <w:br w:type="textWrapping"/>
            </w:r>
            <w:r>
              <w:rPr>
                <w:rFonts w:hint="eastAsia" w:ascii="宋体" w:hAnsi="宋体" w:cs="微软雅黑"/>
                <w:color w:val="333333"/>
                <w:sz w:val="18"/>
                <w:szCs w:val="18"/>
              </w:rPr>
              <w:t>类型</w:t>
            </w:r>
          </w:p>
        </w:tc>
        <w:tc>
          <w:tcPr>
            <w:tcW w:w="341" w:type="dxa"/>
            <w:vMerge w:val="restart"/>
            <w:tcBorders>
              <w:top w:val="outset" w:color="auto" w:sz="6" w:space="0"/>
              <w:left w:val="outset" w:color="auto" w:sz="6" w:space="0"/>
              <w:bottom w:val="outset" w:color="auto" w:sz="6" w:space="0"/>
              <w:right w:val="outset" w:color="auto" w:sz="6" w:space="0"/>
            </w:tcBorders>
            <w:vAlign w:val="top"/>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w:t>
            </w:r>
          </w:p>
          <w:p>
            <w:pPr>
              <w:autoSpaceDN w:val="0"/>
              <w:jc w:val="center"/>
              <w:rPr>
                <w:rFonts w:ascii="宋体" w:hAnsi="宋体" w:cs="微软雅黑"/>
                <w:color w:val="333333"/>
                <w:sz w:val="18"/>
                <w:szCs w:val="18"/>
              </w:rPr>
            </w:pPr>
            <w:r>
              <w:rPr>
                <w:rFonts w:hint="eastAsia" w:ascii="宋体" w:hAnsi="宋体" w:cs="微软雅黑"/>
                <w:color w:val="333333"/>
                <w:sz w:val="18"/>
                <w:szCs w:val="18"/>
              </w:rPr>
              <w:t>编码</w:t>
            </w:r>
          </w:p>
        </w:tc>
        <w:tc>
          <w:tcPr>
            <w:tcW w:w="630" w:type="dxa"/>
            <w:gridSpan w:val="2"/>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职权名称</w:t>
            </w:r>
          </w:p>
        </w:tc>
        <w:tc>
          <w:tcPr>
            <w:tcW w:w="992"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实施依据</w:t>
            </w:r>
          </w:p>
        </w:tc>
        <w:tc>
          <w:tcPr>
            <w:tcW w:w="2126"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责任事项</w:t>
            </w:r>
          </w:p>
        </w:tc>
        <w:tc>
          <w:tcPr>
            <w:tcW w:w="9356"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责任事项依据</w:t>
            </w:r>
          </w:p>
        </w:tc>
        <w:tc>
          <w:tcPr>
            <w:tcW w:w="439" w:type="dxa"/>
            <w:vMerge w:val="restart"/>
            <w:tcBorders>
              <w:top w:val="outset" w:color="auto" w:sz="6" w:space="0"/>
              <w:left w:val="outset" w:color="auto" w:sz="6" w:space="0"/>
              <w:bottom w:val="outset" w:color="auto" w:sz="6" w:space="0"/>
              <w:right w:val="nil"/>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3" w:hRule="atLeast"/>
          <w:tblCellSpacing w:w="0" w:type="dxa"/>
          <w:jc w:val="center"/>
        </w:trPr>
        <w:tc>
          <w:tcPr>
            <w:tcW w:w="237" w:type="dxa"/>
            <w:vMerge w:val="continue"/>
            <w:tcBorders>
              <w:top w:val="outset" w:color="auto" w:sz="6" w:space="0"/>
              <w:left w:val="single" w:color="auto" w:sz="4"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426"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341"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359"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项目</w:t>
            </w:r>
          </w:p>
        </w:tc>
        <w:tc>
          <w:tcPr>
            <w:tcW w:w="271"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子项</w:t>
            </w:r>
          </w:p>
        </w:tc>
        <w:tc>
          <w:tcPr>
            <w:tcW w:w="992"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2126"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9356"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439" w:type="dxa"/>
            <w:vMerge w:val="continue"/>
            <w:tcBorders>
              <w:top w:val="outset" w:color="auto" w:sz="6" w:space="0"/>
              <w:left w:val="outset" w:color="auto" w:sz="6" w:space="0"/>
              <w:bottom w:val="outset" w:color="auto" w:sz="6" w:space="0"/>
              <w:right w:val="nil"/>
            </w:tcBorders>
            <w:vAlign w:val="center"/>
          </w:tcPr>
          <w:p>
            <w:pPr>
              <w:jc w:val="left"/>
              <w:rPr>
                <w:rFonts w:ascii="宋体" w:hAnsi="宋体" w:cs="微软雅黑"/>
                <w:color w:val="333333"/>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395" w:hRule="atLeast"/>
          <w:tblCellSpacing w:w="0" w:type="dxa"/>
          <w:jc w:val="center"/>
        </w:trPr>
        <w:tc>
          <w:tcPr>
            <w:tcW w:w="237" w:type="dxa"/>
            <w:tcBorders>
              <w:top w:val="single" w:color="auto" w:sz="4" w:space="0"/>
              <w:left w:val="single" w:color="auto" w:sz="4" w:space="0"/>
              <w:bottom w:val="outset" w:color="auto" w:sz="6" w:space="0"/>
              <w:right w:val="outset" w:color="auto" w:sz="6" w:space="0"/>
            </w:tcBorders>
            <w:vAlign w:val="center"/>
          </w:tcPr>
          <w:p>
            <w:pPr>
              <w:autoSpaceDN w:val="0"/>
              <w:jc w:val="center"/>
              <w:rPr>
                <w:rFonts w:ascii="宋体" w:hAnsi="宋体" w:cs="微软雅黑"/>
                <w:color w:val="333333"/>
                <w:sz w:val="16"/>
                <w:szCs w:val="16"/>
              </w:rPr>
            </w:pPr>
            <w:r>
              <w:rPr>
                <w:rFonts w:hint="eastAsia" w:ascii="宋体" w:hAnsi="宋体" w:cs="微软雅黑"/>
                <w:color w:val="333333"/>
                <w:sz w:val="16"/>
                <w:szCs w:val="16"/>
              </w:rPr>
              <w:t>1</w:t>
            </w:r>
          </w:p>
        </w:tc>
        <w:tc>
          <w:tcPr>
            <w:tcW w:w="426"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6"/>
                <w:szCs w:val="16"/>
              </w:rPr>
            </w:pPr>
            <w:r>
              <w:rPr>
                <w:rFonts w:hint="eastAsia" w:ascii="宋体" w:hAnsi="宋体" w:cs="微软雅黑"/>
                <w:color w:val="333333"/>
                <w:sz w:val="16"/>
                <w:szCs w:val="16"/>
              </w:rPr>
              <w:t>行政</w:t>
            </w:r>
            <w:r>
              <w:rPr>
                <w:rFonts w:hint="eastAsia" w:ascii="宋体" w:hAnsi="宋体" w:cs="微软雅黑"/>
                <w:color w:val="333333"/>
                <w:sz w:val="16"/>
                <w:szCs w:val="16"/>
              </w:rPr>
              <w:br w:type="textWrapping"/>
            </w:r>
            <w:r>
              <w:rPr>
                <w:rFonts w:hint="eastAsia" w:ascii="宋体" w:hAnsi="宋体" w:cs="微软雅黑"/>
                <w:color w:val="333333"/>
                <w:sz w:val="16"/>
                <w:szCs w:val="16"/>
              </w:rPr>
              <w:t>处罚</w:t>
            </w:r>
          </w:p>
        </w:tc>
        <w:tc>
          <w:tcPr>
            <w:tcW w:w="341" w:type="dxa"/>
            <w:tcBorders>
              <w:top w:val="outset" w:color="auto" w:sz="6" w:space="0"/>
              <w:left w:val="outset" w:color="auto" w:sz="6" w:space="0"/>
              <w:bottom w:val="outset" w:color="auto" w:sz="6" w:space="0"/>
              <w:right w:val="outset" w:color="auto" w:sz="6" w:space="0"/>
            </w:tcBorders>
            <w:vAlign w:val="top"/>
          </w:tcPr>
          <w:p>
            <w:pPr>
              <w:autoSpaceDN w:val="0"/>
              <w:rPr>
                <w:rFonts w:ascii="宋体" w:hAnsi="宋体" w:cs="微软雅黑"/>
                <w:color w:val="333333"/>
                <w:sz w:val="16"/>
                <w:szCs w:val="16"/>
              </w:rPr>
            </w:pPr>
          </w:p>
        </w:tc>
        <w:tc>
          <w:tcPr>
            <w:tcW w:w="630" w:type="dxa"/>
            <w:gridSpan w:val="2"/>
            <w:tcBorders>
              <w:top w:val="outset" w:color="auto" w:sz="6" w:space="0"/>
              <w:left w:val="outset" w:color="auto" w:sz="6" w:space="0"/>
              <w:bottom w:val="outset" w:color="auto" w:sz="6" w:space="0"/>
              <w:right w:val="outset" w:color="auto" w:sz="6" w:space="0"/>
            </w:tcBorders>
            <w:vAlign w:val="center"/>
          </w:tcPr>
          <w:p>
            <w:pPr>
              <w:autoSpaceDN w:val="0"/>
              <w:jc w:val="left"/>
              <w:rPr>
                <w:rFonts w:ascii="宋体" w:hAnsi="宋体" w:cs="微软雅黑"/>
                <w:color w:val="333333"/>
                <w:sz w:val="16"/>
                <w:szCs w:val="16"/>
              </w:rPr>
            </w:pPr>
            <w:r>
              <w:rPr>
                <w:rFonts w:hint="eastAsia" w:ascii="宋体" w:hAnsi="宋体" w:cs="微软雅黑"/>
                <w:color w:val="333333"/>
                <w:sz w:val="16"/>
                <w:szCs w:val="16"/>
              </w:rPr>
              <w:t>对拒绝、拖延提供与审计事项有关的资料，或者提供的资料不真实、不完整，或者拒绝、阻碍检查的处罚</w:t>
            </w:r>
          </w:p>
        </w:tc>
        <w:tc>
          <w:tcPr>
            <w:tcW w:w="992" w:type="dxa"/>
            <w:tcBorders>
              <w:top w:val="outset" w:color="auto" w:sz="6" w:space="0"/>
              <w:left w:val="outset" w:color="auto" w:sz="6" w:space="0"/>
              <w:bottom w:val="outset" w:color="auto" w:sz="6" w:space="0"/>
              <w:right w:val="outset" w:color="auto" w:sz="6" w:space="0"/>
            </w:tcBorders>
            <w:vAlign w:val="center"/>
          </w:tcPr>
          <w:p>
            <w:pPr>
              <w:autoSpaceDN w:val="0"/>
              <w:jc w:val="left"/>
              <w:rPr>
                <w:rFonts w:ascii="宋体" w:hAnsi="宋体" w:cs="微软雅黑"/>
                <w:color w:val="333333"/>
                <w:sz w:val="16"/>
                <w:szCs w:val="16"/>
              </w:rPr>
            </w:pPr>
            <w:r>
              <w:rPr>
                <w:rFonts w:hint="eastAsia" w:ascii="宋体" w:hAnsi="宋体" w:cs="微软雅黑"/>
                <w:color w:val="333333"/>
                <w:sz w:val="16"/>
                <w:szCs w:val="16"/>
              </w:rPr>
              <w:t>计单位可以处5万元以下的罚款，对直接负责人的主管人员，可以处2万元以下的罚款，审计机关认为应当给予处分的，向有关主管机关、单位提出给予处分的建议；构成犯罪的，依法追究刑事责任。</w:t>
            </w:r>
          </w:p>
          <w:p>
            <w:pPr>
              <w:autoSpaceDN w:val="0"/>
              <w:jc w:val="left"/>
              <w:rPr>
                <w:rFonts w:ascii="宋体" w:hAnsi="宋体" w:cs="微软雅黑"/>
                <w:color w:val="333333"/>
                <w:sz w:val="16"/>
                <w:szCs w:val="16"/>
              </w:rPr>
            </w:pPr>
          </w:p>
        </w:tc>
        <w:tc>
          <w:tcPr>
            <w:tcW w:w="2126" w:type="dxa"/>
            <w:tcBorders>
              <w:top w:val="outset" w:color="auto" w:sz="6" w:space="0"/>
              <w:left w:val="outset" w:color="auto" w:sz="6" w:space="0"/>
              <w:bottom w:val="outset" w:color="auto" w:sz="6" w:space="0"/>
              <w:right w:val="outset" w:color="auto" w:sz="6" w:space="0"/>
            </w:tcBorders>
            <w:vAlign w:val="top"/>
          </w:tcPr>
          <w:p>
            <w:pPr>
              <w:autoSpaceDN w:val="0"/>
              <w:rPr>
                <w:rFonts w:ascii="宋体" w:hAnsi="宋体" w:cs="微软雅黑"/>
                <w:color w:val="333333"/>
                <w:sz w:val="16"/>
                <w:szCs w:val="16"/>
              </w:rPr>
            </w:pPr>
            <w:r>
              <w:rPr>
                <w:rFonts w:hint="eastAsia" w:ascii="宋体" w:hAnsi="宋体" w:cs="微软雅黑"/>
                <w:color w:val="333333"/>
                <w:sz w:val="16"/>
                <w:szCs w:val="16"/>
              </w:rPr>
              <w:t>府裁决的途径和期限。</w:t>
            </w:r>
            <w:r>
              <w:rPr>
                <w:rFonts w:hint="eastAsia" w:ascii="宋体" w:hAnsi="宋体" w:cs="微软雅黑"/>
                <w:color w:val="333333"/>
                <w:sz w:val="16"/>
                <w:szCs w:val="16"/>
              </w:rPr>
              <w:br w:type="textWrapping"/>
            </w:r>
            <w:r>
              <w:rPr>
                <w:rFonts w:hint="eastAsia" w:ascii="宋体" w:hAnsi="宋体" w:cs="微软雅黑"/>
                <w:color w:val="333333"/>
                <w:sz w:val="16"/>
                <w:szCs w:val="16"/>
              </w:rPr>
              <w:t>6.送达责任：审计处罚决定书应当及时送达被审计单位和当事人，并自送达之日起生效。</w:t>
            </w:r>
            <w:r>
              <w:rPr>
                <w:rFonts w:hint="eastAsia" w:ascii="宋体" w:hAnsi="宋体" w:cs="微软雅黑"/>
                <w:color w:val="333333"/>
                <w:sz w:val="16"/>
                <w:szCs w:val="16"/>
              </w:rPr>
              <w:br w:type="textWrapping"/>
            </w:r>
            <w:r>
              <w:rPr>
                <w:rFonts w:hint="eastAsia" w:ascii="宋体" w:hAnsi="宋体" w:cs="微软雅黑"/>
                <w:color w:val="333333"/>
                <w:sz w:val="16"/>
                <w:szCs w:val="16"/>
              </w:rPr>
              <w:t>7.执行责任：审计机关应当在规定时间内检查被审计单位和当事人执行审计处罚决定情况。</w:t>
            </w:r>
            <w:r>
              <w:rPr>
                <w:rFonts w:hint="eastAsia" w:ascii="宋体" w:hAnsi="宋体" w:cs="微软雅黑"/>
                <w:color w:val="333333"/>
                <w:sz w:val="16"/>
                <w:szCs w:val="16"/>
              </w:rPr>
              <w:br w:type="textWrapping"/>
            </w:r>
            <w:r>
              <w:rPr>
                <w:rFonts w:hint="eastAsia" w:ascii="宋体" w:hAnsi="宋体" w:cs="微软雅黑"/>
                <w:color w:val="333333"/>
                <w:sz w:val="16"/>
                <w:szCs w:val="16"/>
              </w:rPr>
              <w:t>8.其他：法律法规规章规定应履行的责任。</w:t>
            </w:r>
          </w:p>
        </w:tc>
        <w:tc>
          <w:tcPr>
            <w:tcW w:w="9356" w:type="dxa"/>
            <w:tcBorders>
              <w:top w:val="outset" w:color="auto" w:sz="6" w:space="0"/>
              <w:left w:val="outset" w:color="auto" w:sz="6" w:space="0"/>
              <w:bottom w:val="outset" w:color="auto" w:sz="6" w:space="0"/>
              <w:right w:val="outset" w:color="auto" w:sz="6" w:space="0"/>
            </w:tcBorders>
            <w:vAlign w:val="center"/>
          </w:tcPr>
          <w:p>
            <w:pPr>
              <w:autoSpaceDN w:val="0"/>
              <w:spacing w:line="280" w:lineRule="exact"/>
              <w:ind w:firstLine="320" w:firstLineChars="200"/>
              <w:jc w:val="left"/>
              <w:rPr>
                <w:rFonts w:ascii="宋体" w:hAnsi="宋体" w:cs="微软雅黑"/>
                <w:color w:val="333333"/>
                <w:sz w:val="16"/>
                <w:szCs w:val="16"/>
              </w:rPr>
            </w:pPr>
            <w:r>
              <w:rPr>
                <w:rFonts w:hint="eastAsia" w:ascii="宋体" w:hAnsi="宋体" w:cs="微软雅黑"/>
                <w:color w:val="333333"/>
                <w:sz w:val="16"/>
                <w:szCs w:val="16"/>
              </w:rPr>
              <w:t>第二十三条　行政执法人员调查案件确需勘查现场时，应当通知当事人或其代理人到场；当事人或其代理人不到场的，应当邀请当事人的邻居、所在单位或基层组织的有关人员到场见证。</w:t>
            </w:r>
            <w:r>
              <w:rPr>
                <w:rFonts w:hint="eastAsia" w:ascii="宋体" w:hAnsi="宋体" w:cs="微软雅黑"/>
                <w:color w:val="333333"/>
                <w:sz w:val="16"/>
                <w:szCs w:val="16"/>
              </w:rPr>
              <w:br w:type="textWrapping"/>
            </w:r>
            <w:r>
              <w:rPr>
                <w:rFonts w:hint="eastAsia" w:ascii="宋体" w:hAnsi="宋体" w:cs="微软雅黑"/>
                <w:color w:val="333333"/>
                <w:sz w:val="16"/>
                <w:szCs w:val="16"/>
              </w:rPr>
              <w:t>　　勘查结果应当制作笔录，并由勘查人、当事人或其代理人、见证人签字；当事人或其代理人、见证人拒绝签字的，不影响勘查结果的效力。</w:t>
            </w:r>
          </w:p>
          <w:p>
            <w:pPr>
              <w:autoSpaceDN w:val="0"/>
              <w:spacing w:line="280" w:lineRule="exact"/>
              <w:ind w:firstLine="320" w:firstLineChars="200"/>
              <w:jc w:val="left"/>
              <w:rPr>
                <w:rFonts w:ascii="宋体" w:hAnsi="宋体" w:cs="微软雅黑"/>
                <w:color w:val="333333"/>
                <w:sz w:val="16"/>
                <w:szCs w:val="16"/>
              </w:rPr>
            </w:pPr>
            <w:r>
              <w:rPr>
                <w:rFonts w:hint="eastAsia" w:ascii="宋体" w:hAnsi="宋体" w:cs="微软雅黑"/>
                <w:color w:val="333333"/>
                <w:sz w:val="16"/>
                <w:szCs w:val="16"/>
              </w:rPr>
              <w:t>《国家审计准则》第一百三十二条  审计组组长应当确认审计工作底稿和审计证据已经审核，并从总体上评价审计证据的适当性和充分性。第一百四十一条  审计机关业务部门应当对下列事项进行复核，并提出书面复核意见：（一）审计目标是否实现；（二）审计实施方案确定的审计事项是否完成；（三）审计发现的重要问题是否在审计报告中反映；（四）事实是否清楚、数据是否正确； （五）审计证据是否适当、充分； （六）审计评价、定性、处理处罚和移送处理意见是否恰当，适用法律法规和标准是否适当；（七）被审计单位、被调查单位、被审计人员或者有关责任人员提出的合理意见是否采纳；（八）需要复核的其他事项。</w:t>
            </w:r>
          </w:p>
          <w:p>
            <w:pPr>
              <w:autoSpaceDN w:val="0"/>
              <w:spacing w:line="280" w:lineRule="exact"/>
              <w:ind w:firstLine="320" w:firstLineChars="200"/>
              <w:jc w:val="left"/>
              <w:rPr>
                <w:rFonts w:ascii="宋体" w:hAnsi="宋体" w:cs="微软雅黑"/>
                <w:color w:val="333333"/>
                <w:sz w:val="16"/>
                <w:szCs w:val="16"/>
              </w:rPr>
            </w:pPr>
            <w:r>
              <w:rPr>
                <w:rFonts w:hint="eastAsia" w:ascii="宋体" w:hAnsi="宋体" w:cs="微软雅黑"/>
                <w:color w:val="333333"/>
                <w:sz w:val="16"/>
                <w:szCs w:val="16"/>
              </w:rPr>
              <w:t>第一百四十三条  审理机构以审计实施方案为基础，重点关注审计实施的过程及结果，主要审理下列内容：（一）审计实施方案确定的审计事项是否完成；（二）审计发现的重要问题是否在审计报告中反映；（三）主要事实是否清楚、相关证据是否适当、充分；（四）适用法律法规和标准是否适当；（五）评价、定性、处理处罚意见是否恰当；（六）审计程序是否符合规定。第一百四十七条  审计报告、审计决定书原则上应当由审计机关审计业务会议审定；特殊情况下，经审计机关主要负责人授权，可以由审计机关其他负责人审定。</w:t>
            </w:r>
          </w:p>
          <w:p>
            <w:pPr>
              <w:autoSpaceDN w:val="0"/>
              <w:spacing w:line="280" w:lineRule="exact"/>
              <w:ind w:firstLine="320" w:firstLineChars="200"/>
              <w:jc w:val="left"/>
              <w:rPr>
                <w:rFonts w:ascii="宋体" w:hAnsi="宋体" w:cs="微软雅黑"/>
                <w:color w:val="333333"/>
                <w:sz w:val="16"/>
                <w:szCs w:val="16"/>
              </w:rPr>
            </w:pPr>
          </w:p>
        </w:tc>
        <w:tc>
          <w:tcPr>
            <w:tcW w:w="439" w:type="dxa"/>
            <w:tcBorders>
              <w:top w:val="outset" w:color="auto" w:sz="6" w:space="0"/>
              <w:left w:val="outset" w:color="auto" w:sz="6" w:space="0"/>
              <w:bottom w:val="outset" w:color="auto" w:sz="6" w:space="0"/>
              <w:right w:val="nil"/>
            </w:tcBorders>
            <w:vAlign w:val="center"/>
          </w:tcPr>
          <w:p>
            <w:pPr>
              <w:autoSpaceDN w:val="0"/>
              <w:jc w:val="center"/>
              <w:rPr>
                <w:rFonts w:ascii="微软雅黑" w:hAnsi="微软雅黑" w:eastAsia="微软雅黑" w:cs="微软雅黑"/>
                <w:color w:val="333333"/>
                <w:sz w:val="18"/>
                <w:szCs w:val="18"/>
              </w:rPr>
            </w:pPr>
          </w:p>
        </w:tc>
      </w:tr>
    </w:tbl>
    <w:p>
      <w:pPr>
        <w:spacing w:line="280" w:lineRule="exact"/>
      </w:pPr>
    </w:p>
    <w:p>
      <w:pPr>
        <w:spacing w:line="280" w:lineRule="exact"/>
      </w:pPr>
    </w:p>
    <w:p>
      <w:pPr>
        <w:spacing w:line="280" w:lineRule="exact"/>
      </w:pPr>
    </w:p>
    <w:p>
      <w:pPr>
        <w:spacing w:line="280" w:lineRule="exact"/>
      </w:pPr>
    </w:p>
    <w:p>
      <w:pPr>
        <w:spacing w:line="280" w:lineRule="exact"/>
      </w:pPr>
    </w:p>
    <w:p>
      <w:pPr>
        <w:autoSpaceDN w:val="0"/>
        <w:jc w:val="center"/>
        <w:rPr>
          <w:rFonts w:ascii="宋体"/>
          <w:bCs/>
          <w:color w:val="333333"/>
          <w:sz w:val="36"/>
          <w:szCs w:val="36"/>
        </w:rPr>
      </w:pPr>
      <w:r>
        <w:rPr>
          <w:rFonts w:hint="eastAsia" w:ascii="宋体" w:hAnsi="宋体"/>
          <w:bCs/>
          <w:color w:val="000000"/>
          <w:kern w:val="0"/>
          <w:sz w:val="36"/>
          <w:szCs w:val="36"/>
        </w:rPr>
        <w:t>运城市审计局行政权力清单和责任清单</w:t>
      </w:r>
    </w:p>
    <w:tbl>
      <w:tblPr>
        <w:tblStyle w:val="11"/>
        <w:tblW w:w="14547"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37"/>
        <w:gridCol w:w="426"/>
        <w:gridCol w:w="341"/>
        <w:gridCol w:w="359"/>
        <w:gridCol w:w="271"/>
        <w:gridCol w:w="1559"/>
        <w:gridCol w:w="1559"/>
        <w:gridCol w:w="9356"/>
        <w:gridCol w:w="43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0" w:hRule="atLeast"/>
          <w:tblCellSpacing w:w="0" w:type="dxa"/>
          <w:jc w:val="center"/>
        </w:trPr>
        <w:tc>
          <w:tcPr>
            <w:tcW w:w="237" w:type="dxa"/>
            <w:vMerge w:val="restart"/>
            <w:tcBorders>
              <w:top w:val="outset" w:color="auto" w:sz="6" w:space="0"/>
              <w:left w:val="single" w:color="auto" w:sz="4"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序号</w:t>
            </w:r>
          </w:p>
        </w:tc>
        <w:tc>
          <w:tcPr>
            <w:tcW w:w="426"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w:t>
            </w:r>
            <w:r>
              <w:rPr>
                <w:rFonts w:hint="eastAsia" w:ascii="宋体" w:hAnsi="宋体" w:cs="微软雅黑"/>
                <w:color w:val="333333"/>
                <w:sz w:val="18"/>
                <w:szCs w:val="18"/>
              </w:rPr>
              <w:br w:type="textWrapping"/>
            </w:r>
            <w:r>
              <w:rPr>
                <w:rFonts w:hint="eastAsia" w:ascii="宋体" w:hAnsi="宋体" w:cs="微软雅黑"/>
                <w:color w:val="333333"/>
                <w:sz w:val="18"/>
                <w:szCs w:val="18"/>
              </w:rPr>
              <w:t>类型</w:t>
            </w:r>
          </w:p>
        </w:tc>
        <w:tc>
          <w:tcPr>
            <w:tcW w:w="341" w:type="dxa"/>
            <w:vMerge w:val="restart"/>
            <w:tcBorders>
              <w:top w:val="outset" w:color="auto" w:sz="6" w:space="0"/>
              <w:left w:val="outset" w:color="auto" w:sz="6" w:space="0"/>
              <w:bottom w:val="outset" w:color="auto" w:sz="6" w:space="0"/>
              <w:right w:val="outset" w:color="auto" w:sz="6" w:space="0"/>
            </w:tcBorders>
            <w:vAlign w:val="top"/>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w:t>
            </w:r>
          </w:p>
          <w:p>
            <w:pPr>
              <w:autoSpaceDN w:val="0"/>
              <w:jc w:val="center"/>
              <w:rPr>
                <w:rFonts w:ascii="宋体" w:hAnsi="宋体" w:cs="微软雅黑"/>
                <w:color w:val="333333"/>
                <w:sz w:val="18"/>
                <w:szCs w:val="18"/>
              </w:rPr>
            </w:pPr>
            <w:r>
              <w:rPr>
                <w:rFonts w:hint="eastAsia" w:ascii="宋体" w:hAnsi="宋体" w:cs="微软雅黑"/>
                <w:color w:val="333333"/>
                <w:sz w:val="18"/>
                <w:szCs w:val="18"/>
              </w:rPr>
              <w:t>编码</w:t>
            </w:r>
          </w:p>
        </w:tc>
        <w:tc>
          <w:tcPr>
            <w:tcW w:w="630" w:type="dxa"/>
            <w:gridSpan w:val="2"/>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职权名称</w:t>
            </w:r>
          </w:p>
        </w:tc>
        <w:tc>
          <w:tcPr>
            <w:tcW w:w="1559"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实施依据</w:t>
            </w:r>
          </w:p>
        </w:tc>
        <w:tc>
          <w:tcPr>
            <w:tcW w:w="1559"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责任事项</w:t>
            </w:r>
          </w:p>
        </w:tc>
        <w:tc>
          <w:tcPr>
            <w:tcW w:w="9356"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责任事项依据</w:t>
            </w:r>
          </w:p>
        </w:tc>
        <w:tc>
          <w:tcPr>
            <w:tcW w:w="439" w:type="dxa"/>
            <w:vMerge w:val="restart"/>
            <w:tcBorders>
              <w:top w:val="outset" w:color="auto" w:sz="6" w:space="0"/>
              <w:left w:val="outset" w:color="auto" w:sz="6" w:space="0"/>
              <w:bottom w:val="outset" w:color="auto" w:sz="6" w:space="0"/>
              <w:right w:val="nil"/>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3" w:hRule="atLeast"/>
          <w:tblCellSpacing w:w="0" w:type="dxa"/>
          <w:jc w:val="center"/>
        </w:trPr>
        <w:tc>
          <w:tcPr>
            <w:tcW w:w="237" w:type="dxa"/>
            <w:vMerge w:val="continue"/>
            <w:tcBorders>
              <w:top w:val="outset" w:color="auto" w:sz="6" w:space="0"/>
              <w:left w:val="single" w:color="auto" w:sz="4"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426"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341"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359"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项目</w:t>
            </w:r>
          </w:p>
        </w:tc>
        <w:tc>
          <w:tcPr>
            <w:tcW w:w="271"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子项</w:t>
            </w:r>
          </w:p>
        </w:tc>
        <w:tc>
          <w:tcPr>
            <w:tcW w:w="1559"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1559"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9356"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439" w:type="dxa"/>
            <w:vMerge w:val="continue"/>
            <w:tcBorders>
              <w:top w:val="outset" w:color="auto" w:sz="6" w:space="0"/>
              <w:left w:val="outset" w:color="auto" w:sz="6" w:space="0"/>
              <w:bottom w:val="outset" w:color="auto" w:sz="6" w:space="0"/>
              <w:right w:val="nil"/>
            </w:tcBorders>
            <w:vAlign w:val="center"/>
          </w:tcPr>
          <w:p>
            <w:pPr>
              <w:jc w:val="left"/>
              <w:rPr>
                <w:rFonts w:ascii="宋体" w:hAnsi="宋体" w:cs="微软雅黑"/>
                <w:color w:val="333333"/>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395" w:hRule="atLeast"/>
          <w:tblCellSpacing w:w="0" w:type="dxa"/>
          <w:jc w:val="center"/>
        </w:trPr>
        <w:tc>
          <w:tcPr>
            <w:tcW w:w="237" w:type="dxa"/>
            <w:tcBorders>
              <w:top w:val="outset" w:color="auto" w:sz="6" w:space="0"/>
              <w:left w:val="single" w:color="auto" w:sz="4" w:space="0"/>
              <w:bottom w:val="outset" w:color="auto" w:sz="6" w:space="0"/>
              <w:right w:val="outset" w:color="auto" w:sz="6" w:space="0"/>
            </w:tcBorders>
            <w:vAlign w:val="center"/>
          </w:tcPr>
          <w:p>
            <w:pPr>
              <w:autoSpaceDN w:val="0"/>
              <w:jc w:val="center"/>
              <w:rPr>
                <w:rFonts w:ascii="宋体" w:hAnsi="宋体" w:cs="微软雅黑"/>
                <w:color w:val="333333"/>
                <w:sz w:val="16"/>
                <w:szCs w:val="16"/>
              </w:rPr>
            </w:pPr>
            <w:r>
              <w:rPr>
                <w:rFonts w:hint="eastAsia" w:ascii="宋体" w:hAnsi="宋体" w:cs="微软雅黑"/>
                <w:color w:val="333333"/>
                <w:sz w:val="16"/>
                <w:szCs w:val="16"/>
              </w:rPr>
              <w:t>2</w:t>
            </w:r>
          </w:p>
        </w:tc>
        <w:tc>
          <w:tcPr>
            <w:tcW w:w="426"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6"/>
                <w:szCs w:val="16"/>
              </w:rPr>
            </w:pPr>
            <w:r>
              <w:rPr>
                <w:rFonts w:hint="eastAsia" w:ascii="宋体" w:hAnsi="宋体" w:cs="微软雅黑"/>
                <w:color w:val="333333"/>
                <w:sz w:val="16"/>
                <w:szCs w:val="16"/>
              </w:rPr>
              <w:t>行政</w:t>
            </w:r>
            <w:r>
              <w:rPr>
                <w:rFonts w:hint="eastAsia" w:ascii="宋体" w:hAnsi="宋体" w:cs="微软雅黑"/>
                <w:color w:val="333333"/>
                <w:sz w:val="16"/>
                <w:szCs w:val="16"/>
              </w:rPr>
              <w:br w:type="textWrapping"/>
            </w:r>
            <w:r>
              <w:rPr>
                <w:rFonts w:hint="eastAsia" w:ascii="宋体" w:hAnsi="宋体" w:cs="微软雅黑"/>
                <w:color w:val="333333"/>
                <w:sz w:val="16"/>
                <w:szCs w:val="16"/>
              </w:rPr>
              <w:t>处罚</w:t>
            </w:r>
          </w:p>
        </w:tc>
        <w:tc>
          <w:tcPr>
            <w:tcW w:w="341" w:type="dxa"/>
            <w:tcBorders>
              <w:top w:val="outset" w:color="auto" w:sz="6" w:space="0"/>
              <w:left w:val="outset" w:color="auto" w:sz="6" w:space="0"/>
              <w:bottom w:val="outset" w:color="auto" w:sz="6" w:space="0"/>
              <w:right w:val="outset" w:color="auto" w:sz="6" w:space="0"/>
            </w:tcBorders>
            <w:vAlign w:val="top"/>
          </w:tcPr>
          <w:p>
            <w:pPr>
              <w:autoSpaceDN w:val="0"/>
              <w:jc w:val="center"/>
              <w:rPr>
                <w:rFonts w:ascii="宋体" w:hAnsi="宋体" w:cs="微软雅黑"/>
                <w:color w:val="333333"/>
                <w:sz w:val="16"/>
                <w:szCs w:val="16"/>
              </w:rPr>
            </w:pPr>
          </w:p>
        </w:tc>
        <w:tc>
          <w:tcPr>
            <w:tcW w:w="630" w:type="dxa"/>
            <w:gridSpan w:val="2"/>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6"/>
                <w:szCs w:val="16"/>
              </w:rPr>
            </w:pPr>
            <w:r>
              <w:rPr>
                <w:rFonts w:hint="eastAsia" w:ascii="宋体" w:hAnsi="宋体" w:cs="微软雅黑"/>
                <w:color w:val="333333"/>
                <w:sz w:val="16"/>
                <w:szCs w:val="16"/>
              </w:rPr>
              <w:t>对违反国家规定的财政、财务收支行为的处罚</w:t>
            </w:r>
          </w:p>
        </w:tc>
        <w:tc>
          <w:tcPr>
            <w:tcW w:w="1559" w:type="dxa"/>
            <w:tcBorders>
              <w:top w:val="outset" w:color="auto" w:sz="6" w:space="0"/>
              <w:left w:val="outset" w:color="auto" w:sz="6" w:space="0"/>
              <w:bottom w:val="outset" w:color="auto" w:sz="6" w:space="0"/>
              <w:right w:val="outset" w:color="auto" w:sz="6" w:space="0"/>
            </w:tcBorders>
            <w:vAlign w:val="top"/>
          </w:tcPr>
          <w:p>
            <w:pPr>
              <w:autoSpaceDN w:val="0"/>
              <w:jc w:val="left"/>
              <w:textAlignment w:val="center"/>
              <w:rPr>
                <w:rFonts w:ascii="宋体" w:hAnsi="宋体" w:cs="微软雅黑"/>
                <w:color w:val="333333"/>
                <w:sz w:val="16"/>
                <w:szCs w:val="16"/>
              </w:rPr>
            </w:pPr>
            <w:r>
              <w:rPr>
                <w:rFonts w:hint="eastAsia" w:ascii="宋体" w:hAnsi="宋体" w:cs="微软雅黑"/>
                <w:color w:val="333333"/>
                <w:sz w:val="16"/>
                <w:szCs w:val="16"/>
              </w:rPr>
              <w:t xml:space="preserve">【法律】《中华人民共和国审计法》第四十六条：对被审计单位违反国家规定的财务收支行为，审计机关、人民政府或者有关主管部门在法定职权范围内，依照法律、行政法规的规定，区别情况采取审计法第四十五条规定的处理措施，并可以依法给予处罚。                                      </w:t>
            </w:r>
          </w:p>
          <w:p>
            <w:pPr>
              <w:autoSpaceDN w:val="0"/>
              <w:jc w:val="left"/>
              <w:textAlignment w:val="center"/>
              <w:rPr>
                <w:rFonts w:ascii="宋体" w:hAnsi="宋体" w:cs="微软雅黑"/>
                <w:color w:val="333333"/>
                <w:sz w:val="16"/>
                <w:szCs w:val="16"/>
              </w:rPr>
            </w:pPr>
            <w:r>
              <w:rPr>
                <w:rFonts w:hint="eastAsia" w:ascii="宋体" w:hAnsi="宋体" w:cs="微软雅黑"/>
                <w:color w:val="333333"/>
                <w:sz w:val="16"/>
                <w:szCs w:val="16"/>
              </w:rPr>
              <w:t xml:space="preserve">  【行政法规】《中华人民共和国审计法实施条例》第四十九条：对被审计单位违反国家规定的财务收支行为，审计机关在法定职权范围内，区别情况采取审计法第四十五条规定的处理措施，可，</w:t>
            </w:r>
            <w:r>
              <w:rPr>
                <w:rFonts w:ascii="宋体" w:hAnsi="宋体" w:cs="微软雅黑"/>
                <w:color w:val="333333"/>
                <w:sz w:val="16"/>
                <w:szCs w:val="16"/>
              </w:rPr>
              <w:t xml:space="preserve"> </w:t>
            </w:r>
          </w:p>
        </w:tc>
        <w:tc>
          <w:tcPr>
            <w:tcW w:w="1559" w:type="dxa"/>
            <w:tcBorders>
              <w:top w:val="outset" w:color="auto" w:sz="6" w:space="0"/>
              <w:left w:val="outset" w:color="auto" w:sz="6" w:space="0"/>
              <w:bottom w:val="outset" w:color="auto" w:sz="6" w:space="0"/>
              <w:right w:val="outset" w:color="auto" w:sz="6" w:space="0"/>
            </w:tcBorders>
            <w:vAlign w:val="center"/>
          </w:tcPr>
          <w:p>
            <w:pPr>
              <w:autoSpaceDN w:val="0"/>
              <w:rPr>
                <w:rFonts w:ascii="宋体" w:hAnsi="宋体" w:cs="微软雅黑"/>
                <w:color w:val="333333"/>
                <w:sz w:val="16"/>
                <w:szCs w:val="16"/>
              </w:rPr>
            </w:pPr>
            <w:r>
              <w:rPr>
                <w:rFonts w:hint="eastAsia" w:ascii="宋体" w:hAnsi="宋体" w:cs="微软雅黑"/>
                <w:color w:val="333333"/>
                <w:sz w:val="16"/>
                <w:szCs w:val="16"/>
              </w:rPr>
              <w:t xml:space="preserve">1.发现和受理责任:审计机关派出审计组在审计监督中，对发现或者接到举报被审计单位违反国家规定的财政财务收支行为，审计机关予以审查，决定进一步核查和追责。 </w:t>
            </w:r>
            <w:r>
              <w:rPr>
                <w:rFonts w:hint="eastAsia" w:ascii="宋体" w:hAnsi="宋体" w:cs="微软雅黑"/>
                <w:color w:val="333333"/>
                <w:sz w:val="16"/>
                <w:szCs w:val="16"/>
              </w:rPr>
              <w:br w:type="textWrapping"/>
            </w:r>
            <w:r>
              <w:rPr>
                <w:rFonts w:hint="eastAsia" w:ascii="宋体" w:hAnsi="宋体" w:cs="微软雅黑"/>
                <w:color w:val="333333"/>
                <w:sz w:val="16"/>
                <w:szCs w:val="16"/>
              </w:rPr>
              <w:t xml:space="preserve">2.调查取证责任：审计机关派出审计组在进一步调查过程中，要指定专人负责，与当事人有直接利害关系的应当回避。审计人员不得少于两人，允许被审计单位和有关人员申辩和陈述，并以审计组审计报告形式征求被审计单位意见。审计人员应当保守有关秘密。 </w:t>
            </w:r>
            <w:r>
              <w:rPr>
                <w:rFonts w:hint="eastAsia" w:ascii="宋体" w:hAnsi="宋体" w:cs="微软雅黑"/>
                <w:color w:val="333333"/>
                <w:sz w:val="16"/>
                <w:szCs w:val="16"/>
              </w:rPr>
              <w:br w:type="textWrapping"/>
            </w:r>
            <w:r>
              <w:rPr>
                <w:rFonts w:hint="eastAsia" w:ascii="宋体" w:hAnsi="宋体" w:cs="微软雅黑"/>
                <w:color w:val="333333"/>
                <w:sz w:val="16"/>
                <w:szCs w:val="16"/>
              </w:rPr>
              <w:t>3.审核责任：审计机关</w:t>
            </w:r>
          </w:p>
        </w:tc>
        <w:tc>
          <w:tcPr>
            <w:tcW w:w="9356" w:type="dxa"/>
            <w:tcBorders>
              <w:top w:val="outset" w:color="auto" w:sz="6" w:space="0"/>
              <w:left w:val="outset" w:color="auto" w:sz="6" w:space="0"/>
              <w:bottom w:val="outset" w:color="auto" w:sz="6" w:space="0"/>
              <w:right w:val="outset" w:color="auto" w:sz="6" w:space="0"/>
            </w:tcBorders>
            <w:vAlign w:val="center"/>
          </w:tcPr>
          <w:p>
            <w:pPr>
              <w:autoSpaceDN w:val="0"/>
              <w:rPr>
                <w:rFonts w:ascii="宋体" w:hAnsi="宋体" w:cs="微软雅黑"/>
                <w:color w:val="333333"/>
                <w:sz w:val="16"/>
                <w:szCs w:val="16"/>
              </w:rPr>
            </w:pPr>
            <w:r>
              <w:rPr>
                <w:rFonts w:hint="eastAsia" w:ascii="宋体" w:hAnsi="宋体" w:cs="微软雅黑"/>
                <w:color w:val="333333"/>
                <w:sz w:val="16"/>
                <w:szCs w:val="16"/>
              </w:rPr>
              <w:t xml:space="preserve"> 《行政处罚法》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autoSpaceDN w:val="0"/>
              <w:rPr>
                <w:rFonts w:ascii="宋体" w:hAnsi="宋体" w:cs="微软雅黑"/>
                <w:color w:val="333333"/>
                <w:sz w:val="16"/>
                <w:szCs w:val="16"/>
              </w:rPr>
            </w:pPr>
            <w:r>
              <w:rPr>
                <w:rFonts w:hint="eastAsia" w:ascii="宋体" w:hAnsi="宋体" w:cs="微软雅黑"/>
                <w:color w:val="333333"/>
                <w:sz w:val="16"/>
                <w:szCs w:val="16"/>
              </w:rPr>
              <w:t>第三十七条　行政机关在调查或者进行检查时，执法人员不得少于两人，并应当向当事人或者有关人员出示证件。当事人或者有关人员应当如实回答询问，并协助调查或者检查，不得阻挠。询问或者检查应当制作笔录。</w:t>
            </w:r>
          </w:p>
          <w:p>
            <w:pPr>
              <w:autoSpaceDN w:val="0"/>
              <w:rPr>
                <w:rFonts w:ascii="宋体" w:hAnsi="宋体" w:cs="微软雅黑"/>
                <w:color w:val="333333"/>
                <w:sz w:val="16"/>
                <w:szCs w:val="16"/>
              </w:rPr>
            </w:pPr>
            <w:r>
              <w:rPr>
                <w:rFonts w:hint="eastAsia" w:ascii="宋体" w:hAnsi="宋体" w:cs="微软雅黑"/>
                <w:color w:val="333333"/>
                <w:sz w:val="16"/>
                <w:szCs w:val="16"/>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utoSpaceDN w:val="0"/>
              <w:rPr>
                <w:rFonts w:ascii="宋体" w:hAnsi="宋体" w:cs="微软雅黑"/>
                <w:color w:val="333333"/>
                <w:sz w:val="16"/>
                <w:szCs w:val="16"/>
              </w:rPr>
            </w:pPr>
            <w:r>
              <w:rPr>
                <w:rFonts w:hint="eastAsia" w:ascii="宋体" w:hAnsi="宋体" w:cs="微软雅黑"/>
                <w:color w:val="333333"/>
                <w:sz w:val="16"/>
                <w:szCs w:val="16"/>
              </w:rPr>
              <w:t>执法人员与当事人有直接利害关系的，应当回避。</w:t>
            </w:r>
          </w:p>
          <w:p>
            <w:pPr>
              <w:autoSpaceDN w:val="0"/>
              <w:rPr>
                <w:rFonts w:ascii="宋体" w:hAnsi="宋体" w:cs="微软雅黑"/>
                <w:color w:val="333333"/>
                <w:sz w:val="16"/>
                <w:szCs w:val="16"/>
              </w:rPr>
            </w:pPr>
            <w:r>
              <w:rPr>
                <w:rFonts w:hint="eastAsia" w:ascii="宋体" w:hAnsi="宋体" w:cs="微软雅黑"/>
                <w:color w:val="333333"/>
                <w:sz w:val="16"/>
                <w:szCs w:val="16"/>
              </w:rPr>
              <w:t>第三十八条　调查终结，行政机关负责人应当对调查结果进行审查，根据不同情况，分别作出如下决定：</w:t>
            </w:r>
          </w:p>
          <w:p>
            <w:pPr>
              <w:autoSpaceDN w:val="0"/>
              <w:rPr>
                <w:rFonts w:ascii="宋体" w:hAnsi="宋体" w:cs="微软雅黑"/>
                <w:color w:val="333333"/>
                <w:sz w:val="16"/>
                <w:szCs w:val="16"/>
              </w:rPr>
            </w:pPr>
            <w:r>
              <w:rPr>
                <w:rFonts w:hint="eastAsia" w:ascii="宋体" w:hAnsi="宋体" w:cs="微软雅黑"/>
                <w:color w:val="333333"/>
                <w:sz w:val="16"/>
                <w:szCs w:val="16"/>
              </w:rPr>
              <w:t>（一）确有应受行政处罚的违法行为的，根据情节轻重及具体情况，作出行政处罚决定；（二）违法行为轻微，依法可以不予行政处罚的，不予行政处罚；（三）违法事实不能成立的，不得给予行政处罚；（四）违法行为已构成犯罪的，移送司法机关。</w:t>
            </w:r>
          </w:p>
          <w:p>
            <w:pPr>
              <w:autoSpaceDN w:val="0"/>
              <w:rPr>
                <w:rFonts w:ascii="宋体" w:hAnsi="宋体" w:cs="微软雅黑"/>
                <w:color w:val="333333"/>
                <w:sz w:val="16"/>
                <w:szCs w:val="16"/>
              </w:rPr>
            </w:pPr>
            <w:r>
              <w:rPr>
                <w:rFonts w:hint="eastAsia" w:ascii="宋体" w:hAnsi="宋体" w:cs="微软雅黑"/>
                <w:color w:val="333333"/>
                <w:sz w:val="16"/>
                <w:szCs w:val="16"/>
              </w:rPr>
              <w:t>对情节复杂或者重大违法行为给予较重的行政处罚，行政机关的负责人应当集体讨论决定。</w:t>
            </w:r>
          </w:p>
          <w:p>
            <w:pPr>
              <w:autoSpaceDN w:val="0"/>
              <w:rPr>
                <w:rFonts w:ascii="宋体" w:hAnsi="宋体" w:cs="微软雅黑"/>
                <w:color w:val="333333"/>
                <w:sz w:val="16"/>
                <w:szCs w:val="16"/>
              </w:rPr>
            </w:pPr>
            <w:r>
              <w:rPr>
                <w:rFonts w:hint="eastAsia" w:ascii="宋体" w:hAnsi="宋体" w:cs="微软雅黑"/>
                <w:color w:val="333333"/>
                <w:sz w:val="16"/>
                <w:szCs w:val="16"/>
              </w:rPr>
              <w:t>第三十九条　行政机关依照本法第三十八条的规定给予行政处罚，应当制作行政处罚决定书。行政处罚决定书应当载明下列事项：（一）当事人的姓名或者名称、地址；（二）违反法律、法规或者规章的事实和证据；</w:t>
            </w:r>
          </w:p>
          <w:p>
            <w:pPr>
              <w:autoSpaceDN w:val="0"/>
              <w:rPr>
                <w:rFonts w:ascii="宋体" w:hAnsi="宋体" w:cs="微软雅黑"/>
                <w:color w:val="333333"/>
                <w:sz w:val="16"/>
                <w:szCs w:val="16"/>
              </w:rPr>
            </w:pPr>
            <w:r>
              <w:rPr>
                <w:rFonts w:hint="eastAsia" w:ascii="宋体" w:hAnsi="宋体" w:cs="微软雅黑"/>
                <w:color w:val="333333"/>
                <w:sz w:val="16"/>
                <w:szCs w:val="16"/>
              </w:rPr>
              <w:t>（三）行政处罚的种类和依据；（四）行政处罚的履行方式和期限；（五）不服行政处罚决定，申请行政复议或者提起行政诉讼的途径和期限；（六）作出行政处罚决定的行政机关名称和作出决定的日期。</w:t>
            </w:r>
          </w:p>
          <w:p>
            <w:pPr>
              <w:autoSpaceDN w:val="0"/>
              <w:rPr>
                <w:rFonts w:ascii="宋体" w:hAnsi="宋体" w:cs="微软雅黑"/>
                <w:color w:val="333333"/>
                <w:sz w:val="16"/>
                <w:szCs w:val="16"/>
              </w:rPr>
            </w:pPr>
            <w:r>
              <w:rPr>
                <w:rFonts w:hint="eastAsia" w:ascii="宋体" w:hAnsi="宋体" w:cs="微软雅黑"/>
                <w:color w:val="333333"/>
                <w:sz w:val="16"/>
                <w:szCs w:val="16"/>
              </w:rPr>
              <w:t>行政处罚决定书必须盖有作出行政处罚决定的行政机关的印章。  第四十条　行政处罚决定书应当在宣告后当场交付当事人；当事人不在场的，行政机关应当在七日内依照民事诉讼法的有关规定，将行政处罚决定书送达当事人。</w:t>
            </w:r>
          </w:p>
          <w:p>
            <w:pPr>
              <w:autoSpaceDN w:val="0"/>
              <w:rPr>
                <w:rFonts w:ascii="宋体" w:hAnsi="宋体" w:cs="微软雅黑"/>
                <w:color w:val="333333"/>
                <w:sz w:val="16"/>
                <w:szCs w:val="16"/>
              </w:rPr>
            </w:pPr>
            <w:r>
              <w:rPr>
                <w:rFonts w:hint="eastAsia" w:ascii="宋体" w:hAnsi="宋体" w:cs="微软雅黑"/>
                <w:color w:val="333333"/>
                <w:sz w:val="16"/>
                <w:szCs w:val="16"/>
              </w:rPr>
              <w:t xml:space="preserve">第四十四条　行政处罚决定依法作出后，当事人应当在行政处罚决定的期限内，予以履行。                    </w:t>
            </w:r>
          </w:p>
          <w:p>
            <w:pPr>
              <w:autoSpaceDN w:val="0"/>
              <w:rPr>
                <w:rFonts w:ascii="宋体" w:hAnsi="宋体" w:cs="微软雅黑"/>
                <w:color w:val="333333"/>
                <w:sz w:val="16"/>
                <w:szCs w:val="16"/>
              </w:rPr>
            </w:pPr>
            <w:r>
              <w:rPr>
                <w:rFonts w:hint="eastAsia" w:ascii="宋体" w:hAnsi="宋体" w:cs="微软雅黑"/>
                <w:color w:val="333333"/>
                <w:sz w:val="16"/>
                <w:szCs w:val="16"/>
              </w:rPr>
              <w:t>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tc>
        <w:tc>
          <w:tcPr>
            <w:tcW w:w="439" w:type="dxa"/>
            <w:tcBorders>
              <w:top w:val="outset" w:color="auto" w:sz="6" w:space="0"/>
              <w:left w:val="outset" w:color="auto" w:sz="6" w:space="0"/>
              <w:bottom w:val="outset" w:color="auto" w:sz="6" w:space="0"/>
              <w:right w:val="nil"/>
            </w:tcBorders>
            <w:vAlign w:val="center"/>
          </w:tcPr>
          <w:p>
            <w:pPr>
              <w:autoSpaceDN w:val="0"/>
              <w:jc w:val="center"/>
              <w:rPr>
                <w:rFonts w:ascii="宋体" w:hAnsi="宋体" w:cs="微软雅黑"/>
                <w:color w:val="333333"/>
                <w:sz w:val="16"/>
                <w:szCs w:val="16"/>
              </w:rPr>
            </w:pPr>
          </w:p>
        </w:tc>
      </w:tr>
    </w:tbl>
    <w:p>
      <w:pPr>
        <w:autoSpaceDN w:val="0"/>
        <w:jc w:val="center"/>
        <w:rPr>
          <w:rFonts w:ascii="宋体"/>
          <w:bCs/>
          <w:color w:val="333333"/>
          <w:sz w:val="36"/>
          <w:szCs w:val="36"/>
        </w:rPr>
      </w:pPr>
      <w:r>
        <w:rPr>
          <w:rFonts w:hint="eastAsia" w:ascii="宋体" w:hAnsi="宋体"/>
          <w:bCs/>
          <w:color w:val="000000"/>
          <w:kern w:val="0"/>
          <w:sz w:val="36"/>
          <w:szCs w:val="36"/>
        </w:rPr>
        <w:t>运城市审计局行政权力清单和责任清单</w:t>
      </w:r>
    </w:p>
    <w:tbl>
      <w:tblPr>
        <w:tblStyle w:val="11"/>
        <w:tblW w:w="14547"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37"/>
        <w:gridCol w:w="426"/>
        <w:gridCol w:w="341"/>
        <w:gridCol w:w="359"/>
        <w:gridCol w:w="271"/>
        <w:gridCol w:w="1276"/>
        <w:gridCol w:w="1842"/>
        <w:gridCol w:w="9356"/>
        <w:gridCol w:w="43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0" w:hRule="atLeast"/>
          <w:tblCellSpacing w:w="0" w:type="dxa"/>
          <w:jc w:val="center"/>
        </w:trPr>
        <w:tc>
          <w:tcPr>
            <w:tcW w:w="237" w:type="dxa"/>
            <w:vMerge w:val="restart"/>
            <w:tcBorders>
              <w:top w:val="outset" w:color="auto" w:sz="6" w:space="0"/>
              <w:left w:val="single" w:color="auto" w:sz="4"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序号</w:t>
            </w:r>
          </w:p>
        </w:tc>
        <w:tc>
          <w:tcPr>
            <w:tcW w:w="426"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w:t>
            </w:r>
            <w:r>
              <w:rPr>
                <w:rFonts w:hint="eastAsia" w:ascii="宋体" w:hAnsi="宋体" w:cs="微软雅黑"/>
                <w:color w:val="333333"/>
                <w:sz w:val="18"/>
                <w:szCs w:val="18"/>
              </w:rPr>
              <w:br w:type="textWrapping"/>
            </w:r>
            <w:r>
              <w:rPr>
                <w:rFonts w:hint="eastAsia" w:ascii="宋体" w:hAnsi="宋体" w:cs="微软雅黑"/>
                <w:color w:val="333333"/>
                <w:sz w:val="18"/>
                <w:szCs w:val="18"/>
              </w:rPr>
              <w:t>类型</w:t>
            </w:r>
          </w:p>
        </w:tc>
        <w:tc>
          <w:tcPr>
            <w:tcW w:w="341" w:type="dxa"/>
            <w:vMerge w:val="restart"/>
            <w:tcBorders>
              <w:top w:val="outset" w:color="auto" w:sz="6" w:space="0"/>
              <w:left w:val="outset" w:color="auto" w:sz="6" w:space="0"/>
              <w:bottom w:val="outset" w:color="auto" w:sz="6" w:space="0"/>
              <w:right w:val="outset" w:color="auto" w:sz="6" w:space="0"/>
            </w:tcBorders>
            <w:vAlign w:val="top"/>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w:t>
            </w:r>
          </w:p>
          <w:p>
            <w:pPr>
              <w:autoSpaceDN w:val="0"/>
              <w:jc w:val="center"/>
              <w:rPr>
                <w:rFonts w:ascii="宋体" w:hAnsi="宋体" w:cs="微软雅黑"/>
                <w:color w:val="333333"/>
                <w:sz w:val="18"/>
                <w:szCs w:val="18"/>
              </w:rPr>
            </w:pPr>
            <w:r>
              <w:rPr>
                <w:rFonts w:hint="eastAsia" w:ascii="宋体" w:hAnsi="宋体" w:cs="微软雅黑"/>
                <w:color w:val="333333"/>
                <w:sz w:val="18"/>
                <w:szCs w:val="18"/>
              </w:rPr>
              <w:t>编码</w:t>
            </w:r>
          </w:p>
        </w:tc>
        <w:tc>
          <w:tcPr>
            <w:tcW w:w="630" w:type="dxa"/>
            <w:gridSpan w:val="2"/>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职权名称</w:t>
            </w:r>
          </w:p>
        </w:tc>
        <w:tc>
          <w:tcPr>
            <w:tcW w:w="1276"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实施依据</w:t>
            </w:r>
          </w:p>
        </w:tc>
        <w:tc>
          <w:tcPr>
            <w:tcW w:w="1842"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责任事项</w:t>
            </w:r>
          </w:p>
        </w:tc>
        <w:tc>
          <w:tcPr>
            <w:tcW w:w="9356"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责任事项依据</w:t>
            </w:r>
          </w:p>
        </w:tc>
        <w:tc>
          <w:tcPr>
            <w:tcW w:w="439" w:type="dxa"/>
            <w:vMerge w:val="restart"/>
            <w:tcBorders>
              <w:top w:val="outset" w:color="auto" w:sz="6" w:space="0"/>
              <w:left w:val="outset" w:color="auto" w:sz="6" w:space="0"/>
              <w:bottom w:val="outset" w:color="auto" w:sz="6" w:space="0"/>
              <w:right w:val="nil"/>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3" w:hRule="atLeast"/>
          <w:tblCellSpacing w:w="0" w:type="dxa"/>
          <w:jc w:val="center"/>
        </w:trPr>
        <w:tc>
          <w:tcPr>
            <w:tcW w:w="237" w:type="dxa"/>
            <w:vMerge w:val="continue"/>
            <w:tcBorders>
              <w:top w:val="outset" w:color="auto" w:sz="6" w:space="0"/>
              <w:left w:val="single" w:color="auto" w:sz="4"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426"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341"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359"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项目</w:t>
            </w:r>
          </w:p>
        </w:tc>
        <w:tc>
          <w:tcPr>
            <w:tcW w:w="271"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子项</w:t>
            </w:r>
          </w:p>
        </w:tc>
        <w:tc>
          <w:tcPr>
            <w:tcW w:w="1276"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1842"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9356"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439" w:type="dxa"/>
            <w:vMerge w:val="continue"/>
            <w:tcBorders>
              <w:top w:val="outset" w:color="auto" w:sz="6" w:space="0"/>
              <w:left w:val="outset" w:color="auto" w:sz="6" w:space="0"/>
              <w:bottom w:val="outset" w:color="auto" w:sz="6" w:space="0"/>
              <w:right w:val="nil"/>
            </w:tcBorders>
            <w:vAlign w:val="center"/>
          </w:tcPr>
          <w:p>
            <w:pPr>
              <w:jc w:val="left"/>
              <w:rPr>
                <w:rFonts w:ascii="宋体" w:hAnsi="宋体" w:cs="微软雅黑"/>
                <w:color w:val="333333"/>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395" w:hRule="atLeast"/>
          <w:tblCellSpacing w:w="0" w:type="dxa"/>
          <w:jc w:val="center"/>
        </w:trPr>
        <w:tc>
          <w:tcPr>
            <w:tcW w:w="237" w:type="dxa"/>
            <w:tcBorders>
              <w:top w:val="outset" w:color="auto" w:sz="6" w:space="0"/>
              <w:left w:val="single" w:color="auto" w:sz="4" w:space="0"/>
              <w:bottom w:val="outset" w:color="auto" w:sz="6" w:space="0"/>
              <w:right w:val="outset" w:color="auto" w:sz="6" w:space="0"/>
            </w:tcBorders>
            <w:vAlign w:val="center"/>
          </w:tcPr>
          <w:p>
            <w:pPr>
              <w:autoSpaceDN w:val="0"/>
              <w:jc w:val="center"/>
              <w:rPr>
                <w:rFonts w:ascii="宋体" w:hAnsi="宋体" w:cs="微软雅黑"/>
                <w:color w:val="333333"/>
                <w:sz w:val="16"/>
                <w:szCs w:val="16"/>
              </w:rPr>
            </w:pPr>
            <w:r>
              <w:rPr>
                <w:rFonts w:hint="eastAsia" w:ascii="宋体" w:hAnsi="宋体" w:cs="微软雅黑"/>
                <w:color w:val="333333"/>
                <w:sz w:val="16"/>
                <w:szCs w:val="16"/>
              </w:rPr>
              <w:t>2</w:t>
            </w:r>
          </w:p>
        </w:tc>
        <w:tc>
          <w:tcPr>
            <w:tcW w:w="426"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6"/>
                <w:szCs w:val="16"/>
              </w:rPr>
            </w:pPr>
            <w:r>
              <w:rPr>
                <w:rFonts w:hint="eastAsia" w:ascii="宋体" w:hAnsi="宋体" w:cs="微软雅黑"/>
                <w:color w:val="333333"/>
                <w:sz w:val="16"/>
                <w:szCs w:val="16"/>
              </w:rPr>
              <w:t>行政</w:t>
            </w:r>
            <w:r>
              <w:rPr>
                <w:rFonts w:hint="eastAsia" w:ascii="宋体" w:hAnsi="宋体" w:cs="微软雅黑"/>
                <w:color w:val="333333"/>
                <w:sz w:val="16"/>
                <w:szCs w:val="16"/>
              </w:rPr>
              <w:br w:type="textWrapping"/>
            </w:r>
            <w:r>
              <w:rPr>
                <w:rFonts w:hint="eastAsia" w:ascii="宋体" w:hAnsi="宋体" w:cs="微软雅黑"/>
                <w:color w:val="333333"/>
                <w:sz w:val="16"/>
                <w:szCs w:val="16"/>
              </w:rPr>
              <w:t>处罚</w:t>
            </w:r>
          </w:p>
        </w:tc>
        <w:tc>
          <w:tcPr>
            <w:tcW w:w="341" w:type="dxa"/>
            <w:tcBorders>
              <w:top w:val="outset" w:color="auto" w:sz="6" w:space="0"/>
              <w:left w:val="outset" w:color="auto" w:sz="6" w:space="0"/>
              <w:bottom w:val="outset" w:color="auto" w:sz="6" w:space="0"/>
              <w:right w:val="outset" w:color="auto" w:sz="6" w:space="0"/>
            </w:tcBorders>
            <w:vAlign w:val="top"/>
          </w:tcPr>
          <w:p>
            <w:pPr>
              <w:autoSpaceDN w:val="0"/>
              <w:jc w:val="center"/>
              <w:rPr>
                <w:rFonts w:ascii="宋体" w:hAnsi="宋体" w:cs="微软雅黑"/>
                <w:color w:val="333333"/>
                <w:sz w:val="16"/>
                <w:szCs w:val="16"/>
              </w:rPr>
            </w:pPr>
          </w:p>
        </w:tc>
        <w:tc>
          <w:tcPr>
            <w:tcW w:w="630" w:type="dxa"/>
            <w:gridSpan w:val="2"/>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6"/>
                <w:szCs w:val="16"/>
              </w:rPr>
            </w:pPr>
            <w:r>
              <w:rPr>
                <w:rFonts w:hint="eastAsia" w:ascii="宋体" w:hAnsi="宋体" w:cs="微软雅黑"/>
                <w:color w:val="333333"/>
                <w:sz w:val="16"/>
                <w:szCs w:val="16"/>
              </w:rPr>
              <w:t>对违反国家规定的财政、财务收支行为的处罚</w:t>
            </w:r>
          </w:p>
        </w:tc>
        <w:tc>
          <w:tcPr>
            <w:tcW w:w="1276" w:type="dxa"/>
            <w:tcBorders>
              <w:top w:val="outset" w:color="auto" w:sz="6" w:space="0"/>
              <w:left w:val="outset" w:color="auto" w:sz="6" w:space="0"/>
              <w:bottom w:val="outset" w:color="auto" w:sz="6" w:space="0"/>
              <w:right w:val="outset" w:color="auto" w:sz="6" w:space="0"/>
            </w:tcBorders>
            <w:vAlign w:val="center"/>
          </w:tcPr>
          <w:p>
            <w:pPr>
              <w:autoSpaceDN w:val="0"/>
              <w:jc w:val="left"/>
              <w:textAlignment w:val="center"/>
              <w:rPr>
                <w:rFonts w:ascii="宋体" w:hAnsi="宋体" w:cs="微软雅黑"/>
                <w:color w:val="333333"/>
                <w:sz w:val="16"/>
                <w:szCs w:val="16"/>
              </w:rPr>
            </w:pPr>
            <w:r>
              <w:rPr>
                <w:rFonts w:hint="eastAsia" w:ascii="宋体" w:hAnsi="宋体" w:cs="微软雅黑"/>
                <w:color w:val="333333"/>
                <w:sz w:val="16"/>
                <w:szCs w:val="16"/>
              </w:rPr>
              <w:t xml:space="preserve">以通报批评，给予警告；有为法所得的，没收违法所得，并处违法所得1倍以上5倍以下的罚款；没有违法所得的，可以处5万元以下的罚款；直接负责的主管人员和其他直接责任人员，可以处2万元以下的罚款，审计机关认为应当给予处分的，向有关主管机关、单位提出给予处分的建议；构成犯罪的，依法追究刑事责任。                    </w:t>
            </w:r>
          </w:p>
          <w:p>
            <w:pPr>
              <w:autoSpaceDN w:val="0"/>
              <w:jc w:val="left"/>
              <w:rPr>
                <w:rFonts w:ascii="宋体" w:hAnsi="宋体" w:cs="微软雅黑"/>
                <w:color w:val="333333"/>
                <w:sz w:val="16"/>
                <w:szCs w:val="16"/>
              </w:rPr>
            </w:pPr>
            <w:r>
              <w:rPr>
                <w:rFonts w:hint="eastAsia" w:ascii="宋体" w:hAnsi="宋体" w:cs="微软雅黑"/>
                <w:color w:val="333333"/>
                <w:sz w:val="16"/>
                <w:szCs w:val="16"/>
              </w:rPr>
              <w:t xml:space="preserve">    法律、行政法规对被审计单位</w:t>
            </w:r>
          </w:p>
        </w:tc>
        <w:tc>
          <w:tcPr>
            <w:tcW w:w="1842" w:type="dxa"/>
            <w:tcBorders>
              <w:top w:val="outset" w:color="auto" w:sz="6" w:space="0"/>
              <w:left w:val="outset" w:color="auto" w:sz="6" w:space="0"/>
              <w:bottom w:val="outset" w:color="auto" w:sz="6" w:space="0"/>
              <w:right w:val="outset" w:color="auto" w:sz="6" w:space="0"/>
            </w:tcBorders>
            <w:vAlign w:val="top"/>
          </w:tcPr>
          <w:p>
            <w:pPr>
              <w:autoSpaceDN w:val="0"/>
              <w:rPr>
                <w:rFonts w:ascii="宋体" w:hAnsi="宋体" w:cs="微软雅黑"/>
                <w:color w:val="333333"/>
                <w:sz w:val="16"/>
                <w:szCs w:val="16"/>
              </w:rPr>
            </w:pPr>
            <w:r>
              <w:rPr>
                <w:rFonts w:hint="eastAsia" w:ascii="宋体" w:hAnsi="宋体" w:cs="微软雅黑"/>
                <w:color w:val="333333"/>
                <w:sz w:val="16"/>
                <w:szCs w:val="16"/>
              </w:rPr>
              <w:t xml:space="preserve">派出审计组、审计组所在部门、审计机关审理部门应当对违法事实、证据、审计程序、法律适用、处罚幅度，以及被审计单位和有关人员申辩、陈述和反馈意见等进行审核、复核、审理。 </w:t>
            </w:r>
            <w:r>
              <w:rPr>
                <w:rFonts w:hint="eastAsia" w:ascii="宋体" w:hAnsi="宋体" w:cs="微软雅黑"/>
                <w:color w:val="333333"/>
                <w:sz w:val="16"/>
                <w:szCs w:val="16"/>
              </w:rPr>
              <w:br w:type="textWrapping"/>
            </w:r>
            <w:r>
              <w:rPr>
                <w:rFonts w:hint="eastAsia" w:ascii="宋体" w:hAnsi="宋体" w:cs="微软雅黑"/>
                <w:color w:val="333333"/>
                <w:sz w:val="16"/>
                <w:szCs w:val="16"/>
              </w:rPr>
              <w:t xml:space="preserve">4.告知责任：审计机关在做出较大数额罚款的处罚决定前，应当书面告知被审计单位和有关人员有要求举行听证的权利。 </w:t>
            </w:r>
            <w:r>
              <w:rPr>
                <w:rFonts w:hint="eastAsia" w:ascii="宋体" w:hAnsi="宋体" w:cs="微软雅黑"/>
                <w:color w:val="333333"/>
                <w:sz w:val="16"/>
                <w:szCs w:val="16"/>
              </w:rPr>
              <w:br w:type="textWrapping"/>
            </w:r>
            <w:r>
              <w:rPr>
                <w:rFonts w:hint="eastAsia" w:ascii="宋体" w:hAnsi="宋体" w:cs="微软雅黑"/>
                <w:color w:val="333333"/>
                <w:sz w:val="16"/>
                <w:szCs w:val="16"/>
              </w:rPr>
              <w:t>5.决定责任：审计机关根据审核、复核、审理情况，召开审计业务会议审定是否予以审计处罚；特殊情况下，经审计机关主要负责人（或者授权审计机关其他负责人）审定。依法需要给予审计处罚的，应</w:t>
            </w:r>
          </w:p>
        </w:tc>
        <w:tc>
          <w:tcPr>
            <w:tcW w:w="9356" w:type="dxa"/>
            <w:tcBorders>
              <w:top w:val="outset" w:color="auto" w:sz="6" w:space="0"/>
              <w:left w:val="outset" w:color="auto" w:sz="6" w:space="0"/>
              <w:bottom w:val="outset" w:color="auto" w:sz="6" w:space="0"/>
              <w:right w:val="outset" w:color="auto" w:sz="6" w:space="0"/>
            </w:tcBorders>
            <w:vAlign w:val="center"/>
          </w:tcPr>
          <w:p>
            <w:pPr>
              <w:autoSpaceDN w:val="0"/>
              <w:spacing w:line="280" w:lineRule="exact"/>
              <w:ind w:firstLine="320" w:firstLineChars="200"/>
              <w:jc w:val="left"/>
              <w:rPr>
                <w:rFonts w:ascii="宋体" w:hAnsi="宋体" w:cs="微软雅黑"/>
                <w:bCs/>
                <w:color w:val="333333"/>
                <w:sz w:val="16"/>
                <w:szCs w:val="16"/>
              </w:rPr>
            </w:pPr>
            <w:r>
              <w:rPr>
                <w:rFonts w:hint="eastAsia" w:ascii="宋体" w:hAnsi="宋体" w:cs="微软雅黑"/>
                <w:bCs/>
                <w:color w:val="333333"/>
                <w:sz w:val="16"/>
                <w:szCs w:val="16"/>
              </w:rPr>
              <w:t>《审计法》第十三条　审计人员办理审计事项，与被审计单位或者审计事项有利害关系的，应当回避。</w:t>
            </w:r>
          </w:p>
          <w:p>
            <w:pPr>
              <w:autoSpaceDN w:val="0"/>
              <w:spacing w:line="280" w:lineRule="exact"/>
              <w:ind w:firstLine="320" w:firstLineChars="200"/>
              <w:jc w:val="left"/>
              <w:rPr>
                <w:rFonts w:ascii="宋体" w:hAnsi="宋体" w:cs="微软雅黑"/>
                <w:bCs/>
                <w:color w:val="333333"/>
                <w:sz w:val="16"/>
                <w:szCs w:val="16"/>
              </w:rPr>
            </w:pPr>
            <w:r>
              <w:rPr>
                <w:rFonts w:hint="eastAsia" w:ascii="宋体" w:hAnsi="宋体" w:cs="微软雅黑"/>
                <w:bCs/>
                <w:color w:val="333333"/>
                <w:sz w:val="16"/>
                <w:szCs w:val="16"/>
              </w:rPr>
              <w:t>第三十八条　审计机关根据审计项目计划确定的审计事项组成审计组，并应当在实施审计三日前，向被审计单位送达审计通知书；遇有特殊情况，经本级人民政府批准，审计机关可以直接持审计通知书实施审计。</w:t>
            </w:r>
            <w:r>
              <w:rPr>
                <w:rFonts w:hint="eastAsia" w:ascii="宋体" w:hAnsi="宋体" w:cs="微软雅黑"/>
                <w:bCs/>
                <w:color w:val="333333"/>
                <w:sz w:val="16"/>
                <w:szCs w:val="16"/>
              </w:rPr>
              <w:br w:type="textWrapping"/>
            </w:r>
            <w:r>
              <w:rPr>
                <w:rFonts w:hint="eastAsia" w:ascii="宋体" w:hAnsi="宋体" w:cs="微软雅黑"/>
                <w:bCs/>
                <w:color w:val="333333"/>
                <w:sz w:val="16"/>
                <w:szCs w:val="16"/>
              </w:rPr>
              <w:t>第四十条　审计组对审计事项实施审计后，应当向审计机关提出审计组的审计报告。审计组的审计报告报送审计机关前，应当征求被审计对象的意见。被审计对象应当自接到审计组的审计报告之日起十日内，将其书面意见送交审计组。审计组应当将被审计对象的书面意见一并报送审计机关。</w:t>
            </w:r>
          </w:p>
          <w:p>
            <w:pPr>
              <w:autoSpaceDN w:val="0"/>
              <w:spacing w:line="280" w:lineRule="exact"/>
              <w:ind w:firstLine="320" w:firstLineChars="200"/>
              <w:jc w:val="left"/>
              <w:rPr>
                <w:rFonts w:ascii="宋体" w:hAnsi="宋体" w:cs="微软雅黑"/>
                <w:bCs/>
                <w:color w:val="333333"/>
                <w:sz w:val="16"/>
                <w:szCs w:val="16"/>
              </w:rPr>
            </w:pPr>
            <w:r>
              <w:rPr>
                <w:rFonts w:hint="eastAsia" w:ascii="宋体" w:hAnsi="宋体" w:cs="微软雅黑"/>
                <w:bCs/>
                <w:color w:val="333333"/>
                <w:sz w:val="16"/>
                <w:szCs w:val="16"/>
              </w:rPr>
              <w:t>第四十一条　审计机关按照审计署规定的程序对审计组的审计报告进行审议，并对被审计对象对审计组的审计报告提出的意见一并研究后，提出审计机关的审计报告；对违反国家规定的财政收支、财务收支行为，依法应当给予处理、处罚的，在法定职权范围内作出审计决定或者向有关主管机关提出处理、处罚的意见。</w:t>
            </w:r>
          </w:p>
          <w:p>
            <w:pPr>
              <w:autoSpaceDN w:val="0"/>
              <w:spacing w:line="280" w:lineRule="exact"/>
              <w:ind w:firstLine="320" w:firstLineChars="200"/>
              <w:jc w:val="left"/>
              <w:rPr>
                <w:rFonts w:ascii="宋体" w:hAnsi="宋体" w:cs="微软雅黑"/>
                <w:bCs/>
                <w:color w:val="333333"/>
                <w:sz w:val="16"/>
                <w:szCs w:val="16"/>
              </w:rPr>
            </w:pPr>
            <w:r>
              <w:rPr>
                <w:rFonts w:hint="eastAsia" w:ascii="宋体" w:hAnsi="宋体" w:cs="微软雅黑"/>
                <w:bCs/>
                <w:color w:val="333333"/>
                <w:sz w:val="16"/>
                <w:szCs w:val="16"/>
              </w:rPr>
              <w:t>第四十三条　被审计单位违反本法规定，拒绝或者拖延提供与审计事项有关的资料的，或者提供的资料不真实、不完整的，或者拒绝、阻碍检查的，由审计机关责令改正，可以通报批评，给予警告；拒不改正的，依法追究责任。</w:t>
            </w:r>
          </w:p>
          <w:p>
            <w:pPr>
              <w:autoSpaceDN w:val="0"/>
              <w:spacing w:line="280" w:lineRule="exact"/>
              <w:ind w:firstLine="320" w:firstLineChars="200"/>
              <w:jc w:val="left"/>
              <w:rPr>
                <w:rFonts w:ascii="宋体" w:hAnsi="宋体" w:cs="微软雅黑"/>
                <w:bCs/>
                <w:color w:val="333333"/>
                <w:sz w:val="16"/>
                <w:szCs w:val="16"/>
              </w:rPr>
            </w:pPr>
            <w:r>
              <w:rPr>
                <w:rFonts w:hint="eastAsia" w:ascii="宋体" w:hAnsi="宋体" w:cs="微软雅黑"/>
                <w:bCs/>
                <w:color w:val="333333"/>
                <w:sz w:val="16"/>
                <w:szCs w:val="16"/>
              </w:rPr>
              <w:t>第四十八条　被审计单位对审计机关作出的有关财务收支的审计决定不服的，可以依法申请行政复议或者提起行政诉讼。</w:t>
            </w:r>
          </w:p>
          <w:p>
            <w:pPr>
              <w:autoSpaceDN w:val="0"/>
              <w:spacing w:line="280" w:lineRule="exact"/>
              <w:ind w:firstLine="320" w:firstLineChars="200"/>
              <w:jc w:val="left"/>
              <w:rPr>
                <w:rFonts w:ascii="宋体" w:hAnsi="宋体" w:cs="微软雅黑"/>
                <w:bCs/>
                <w:color w:val="333333"/>
                <w:sz w:val="16"/>
                <w:szCs w:val="16"/>
              </w:rPr>
            </w:pPr>
            <w:r>
              <w:rPr>
                <w:rFonts w:hint="eastAsia" w:ascii="宋体" w:hAnsi="宋体" w:cs="微软雅黑"/>
                <w:bCs/>
                <w:color w:val="333333"/>
                <w:sz w:val="16"/>
                <w:szCs w:val="16"/>
              </w:rPr>
              <w:t>《审计法实施条例》第六条　任何单位和个人对依法应当接受审计机关审计监督的单位违反国家规定的财政收支、财务收支行为，有权向审计机关举报。审计机关接到举报，应当依法及时处理。</w:t>
            </w:r>
          </w:p>
          <w:p>
            <w:pPr>
              <w:autoSpaceDN w:val="0"/>
              <w:spacing w:line="280" w:lineRule="exact"/>
              <w:ind w:firstLine="320" w:firstLineChars="200"/>
              <w:jc w:val="left"/>
              <w:rPr>
                <w:rFonts w:ascii="宋体" w:hAnsi="宋体" w:cs="微软雅黑"/>
                <w:bCs/>
                <w:color w:val="333333"/>
                <w:sz w:val="16"/>
                <w:szCs w:val="16"/>
              </w:rPr>
            </w:pPr>
            <w:r>
              <w:rPr>
                <w:rFonts w:hint="eastAsia" w:ascii="宋体" w:hAnsi="宋体" w:cs="微软雅黑"/>
                <w:bCs/>
                <w:color w:val="333333"/>
                <w:sz w:val="16"/>
                <w:szCs w:val="16"/>
              </w:rPr>
              <w:t>第五十条　审计机关在作出较大数额罚款的处罚决定前，应当告知被审计单位和有关人员有要求举行听证的权利。较大数额罚款的具体标准由审计署规定。</w:t>
            </w:r>
          </w:p>
          <w:p>
            <w:pPr>
              <w:autoSpaceDN w:val="0"/>
              <w:spacing w:line="280" w:lineRule="exact"/>
              <w:ind w:firstLine="320" w:firstLineChars="200"/>
              <w:jc w:val="left"/>
              <w:rPr>
                <w:rFonts w:ascii="宋体" w:hAnsi="宋体" w:cs="微软雅黑"/>
                <w:bCs/>
                <w:color w:val="333333"/>
                <w:sz w:val="16"/>
                <w:szCs w:val="16"/>
              </w:rPr>
            </w:pPr>
            <w:r>
              <w:rPr>
                <w:rFonts w:hint="eastAsia" w:ascii="宋体" w:hAnsi="宋体" w:cs="微软雅黑"/>
                <w:bCs/>
                <w:color w:val="333333"/>
                <w:sz w:val="16"/>
                <w:szCs w:val="16"/>
              </w:rPr>
              <w:t>第五十四条　被审计单位应当将审计决定执行情况书面报告审计机关。审计机关应当检查审计决定的执行情况。</w:t>
            </w:r>
            <w:r>
              <w:rPr>
                <w:rFonts w:hint="eastAsia" w:ascii="宋体" w:hAnsi="宋体" w:cs="微软雅黑"/>
                <w:bCs/>
                <w:color w:val="333333"/>
                <w:sz w:val="16"/>
                <w:szCs w:val="16"/>
              </w:rPr>
              <w:br w:type="textWrapping"/>
            </w:r>
            <w:r>
              <w:rPr>
                <w:rFonts w:hint="eastAsia" w:ascii="宋体" w:hAnsi="宋体" w:cs="微软雅黑"/>
                <w:bCs/>
                <w:color w:val="333333"/>
                <w:sz w:val="16"/>
                <w:szCs w:val="16"/>
              </w:rPr>
              <w:t xml:space="preserve">被审计单位不执行审计决定的，审计机关应当责令限期执行；逾期仍不执行的，审计机关可以申请人民法院强制执行，建议有关主管机关、单位对直接负责的主管人员和其他直接责任人员给予处分。 </w:t>
            </w:r>
            <w:r>
              <w:rPr>
                <w:rFonts w:hint="eastAsia" w:ascii="宋体" w:hAnsi="宋体" w:cs="微软雅黑"/>
                <w:bCs/>
                <w:color w:val="333333"/>
                <w:sz w:val="16"/>
                <w:szCs w:val="16"/>
              </w:rPr>
              <w:br w:type="textWrapping"/>
            </w:r>
            <w:r>
              <w:rPr>
                <w:rFonts w:hint="eastAsia" w:ascii="宋体" w:hAnsi="宋体" w:cs="微软雅黑"/>
                <w:bCs/>
                <w:color w:val="333333"/>
                <w:sz w:val="16"/>
                <w:szCs w:val="16"/>
              </w:rPr>
              <w:t>《山西省行政执法条例》第二十条　行政执法人员执行公务时，应当出示省人民政府统一印制的行政执法证件。行政执法证件的管理办法，由省人民政府制定。行政执法人员执行公务时，凡国家规定统一着装或佩戴证章的，应当按规定着装和佩戴证章。</w:t>
            </w:r>
          </w:p>
          <w:p>
            <w:pPr>
              <w:autoSpaceDN w:val="0"/>
              <w:spacing w:line="280" w:lineRule="exact"/>
              <w:ind w:firstLine="320" w:firstLineChars="200"/>
              <w:jc w:val="left"/>
              <w:rPr>
                <w:rFonts w:ascii="宋体" w:hAnsi="宋体" w:cs="微软雅黑"/>
                <w:bCs/>
                <w:color w:val="333333"/>
                <w:sz w:val="16"/>
                <w:szCs w:val="16"/>
              </w:rPr>
            </w:pPr>
            <w:r>
              <w:rPr>
                <w:rFonts w:hint="eastAsia" w:ascii="宋体" w:hAnsi="宋体" w:cs="微软雅黑"/>
                <w:bCs/>
                <w:color w:val="333333"/>
                <w:sz w:val="16"/>
                <w:szCs w:val="16"/>
              </w:rPr>
              <w:t>第二十一条　行政执法机关及其行政执法人员在作出具体行政行为时，应当告知当事人有关的事实、依据以及相关的权利和义务。</w:t>
            </w:r>
          </w:p>
          <w:p>
            <w:pPr>
              <w:autoSpaceDN w:val="0"/>
              <w:spacing w:line="280" w:lineRule="exact"/>
              <w:ind w:firstLine="320" w:firstLineChars="200"/>
              <w:jc w:val="left"/>
              <w:rPr>
                <w:rFonts w:ascii="宋体" w:hAnsi="宋体" w:cs="微软雅黑"/>
                <w:color w:val="333333"/>
                <w:sz w:val="16"/>
                <w:szCs w:val="16"/>
              </w:rPr>
            </w:pPr>
            <w:r>
              <w:rPr>
                <w:rFonts w:hint="eastAsia" w:ascii="宋体" w:hAnsi="宋体" w:cs="微软雅黑"/>
                <w:bCs/>
                <w:color w:val="333333"/>
                <w:sz w:val="16"/>
                <w:szCs w:val="16"/>
              </w:rPr>
              <w:t>第二十二条　行政执法人员在检查工作、调查案件、收集证据、执行强制措施时不得少于二人。</w:t>
            </w:r>
          </w:p>
        </w:tc>
        <w:tc>
          <w:tcPr>
            <w:tcW w:w="439" w:type="dxa"/>
            <w:tcBorders>
              <w:top w:val="outset" w:color="auto" w:sz="6" w:space="0"/>
              <w:left w:val="outset" w:color="auto" w:sz="6" w:space="0"/>
              <w:bottom w:val="outset" w:color="auto" w:sz="6" w:space="0"/>
              <w:right w:val="nil"/>
            </w:tcBorders>
            <w:vAlign w:val="center"/>
          </w:tcPr>
          <w:p>
            <w:pPr>
              <w:autoSpaceDN w:val="0"/>
              <w:jc w:val="center"/>
              <w:rPr>
                <w:rFonts w:ascii="微软雅黑" w:hAnsi="微软雅黑" w:eastAsia="微软雅黑" w:cs="微软雅黑"/>
                <w:color w:val="333333"/>
                <w:sz w:val="18"/>
                <w:szCs w:val="18"/>
              </w:rPr>
            </w:pPr>
          </w:p>
        </w:tc>
      </w:tr>
    </w:tbl>
    <w:p>
      <w:pPr>
        <w:autoSpaceDN w:val="0"/>
        <w:jc w:val="center"/>
        <w:rPr>
          <w:rFonts w:ascii="宋体"/>
          <w:bCs/>
          <w:color w:val="333333"/>
          <w:sz w:val="36"/>
          <w:szCs w:val="36"/>
        </w:rPr>
      </w:pPr>
      <w:r>
        <w:rPr>
          <w:rFonts w:hint="eastAsia" w:ascii="宋体" w:hAnsi="宋体"/>
          <w:bCs/>
          <w:color w:val="000000"/>
          <w:kern w:val="0"/>
          <w:sz w:val="36"/>
          <w:szCs w:val="36"/>
        </w:rPr>
        <w:t>运城市审计局行政权力清单和责任清单</w:t>
      </w:r>
    </w:p>
    <w:tbl>
      <w:tblPr>
        <w:tblStyle w:val="11"/>
        <w:tblW w:w="14547"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37"/>
        <w:gridCol w:w="426"/>
        <w:gridCol w:w="341"/>
        <w:gridCol w:w="359"/>
        <w:gridCol w:w="271"/>
        <w:gridCol w:w="1276"/>
        <w:gridCol w:w="1842"/>
        <w:gridCol w:w="9356"/>
        <w:gridCol w:w="43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0" w:hRule="atLeast"/>
          <w:tblCellSpacing w:w="0" w:type="dxa"/>
          <w:jc w:val="center"/>
        </w:trPr>
        <w:tc>
          <w:tcPr>
            <w:tcW w:w="237" w:type="dxa"/>
            <w:vMerge w:val="restart"/>
            <w:tcBorders>
              <w:top w:val="outset" w:color="auto" w:sz="6" w:space="0"/>
              <w:left w:val="single" w:color="auto" w:sz="4"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序号</w:t>
            </w:r>
          </w:p>
        </w:tc>
        <w:tc>
          <w:tcPr>
            <w:tcW w:w="426"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w:t>
            </w:r>
            <w:r>
              <w:rPr>
                <w:rFonts w:hint="eastAsia" w:ascii="宋体" w:hAnsi="宋体" w:cs="微软雅黑"/>
                <w:color w:val="333333"/>
                <w:sz w:val="18"/>
                <w:szCs w:val="18"/>
              </w:rPr>
              <w:br w:type="textWrapping"/>
            </w:r>
            <w:r>
              <w:rPr>
                <w:rFonts w:hint="eastAsia" w:ascii="宋体" w:hAnsi="宋体" w:cs="微软雅黑"/>
                <w:color w:val="333333"/>
                <w:sz w:val="18"/>
                <w:szCs w:val="18"/>
              </w:rPr>
              <w:t>类型</w:t>
            </w:r>
          </w:p>
        </w:tc>
        <w:tc>
          <w:tcPr>
            <w:tcW w:w="341" w:type="dxa"/>
            <w:vMerge w:val="restart"/>
            <w:tcBorders>
              <w:top w:val="outset" w:color="auto" w:sz="6" w:space="0"/>
              <w:left w:val="outset" w:color="auto" w:sz="6" w:space="0"/>
              <w:bottom w:val="outset" w:color="auto" w:sz="6" w:space="0"/>
              <w:right w:val="outset" w:color="auto" w:sz="6" w:space="0"/>
            </w:tcBorders>
            <w:vAlign w:val="top"/>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w:t>
            </w:r>
          </w:p>
          <w:p>
            <w:pPr>
              <w:autoSpaceDN w:val="0"/>
              <w:jc w:val="center"/>
              <w:rPr>
                <w:rFonts w:ascii="宋体" w:hAnsi="宋体" w:cs="微软雅黑"/>
                <w:color w:val="333333"/>
                <w:sz w:val="18"/>
                <w:szCs w:val="18"/>
              </w:rPr>
            </w:pPr>
            <w:r>
              <w:rPr>
                <w:rFonts w:hint="eastAsia" w:ascii="宋体" w:hAnsi="宋体" w:cs="微软雅黑"/>
                <w:color w:val="333333"/>
                <w:sz w:val="18"/>
                <w:szCs w:val="18"/>
              </w:rPr>
              <w:t>编码</w:t>
            </w:r>
          </w:p>
        </w:tc>
        <w:tc>
          <w:tcPr>
            <w:tcW w:w="630" w:type="dxa"/>
            <w:gridSpan w:val="2"/>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职权名称</w:t>
            </w:r>
          </w:p>
        </w:tc>
        <w:tc>
          <w:tcPr>
            <w:tcW w:w="1276"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实施依据</w:t>
            </w:r>
          </w:p>
        </w:tc>
        <w:tc>
          <w:tcPr>
            <w:tcW w:w="1842"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责任事项</w:t>
            </w:r>
          </w:p>
        </w:tc>
        <w:tc>
          <w:tcPr>
            <w:tcW w:w="9356"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责任事项依据</w:t>
            </w:r>
          </w:p>
        </w:tc>
        <w:tc>
          <w:tcPr>
            <w:tcW w:w="439" w:type="dxa"/>
            <w:vMerge w:val="restart"/>
            <w:tcBorders>
              <w:top w:val="outset" w:color="auto" w:sz="6" w:space="0"/>
              <w:left w:val="outset" w:color="auto" w:sz="6" w:space="0"/>
              <w:bottom w:val="outset" w:color="auto" w:sz="6" w:space="0"/>
              <w:right w:val="nil"/>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3" w:hRule="atLeast"/>
          <w:tblCellSpacing w:w="0" w:type="dxa"/>
          <w:jc w:val="center"/>
        </w:trPr>
        <w:tc>
          <w:tcPr>
            <w:tcW w:w="237" w:type="dxa"/>
            <w:vMerge w:val="continue"/>
            <w:tcBorders>
              <w:top w:val="outset" w:color="auto" w:sz="6" w:space="0"/>
              <w:left w:val="single" w:color="auto" w:sz="4"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426"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341"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359"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项目</w:t>
            </w:r>
          </w:p>
        </w:tc>
        <w:tc>
          <w:tcPr>
            <w:tcW w:w="271"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子项</w:t>
            </w:r>
          </w:p>
        </w:tc>
        <w:tc>
          <w:tcPr>
            <w:tcW w:w="1276"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1842"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9356"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439" w:type="dxa"/>
            <w:vMerge w:val="continue"/>
            <w:tcBorders>
              <w:top w:val="outset" w:color="auto" w:sz="6" w:space="0"/>
              <w:left w:val="outset" w:color="auto" w:sz="6" w:space="0"/>
              <w:bottom w:val="outset" w:color="auto" w:sz="6" w:space="0"/>
              <w:right w:val="nil"/>
            </w:tcBorders>
            <w:vAlign w:val="center"/>
          </w:tcPr>
          <w:p>
            <w:pPr>
              <w:jc w:val="left"/>
              <w:rPr>
                <w:rFonts w:ascii="宋体" w:hAnsi="宋体" w:cs="微软雅黑"/>
                <w:color w:val="333333"/>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395" w:hRule="atLeast"/>
          <w:tblCellSpacing w:w="0" w:type="dxa"/>
          <w:jc w:val="center"/>
        </w:trPr>
        <w:tc>
          <w:tcPr>
            <w:tcW w:w="237" w:type="dxa"/>
            <w:tcBorders>
              <w:top w:val="outset" w:color="auto" w:sz="6" w:space="0"/>
              <w:left w:val="single" w:color="auto" w:sz="4" w:space="0"/>
              <w:bottom w:val="outset" w:color="auto" w:sz="6" w:space="0"/>
              <w:right w:val="outset" w:color="auto" w:sz="6" w:space="0"/>
            </w:tcBorders>
            <w:vAlign w:val="center"/>
          </w:tcPr>
          <w:p>
            <w:pPr>
              <w:autoSpaceDN w:val="0"/>
              <w:jc w:val="center"/>
              <w:rPr>
                <w:rFonts w:ascii="宋体" w:hAnsi="宋体" w:cs="微软雅黑"/>
                <w:color w:val="333333"/>
                <w:sz w:val="16"/>
                <w:szCs w:val="16"/>
              </w:rPr>
            </w:pPr>
            <w:r>
              <w:rPr>
                <w:rFonts w:hint="eastAsia" w:ascii="宋体" w:hAnsi="宋体" w:cs="微软雅黑"/>
                <w:color w:val="333333"/>
                <w:sz w:val="16"/>
                <w:szCs w:val="16"/>
              </w:rPr>
              <w:t>2</w:t>
            </w:r>
          </w:p>
        </w:tc>
        <w:tc>
          <w:tcPr>
            <w:tcW w:w="426"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6"/>
                <w:szCs w:val="16"/>
              </w:rPr>
            </w:pPr>
            <w:r>
              <w:rPr>
                <w:rFonts w:hint="eastAsia" w:ascii="宋体" w:hAnsi="宋体" w:cs="微软雅黑"/>
                <w:color w:val="333333"/>
                <w:sz w:val="16"/>
                <w:szCs w:val="16"/>
              </w:rPr>
              <w:t>行政</w:t>
            </w:r>
            <w:r>
              <w:rPr>
                <w:rFonts w:hint="eastAsia" w:ascii="宋体" w:hAnsi="宋体" w:cs="微软雅黑"/>
                <w:color w:val="333333"/>
                <w:sz w:val="16"/>
                <w:szCs w:val="16"/>
              </w:rPr>
              <w:br w:type="textWrapping"/>
            </w:r>
            <w:r>
              <w:rPr>
                <w:rFonts w:hint="eastAsia" w:ascii="宋体" w:hAnsi="宋体" w:cs="微软雅黑"/>
                <w:color w:val="333333"/>
                <w:sz w:val="16"/>
                <w:szCs w:val="16"/>
              </w:rPr>
              <w:t>处罚</w:t>
            </w:r>
          </w:p>
        </w:tc>
        <w:tc>
          <w:tcPr>
            <w:tcW w:w="341" w:type="dxa"/>
            <w:tcBorders>
              <w:top w:val="outset" w:color="auto" w:sz="6" w:space="0"/>
              <w:left w:val="outset" w:color="auto" w:sz="6" w:space="0"/>
              <w:bottom w:val="outset" w:color="auto" w:sz="6" w:space="0"/>
              <w:right w:val="outset" w:color="auto" w:sz="6" w:space="0"/>
            </w:tcBorders>
            <w:vAlign w:val="top"/>
          </w:tcPr>
          <w:p>
            <w:pPr>
              <w:autoSpaceDN w:val="0"/>
              <w:jc w:val="center"/>
              <w:rPr>
                <w:rFonts w:ascii="宋体" w:hAnsi="宋体" w:cs="微软雅黑"/>
                <w:color w:val="333333"/>
                <w:sz w:val="16"/>
                <w:szCs w:val="16"/>
              </w:rPr>
            </w:pPr>
          </w:p>
        </w:tc>
        <w:tc>
          <w:tcPr>
            <w:tcW w:w="630" w:type="dxa"/>
            <w:gridSpan w:val="2"/>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6"/>
                <w:szCs w:val="16"/>
              </w:rPr>
            </w:pPr>
            <w:r>
              <w:rPr>
                <w:rFonts w:hint="eastAsia" w:ascii="宋体" w:hAnsi="宋体" w:cs="微软雅黑"/>
                <w:color w:val="333333"/>
                <w:sz w:val="16"/>
                <w:szCs w:val="16"/>
              </w:rPr>
              <w:t>对违反国家规定的财政、财务收支行为的处罚</w:t>
            </w:r>
          </w:p>
        </w:tc>
        <w:tc>
          <w:tcPr>
            <w:tcW w:w="1276" w:type="dxa"/>
            <w:tcBorders>
              <w:top w:val="outset" w:color="auto" w:sz="6" w:space="0"/>
              <w:left w:val="outset" w:color="auto" w:sz="6" w:space="0"/>
              <w:bottom w:val="outset" w:color="auto" w:sz="6" w:space="0"/>
              <w:right w:val="outset" w:color="auto" w:sz="6" w:space="0"/>
            </w:tcBorders>
            <w:vAlign w:val="center"/>
          </w:tcPr>
          <w:p>
            <w:pPr>
              <w:autoSpaceDN w:val="0"/>
              <w:jc w:val="left"/>
              <w:rPr>
                <w:rFonts w:ascii="宋体" w:hAnsi="宋体" w:cs="微软雅黑"/>
                <w:color w:val="333333"/>
                <w:sz w:val="16"/>
                <w:szCs w:val="16"/>
              </w:rPr>
            </w:pPr>
            <w:r>
              <w:rPr>
                <w:rFonts w:hint="eastAsia" w:ascii="宋体" w:hAnsi="宋体" w:cs="微软雅黑"/>
                <w:color w:val="333333"/>
                <w:sz w:val="16"/>
                <w:szCs w:val="16"/>
              </w:rPr>
              <w:t>违反国家规定的财务收支行为处理、处罚另有规定的，从其规定。                                                     【行政法规】《财政违法行为处罚处分条例》第二条:县级以上人民政府财政部门及审计机关在各自职权范围内，依法对财政违法行为作出处理、处罚决定</w:t>
            </w:r>
          </w:p>
        </w:tc>
        <w:tc>
          <w:tcPr>
            <w:tcW w:w="1842" w:type="dxa"/>
            <w:tcBorders>
              <w:top w:val="outset" w:color="auto" w:sz="6" w:space="0"/>
              <w:left w:val="outset" w:color="auto" w:sz="6" w:space="0"/>
              <w:bottom w:val="outset" w:color="auto" w:sz="6" w:space="0"/>
              <w:right w:val="outset" w:color="auto" w:sz="6" w:space="0"/>
            </w:tcBorders>
            <w:vAlign w:val="top"/>
          </w:tcPr>
          <w:p>
            <w:pPr>
              <w:autoSpaceDN w:val="0"/>
              <w:rPr>
                <w:rFonts w:ascii="宋体" w:hAnsi="宋体" w:cs="微软雅黑"/>
                <w:color w:val="333333"/>
                <w:sz w:val="16"/>
                <w:szCs w:val="16"/>
              </w:rPr>
            </w:pPr>
            <w:r>
              <w:rPr>
                <w:rFonts w:hint="eastAsia" w:ascii="宋体" w:hAnsi="宋体" w:cs="微软雅黑"/>
                <w:color w:val="333333"/>
                <w:sz w:val="16"/>
                <w:szCs w:val="16"/>
              </w:rPr>
              <w:t xml:space="preserve">作出审计决定书，并告知申请行政复议、提起行政诉讼或者提请政府裁决的途径和期限。 </w:t>
            </w:r>
            <w:r>
              <w:rPr>
                <w:rFonts w:hint="eastAsia" w:ascii="宋体" w:hAnsi="宋体" w:cs="微软雅黑"/>
                <w:color w:val="333333"/>
                <w:sz w:val="16"/>
                <w:szCs w:val="16"/>
              </w:rPr>
              <w:br w:type="textWrapping"/>
            </w:r>
            <w:r>
              <w:rPr>
                <w:rFonts w:hint="eastAsia" w:ascii="宋体" w:hAnsi="宋体" w:cs="微软雅黑"/>
                <w:color w:val="333333"/>
                <w:sz w:val="16"/>
                <w:szCs w:val="16"/>
              </w:rPr>
              <w:t xml:space="preserve">6.送达责任：审计决定书应当及时送达被审计单位和当事人，并自送达之日起生效。 </w:t>
            </w:r>
            <w:r>
              <w:rPr>
                <w:rFonts w:hint="eastAsia" w:ascii="宋体" w:hAnsi="宋体" w:cs="微软雅黑"/>
                <w:color w:val="333333"/>
                <w:sz w:val="16"/>
                <w:szCs w:val="16"/>
              </w:rPr>
              <w:br w:type="textWrapping"/>
            </w:r>
            <w:r>
              <w:rPr>
                <w:rFonts w:hint="eastAsia" w:ascii="宋体" w:hAnsi="宋体" w:cs="微软雅黑"/>
                <w:color w:val="333333"/>
                <w:sz w:val="16"/>
                <w:szCs w:val="16"/>
              </w:rPr>
              <w:t xml:space="preserve">7.执行责任：审计机关应当在规定时间内检查被审计单位和当事人执行审计决定情况。 </w:t>
            </w:r>
            <w:r>
              <w:rPr>
                <w:rFonts w:hint="eastAsia" w:ascii="宋体" w:hAnsi="宋体" w:cs="微软雅黑"/>
                <w:color w:val="333333"/>
                <w:sz w:val="16"/>
                <w:szCs w:val="16"/>
              </w:rPr>
              <w:br w:type="textWrapping"/>
            </w:r>
            <w:r>
              <w:rPr>
                <w:rFonts w:hint="eastAsia" w:ascii="宋体" w:hAnsi="宋体" w:cs="微软雅黑"/>
                <w:color w:val="333333"/>
                <w:sz w:val="16"/>
                <w:szCs w:val="16"/>
              </w:rPr>
              <w:t>8.其他：法律法规规章规定应履行的责任</w:t>
            </w:r>
          </w:p>
        </w:tc>
        <w:tc>
          <w:tcPr>
            <w:tcW w:w="9356" w:type="dxa"/>
            <w:tcBorders>
              <w:top w:val="outset" w:color="auto" w:sz="6" w:space="0"/>
              <w:left w:val="outset" w:color="auto" w:sz="6" w:space="0"/>
              <w:bottom w:val="outset" w:color="auto" w:sz="6" w:space="0"/>
              <w:right w:val="outset" w:color="auto" w:sz="6" w:space="0"/>
            </w:tcBorders>
            <w:vAlign w:val="center"/>
          </w:tcPr>
          <w:p>
            <w:pPr>
              <w:autoSpaceDN w:val="0"/>
              <w:spacing w:line="280" w:lineRule="exact"/>
              <w:ind w:firstLine="320" w:firstLineChars="200"/>
              <w:jc w:val="left"/>
              <w:rPr>
                <w:rFonts w:ascii="宋体" w:hAnsi="宋体" w:cs="微软雅黑"/>
                <w:bCs/>
                <w:color w:val="333333"/>
                <w:sz w:val="16"/>
                <w:szCs w:val="16"/>
              </w:rPr>
            </w:pPr>
            <w:r>
              <w:rPr>
                <w:rFonts w:hint="eastAsia" w:ascii="宋体" w:hAnsi="宋体" w:cs="微软雅黑"/>
                <w:bCs/>
                <w:color w:val="333333"/>
                <w:sz w:val="16"/>
                <w:szCs w:val="16"/>
              </w:rPr>
              <w:t>行政执法实行回避制度。当事人及其代理人有依法申请行政执法人员回避的权利。</w:t>
            </w:r>
          </w:p>
          <w:p>
            <w:pPr>
              <w:autoSpaceDN w:val="0"/>
              <w:spacing w:line="280" w:lineRule="exact"/>
              <w:ind w:firstLine="320" w:firstLineChars="200"/>
              <w:jc w:val="left"/>
              <w:rPr>
                <w:rFonts w:ascii="宋体" w:hAnsi="宋体" w:cs="微软雅黑"/>
                <w:bCs/>
                <w:color w:val="333333"/>
                <w:sz w:val="16"/>
                <w:szCs w:val="16"/>
              </w:rPr>
            </w:pPr>
            <w:r>
              <w:rPr>
                <w:rFonts w:hint="eastAsia" w:ascii="宋体" w:hAnsi="宋体" w:cs="微软雅黑"/>
                <w:bCs/>
                <w:color w:val="333333"/>
                <w:sz w:val="16"/>
                <w:szCs w:val="16"/>
              </w:rPr>
              <w:t>第二十三条　行政执法人员调查案件确需勘查现场时，应当通知当事人或其代理人到场；当事人或其代理人不到场的，应当邀请当事人的邻居、所在单位或基层组织的有关人员到场见证。    勘查结果应当制作笔录，并由勘查人、当事人或其代理人、见证人签字；当事人或其代理人、见证人拒绝签字的，不影响勘查结果的效力。</w:t>
            </w:r>
            <w:r>
              <w:rPr>
                <w:rFonts w:hint="eastAsia" w:ascii="宋体" w:hAnsi="宋体" w:cs="微软雅黑"/>
                <w:bCs/>
                <w:color w:val="333333"/>
                <w:sz w:val="16"/>
                <w:szCs w:val="16"/>
              </w:rPr>
              <w:br w:type="textWrapping"/>
            </w:r>
            <w:r>
              <w:rPr>
                <w:rFonts w:hint="eastAsia" w:ascii="宋体" w:hAnsi="宋体" w:cs="微软雅黑"/>
                <w:bCs/>
                <w:color w:val="333333"/>
                <w:sz w:val="16"/>
                <w:szCs w:val="16"/>
              </w:rPr>
              <w:t>《国家审计准则》第一百三十二条  审计组组长应当确认审计工作底稿和审计证据已经审核，并从总体上评价审计证据的适当性和充分性。第一百四十一条  审计机关业务部门应当对下列事项进行复核，并提出书面复核意见：（一）审计目标是否实现；（二）审计实施方案确定的审计事项是否完成；（三）审计发现的重要问题是否在审计报告中反映；（四）事实是否清楚、数据是否正确； （五）审计证据是否适当、充分；</w:t>
            </w:r>
          </w:p>
          <w:p>
            <w:pPr>
              <w:autoSpaceDN w:val="0"/>
              <w:spacing w:line="280" w:lineRule="exact"/>
              <w:ind w:firstLine="320" w:firstLineChars="200"/>
              <w:jc w:val="left"/>
              <w:rPr>
                <w:rFonts w:ascii="宋体" w:hAnsi="宋体" w:cs="微软雅黑"/>
                <w:bCs/>
                <w:color w:val="333333"/>
                <w:sz w:val="16"/>
                <w:szCs w:val="16"/>
              </w:rPr>
            </w:pPr>
            <w:r>
              <w:rPr>
                <w:rFonts w:hint="eastAsia" w:ascii="宋体" w:hAnsi="宋体" w:cs="微软雅黑"/>
                <w:bCs/>
                <w:color w:val="333333"/>
                <w:sz w:val="16"/>
                <w:szCs w:val="16"/>
              </w:rPr>
              <w:t>（六）审计评价、定性、处理处罚和移送处理意见是否恰当，适用法律法规和标准是否适当；（七）被审计单位、被调查单位、被审计人员或者有关责任人员提出的合理意见是否采纳；（八）需要复核的其他事项。</w:t>
            </w:r>
          </w:p>
          <w:p>
            <w:pPr>
              <w:autoSpaceDN w:val="0"/>
              <w:spacing w:line="280" w:lineRule="exact"/>
              <w:ind w:firstLine="320" w:firstLineChars="200"/>
              <w:jc w:val="left"/>
              <w:rPr>
                <w:rFonts w:ascii="宋体" w:hAnsi="宋体" w:cs="微软雅黑"/>
                <w:bCs/>
                <w:color w:val="333333"/>
                <w:sz w:val="16"/>
                <w:szCs w:val="16"/>
              </w:rPr>
            </w:pPr>
            <w:r>
              <w:rPr>
                <w:rFonts w:hint="eastAsia" w:ascii="宋体" w:hAnsi="宋体" w:cs="微软雅黑"/>
                <w:bCs/>
                <w:color w:val="333333"/>
                <w:sz w:val="16"/>
                <w:szCs w:val="16"/>
              </w:rPr>
              <w:t>第一百四十三条  审理机构以审计实施方案为基础，重点关注审计实施的过程及结果，主要审理下列内容：（一）审计实施方案确定的审计事项是否完成；（二）审计发现的重要问题是否在审计报告中反映；（三）主要事实是否清楚、相关证据是否适当、充分；（四）适用法律法规和标准是否适当；（五）评价、定性、处理处罚意见是否恰当；（六）审计程序是否符合规定。第一百四十七条  审计报告、审计决定书原则上应当由审计机关审计业务会议审定；特殊情况下，经审计机关主要负责人授权，可以由审计机关其他负责人审定。</w:t>
            </w:r>
          </w:p>
          <w:p>
            <w:pPr>
              <w:autoSpaceDN w:val="0"/>
              <w:spacing w:line="280" w:lineRule="exact"/>
              <w:ind w:firstLine="320" w:firstLineChars="200"/>
              <w:jc w:val="left"/>
              <w:rPr>
                <w:rFonts w:hint="eastAsia" w:ascii="宋体" w:hAnsi="宋体" w:cs="微软雅黑"/>
                <w:bCs/>
                <w:color w:val="333333"/>
                <w:sz w:val="16"/>
                <w:szCs w:val="16"/>
              </w:rPr>
            </w:pPr>
            <w:r>
              <w:rPr>
                <w:rFonts w:hint="eastAsia" w:ascii="宋体" w:hAnsi="宋体" w:cs="微软雅黑"/>
                <w:bCs/>
                <w:color w:val="333333"/>
                <w:sz w:val="16"/>
                <w:szCs w:val="16"/>
              </w:rPr>
              <w:t>《审计机关审计听证的规定》第三条审计机关对被审计单位和有关责任人员（以下简称当事人）作出下列审计处罚前，应当向当事人送达审计听证告知书，告知当事人在收到审计听证告知书之后三日内有权要求举行审计听证会： （一）对被审计单位处以违反国家规定的财务收支金额百分之五以上且金额在十万元以上罚款；（二）对违反国家规定的财务收支行为负有直接责任的有关责任人员处以二千元以上罚款。</w:t>
            </w:r>
          </w:p>
          <w:p>
            <w:pPr>
              <w:autoSpaceDN w:val="0"/>
              <w:spacing w:line="280" w:lineRule="exact"/>
              <w:ind w:firstLine="320" w:firstLineChars="200"/>
              <w:jc w:val="left"/>
              <w:rPr>
                <w:rFonts w:hint="eastAsia" w:ascii="宋体" w:hAnsi="宋体" w:cs="微软雅黑"/>
                <w:bCs/>
                <w:color w:val="333333"/>
                <w:sz w:val="16"/>
                <w:szCs w:val="16"/>
              </w:rPr>
            </w:pPr>
            <w:r>
              <w:rPr>
                <w:rFonts w:hint="eastAsia" w:ascii="宋体" w:hAnsi="宋体" w:cs="微软雅黑"/>
                <w:bCs/>
                <w:color w:val="auto"/>
                <w:sz w:val="16"/>
                <w:szCs w:val="16"/>
              </w:rPr>
              <w:t>审计署《</w:t>
            </w:r>
            <w:r>
              <w:rPr>
                <w:rFonts w:hint="eastAsia" w:ascii="宋体" w:hAnsi="宋体" w:cs="微软雅黑"/>
                <w:bCs/>
                <w:color w:val="auto"/>
                <w:sz w:val="16"/>
                <w:szCs w:val="16"/>
                <w:lang w:eastAsia="zh-CN"/>
              </w:rPr>
              <w:t>政府投资项目审计规定</w:t>
            </w:r>
            <w:r>
              <w:rPr>
                <w:rFonts w:hint="eastAsia" w:ascii="宋体" w:hAnsi="宋体" w:cs="微软雅黑"/>
                <w:bCs/>
                <w:color w:val="auto"/>
                <w:sz w:val="16"/>
                <w:szCs w:val="16"/>
              </w:rPr>
              <w:t>》审投发（</w:t>
            </w:r>
            <w:r>
              <w:rPr>
                <w:rFonts w:hint="eastAsia" w:ascii="宋体" w:hAnsi="宋体" w:cs="微软雅黑"/>
                <w:bCs/>
                <w:color w:val="auto"/>
                <w:sz w:val="16"/>
                <w:szCs w:val="16"/>
                <w:lang w:val="en-US" w:eastAsia="zh-CN"/>
              </w:rPr>
              <w:t>2010</w:t>
            </w:r>
            <w:r>
              <w:rPr>
                <w:rFonts w:hint="eastAsia" w:ascii="宋体" w:hAnsi="宋体" w:cs="微软雅黑"/>
                <w:bCs/>
                <w:color w:val="auto"/>
                <w:sz w:val="16"/>
                <w:szCs w:val="16"/>
              </w:rPr>
              <w:t>）</w:t>
            </w:r>
            <w:r>
              <w:rPr>
                <w:rFonts w:hint="eastAsia" w:ascii="宋体" w:hAnsi="宋体" w:cs="微软雅黑"/>
                <w:bCs/>
                <w:color w:val="auto"/>
                <w:sz w:val="16"/>
                <w:szCs w:val="16"/>
                <w:lang w:val="en-US" w:eastAsia="zh-CN"/>
              </w:rPr>
              <w:t>173</w:t>
            </w:r>
            <w:r>
              <w:rPr>
                <w:rFonts w:hint="eastAsia" w:ascii="宋体" w:hAnsi="宋体" w:cs="微软雅黑"/>
                <w:bCs/>
                <w:color w:val="auto"/>
                <w:sz w:val="16"/>
                <w:szCs w:val="16"/>
              </w:rPr>
              <w:t>号第二条</w:t>
            </w:r>
            <w:r>
              <w:rPr>
                <w:rFonts w:hint="eastAsia" w:ascii="宋体" w:hAnsi="宋体" w:cs="微软雅黑"/>
                <w:bCs/>
                <w:color w:val="auto"/>
                <w:sz w:val="16"/>
                <w:szCs w:val="16"/>
                <w:lang w:val="en-US" w:eastAsia="zh-CN"/>
              </w:rPr>
              <w:t xml:space="preserve"> </w:t>
            </w:r>
            <w:r>
              <w:rPr>
                <w:rFonts w:hint="eastAsia" w:ascii="宋体" w:hAnsi="宋体" w:cs="微软雅黑"/>
                <w:bCs/>
                <w:color w:val="auto"/>
                <w:sz w:val="16"/>
                <w:szCs w:val="16"/>
              </w:rPr>
              <w:t>审计机关对政府投资和以政府投资为主的项目实施的审计和专项审计调查适用本规定。</w:t>
            </w:r>
          </w:p>
        </w:tc>
        <w:tc>
          <w:tcPr>
            <w:tcW w:w="439" w:type="dxa"/>
            <w:tcBorders>
              <w:top w:val="outset" w:color="auto" w:sz="6" w:space="0"/>
              <w:left w:val="outset" w:color="auto" w:sz="6" w:space="0"/>
              <w:bottom w:val="outset" w:color="auto" w:sz="6" w:space="0"/>
              <w:right w:val="nil"/>
            </w:tcBorders>
            <w:vAlign w:val="center"/>
          </w:tcPr>
          <w:p>
            <w:pPr>
              <w:autoSpaceDN w:val="0"/>
              <w:jc w:val="center"/>
              <w:rPr>
                <w:rFonts w:ascii="微软雅黑" w:hAnsi="微软雅黑" w:eastAsia="微软雅黑" w:cs="微软雅黑"/>
                <w:color w:val="333333"/>
                <w:sz w:val="18"/>
                <w:szCs w:val="18"/>
              </w:rPr>
            </w:pPr>
          </w:p>
        </w:tc>
      </w:tr>
    </w:tbl>
    <w:p>
      <w:pPr>
        <w:spacing w:line="280" w:lineRule="exact"/>
      </w:pPr>
    </w:p>
    <w:p>
      <w:pPr>
        <w:spacing w:line="280" w:lineRule="exact"/>
      </w:pPr>
    </w:p>
    <w:p>
      <w:pPr>
        <w:spacing w:line="280" w:lineRule="exact"/>
      </w:pPr>
    </w:p>
    <w:p>
      <w:pPr>
        <w:spacing w:line="280" w:lineRule="exact"/>
      </w:pPr>
    </w:p>
    <w:p>
      <w:pPr>
        <w:autoSpaceDN w:val="0"/>
        <w:jc w:val="center"/>
        <w:rPr>
          <w:rFonts w:ascii="宋体"/>
          <w:bCs/>
          <w:color w:val="333333"/>
          <w:sz w:val="36"/>
          <w:szCs w:val="36"/>
        </w:rPr>
      </w:pPr>
      <w:r>
        <w:rPr>
          <w:rFonts w:hint="eastAsia" w:ascii="宋体" w:hAnsi="宋体"/>
          <w:bCs/>
          <w:color w:val="000000"/>
          <w:kern w:val="0"/>
          <w:sz w:val="36"/>
          <w:szCs w:val="36"/>
        </w:rPr>
        <w:t>运城市审计局行政权力清单和责任清单</w:t>
      </w:r>
    </w:p>
    <w:tbl>
      <w:tblPr>
        <w:tblStyle w:val="11"/>
        <w:tblW w:w="14578" w:type="dxa"/>
        <w:jc w:val="center"/>
        <w:tblCellSpacing w:w="0" w:type="dxa"/>
        <w:tblInd w:w="-3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68"/>
        <w:gridCol w:w="426"/>
        <w:gridCol w:w="341"/>
        <w:gridCol w:w="359"/>
        <w:gridCol w:w="271"/>
        <w:gridCol w:w="2961"/>
        <w:gridCol w:w="3260"/>
        <w:gridCol w:w="6253"/>
        <w:gridCol w:w="43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0" w:hRule="atLeast"/>
          <w:tblCellSpacing w:w="0" w:type="dxa"/>
          <w:jc w:val="center"/>
        </w:trPr>
        <w:tc>
          <w:tcPr>
            <w:tcW w:w="268" w:type="dxa"/>
            <w:vMerge w:val="restart"/>
            <w:tcBorders>
              <w:top w:val="outset" w:color="auto" w:sz="6" w:space="0"/>
              <w:left w:val="single" w:color="auto" w:sz="4" w:space="0"/>
              <w:bottom w:val="outset" w:color="auto" w:sz="6" w:space="0"/>
              <w:right w:val="single" w:color="auto" w:sz="4"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序号</w:t>
            </w:r>
          </w:p>
        </w:tc>
        <w:tc>
          <w:tcPr>
            <w:tcW w:w="426"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w:t>
            </w:r>
            <w:r>
              <w:rPr>
                <w:rFonts w:hint="eastAsia" w:ascii="宋体" w:hAnsi="宋体" w:cs="微软雅黑"/>
                <w:color w:val="333333"/>
                <w:sz w:val="18"/>
                <w:szCs w:val="18"/>
              </w:rPr>
              <w:br w:type="textWrapping"/>
            </w:r>
            <w:r>
              <w:rPr>
                <w:rFonts w:hint="eastAsia" w:ascii="宋体" w:hAnsi="宋体" w:cs="微软雅黑"/>
                <w:color w:val="333333"/>
                <w:sz w:val="18"/>
                <w:szCs w:val="18"/>
              </w:rPr>
              <w:t>类型</w:t>
            </w:r>
          </w:p>
        </w:tc>
        <w:tc>
          <w:tcPr>
            <w:tcW w:w="341" w:type="dxa"/>
            <w:vMerge w:val="restart"/>
            <w:tcBorders>
              <w:top w:val="outset" w:color="auto" w:sz="6" w:space="0"/>
              <w:left w:val="outset" w:color="auto" w:sz="6" w:space="0"/>
              <w:bottom w:val="outset" w:color="auto" w:sz="6" w:space="0"/>
              <w:right w:val="outset" w:color="auto" w:sz="6" w:space="0"/>
            </w:tcBorders>
            <w:vAlign w:val="top"/>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w:t>
            </w:r>
          </w:p>
          <w:p>
            <w:pPr>
              <w:autoSpaceDN w:val="0"/>
              <w:jc w:val="center"/>
              <w:rPr>
                <w:rFonts w:ascii="宋体" w:hAnsi="宋体" w:cs="微软雅黑"/>
                <w:color w:val="333333"/>
                <w:sz w:val="18"/>
                <w:szCs w:val="18"/>
              </w:rPr>
            </w:pPr>
            <w:r>
              <w:rPr>
                <w:rFonts w:hint="eastAsia" w:ascii="宋体" w:hAnsi="宋体" w:cs="微软雅黑"/>
                <w:color w:val="333333"/>
                <w:sz w:val="18"/>
                <w:szCs w:val="18"/>
              </w:rPr>
              <w:t>编码</w:t>
            </w:r>
          </w:p>
        </w:tc>
        <w:tc>
          <w:tcPr>
            <w:tcW w:w="630" w:type="dxa"/>
            <w:gridSpan w:val="2"/>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职权名称</w:t>
            </w:r>
          </w:p>
        </w:tc>
        <w:tc>
          <w:tcPr>
            <w:tcW w:w="2961"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实施依据</w:t>
            </w:r>
          </w:p>
        </w:tc>
        <w:tc>
          <w:tcPr>
            <w:tcW w:w="3260"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责任事项</w:t>
            </w:r>
          </w:p>
        </w:tc>
        <w:tc>
          <w:tcPr>
            <w:tcW w:w="6253"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责任事项依据</w:t>
            </w:r>
          </w:p>
        </w:tc>
        <w:tc>
          <w:tcPr>
            <w:tcW w:w="439" w:type="dxa"/>
            <w:vMerge w:val="restart"/>
            <w:tcBorders>
              <w:top w:val="outset" w:color="auto" w:sz="6" w:space="0"/>
              <w:left w:val="outset" w:color="auto" w:sz="6" w:space="0"/>
              <w:bottom w:val="outset" w:color="auto" w:sz="6" w:space="0"/>
              <w:right w:val="nil"/>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79" w:hRule="atLeast"/>
          <w:tblCellSpacing w:w="0" w:type="dxa"/>
          <w:jc w:val="center"/>
        </w:trPr>
        <w:tc>
          <w:tcPr>
            <w:tcW w:w="268" w:type="dxa"/>
            <w:vMerge w:val="continue"/>
            <w:tcBorders>
              <w:top w:val="outset" w:color="auto" w:sz="6" w:space="0"/>
              <w:left w:val="single" w:color="auto" w:sz="4" w:space="0"/>
              <w:bottom w:val="outset" w:color="auto" w:sz="6" w:space="0"/>
              <w:right w:val="single" w:color="auto" w:sz="4" w:space="0"/>
            </w:tcBorders>
            <w:vAlign w:val="center"/>
          </w:tcPr>
          <w:p>
            <w:pPr>
              <w:jc w:val="left"/>
              <w:rPr>
                <w:rFonts w:ascii="宋体" w:hAnsi="宋体" w:cs="微软雅黑"/>
                <w:color w:val="333333"/>
                <w:sz w:val="18"/>
                <w:szCs w:val="18"/>
              </w:rPr>
            </w:pPr>
          </w:p>
        </w:tc>
        <w:tc>
          <w:tcPr>
            <w:tcW w:w="426"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341"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359"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项目</w:t>
            </w:r>
          </w:p>
        </w:tc>
        <w:tc>
          <w:tcPr>
            <w:tcW w:w="271"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子项</w:t>
            </w:r>
          </w:p>
        </w:tc>
        <w:tc>
          <w:tcPr>
            <w:tcW w:w="2961"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3260"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6253"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439" w:type="dxa"/>
            <w:vMerge w:val="continue"/>
            <w:tcBorders>
              <w:top w:val="outset" w:color="auto" w:sz="6" w:space="0"/>
              <w:left w:val="outset" w:color="auto" w:sz="6" w:space="0"/>
              <w:bottom w:val="outset" w:color="auto" w:sz="6" w:space="0"/>
              <w:right w:val="nil"/>
            </w:tcBorders>
            <w:vAlign w:val="center"/>
          </w:tcPr>
          <w:p>
            <w:pPr>
              <w:jc w:val="left"/>
              <w:rPr>
                <w:rFonts w:ascii="宋体" w:hAnsi="宋体" w:cs="微软雅黑"/>
                <w:color w:val="333333"/>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395" w:hRule="atLeast"/>
          <w:tblCellSpacing w:w="0" w:type="dxa"/>
          <w:jc w:val="center"/>
        </w:trPr>
        <w:tc>
          <w:tcPr>
            <w:tcW w:w="268" w:type="dxa"/>
            <w:tcBorders>
              <w:top w:val="outset" w:color="auto" w:sz="6" w:space="0"/>
              <w:left w:val="single" w:color="auto" w:sz="4" w:space="0"/>
              <w:bottom w:val="outset" w:color="auto" w:sz="6" w:space="0"/>
              <w:right w:val="outset" w:color="auto" w:sz="6" w:space="0"/>
            </w:tcBorders>
            <w:vAlign w:val="center"/>
          </w:tcPr>
          <w:p>
            <w:pPr>
              <w:autoSpaceDN w:val="0"/>
              <w:jc w:val="center"/>
              <w:rPr>
                <w:rFonts w:ascii="宋体" w:hAnsi="宋体" w:cs="微软雅黑"/>
                <w:color w:val="333333"/>
                <w:sz w:val="16"/>
                <w:szCs w:val="16"/>
              </w:rPr>
            </w:pPr>
            <w:r>
              <w:rPr>
                <w:rFonts w:hint="eastAsia" w:ascii="宋体" w:hAnsi="宋体" w:cs="微软雅黑"/>
                <w:color w:val="333333"/>
                <w:sz w:val="16"/>
                <w:szCs w:val="16"/>
              </w:rPr>
              <w:t>3</w:t>
            </w:r>
          </w:p>
        </w:tc>
        <w:tc>
          <w:tcPr>
            <w:tcW w:w="426"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6"/>
                <w:szCs w:val="16"/>
              </w:rPr>
            </w:pPr>
            <w:r>
              <w:rPr>
                <w:rFonts w:hint="eastAsia" w:ascii="宋体" w:hAnsi="宋体" w:cs="微软雅黑"/>
                <w:color w:val="333333"/>
                <w:sz w:val="16"/>
                <w:szCs w:val="16"/>
              </w:rPr>
              <w:t>行政</w:t>
            </w:r>
            <w:r>
              <w:rPr>
                <w:rFonts w:hint="eastAsia" w:ascii="宋体" w:hAnsi="宋体" w:cs="微软雅黑"/>
                <w:color w:val="333333"/>
                <w:sz w:val="16"/>
                <w:szCs w:val="16"/>
              </w:rPr>
              <w:br w:type="textWrapping"/>
            </w:r>
            <w:r>
              <w:rPr>
                <w:rFonts w:hint="eastAsia" w:ascii="宋体" w:hAnsi="宋体" w:cs="微软雅黑"/>
                <w:color w:val="333333"/>
                <w:sz w:val="16"/>
                <w:szCs w:val="16"/>
              </w:rPr>
              <w:t>强制</w:t>
            </w:r>
          </w:p>
        </w:tc>
        <w:tc>
          <w:tcPr>
            <w:tcW w:w="341" w:type="dxa"/>
            <w:tcBorders>
              <w:top w:val="outset" w:color="auto" w:sz="6" w:space="0"/>
              <w:left w:val="outset" w:color="auto" w:sz="6" w:space="0"/>
              <w:bottom w:val="outset" w:color="auto" w:sz="6" w:space="0"/>
              <w:right w:val="outset" w:color="auto" w:sz="6" w:space="0"/>
            </w:tcBorders>
            <w:vAlign w:val="top"/>
          </w:tcPr>
          <w:p>
            <w:pPr>
              <w:autoSpaceDN w:val="0"/>
              <w:rPr>
                <w:rFonts w:ascii="宋体" w:hAnsi="宋体" w:cs="微软雅黑"/>
                <w:color w:val="333333"/>
                <w:sz w:val="16"/>
                <w:szCs w:val="16"/>
              </w:rPr>
            </w:pPr>
          </w:p>
        </w:tc>
        <w:tc>
          <w:tcPr>
            <w:tcW w:w="630" w:type="dxa"/>
            <w:gridSpan w:val="2"/>
            <w:tcBorders>
              <w:top w:val="outset" w:color="auto" w:sz="6" w:space="0"/>
              <w:left w:val="outset" w:color="auto" w:sz="6" w:space="0"/>
              <w:bottom w:val="outset" w:color="auto" w:sz="6" w:space="0"/>
              <w:right w:val="outset" w:color="auto" w:sz="6" w:space="0"/>
            </w:tcBorders>
            <w:vAlign w:val="center"/>
          </w:tcPr>
          <w:p>
            <w:pPr>
              <w:autoSpaceDN w:val="0"/>
              <w:rPr>
                <w:rFonts w:ascii="宋体" w:hAnsi="宋体" w:cs="微软雅黑"/>
                <w:color w:val="333333"/>
                <w:sz w:val="16"/>
                <w:szCs w:val="16"/>
              </w:rPr>
            </w:pPr>
            <w:r>
              <w:rPr>
                <w:rFonts w:hint="eastAsia" w:ascii="宋体" w:hAnsi="宋体" w:cs="微软雅黑"/>
                <w:color w:val="333333"/>
                <w:sz w:val="16"/>
                <w:szCs w:val="16"/>
              </w:rPr>
              <w:t>封存有关账册、资料、资产，申请法院冻结存款</w:t>
            </w:r>
          </w:p>
        </w:tc>
        <w:tc>
          <w:tcPr>
            <w:tcW w:w="296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val="0"/>
              <w:bidi w:val="0"/>
              <w:adjustRightInd/>
              <w:snapToGrid/>
              <w:spacing w:line="280" w:lineRule="exact"/>
              <w:ind w:firstLine="320" w:firstLineChars="200"/>
              <w:textAlignment w:val="auto"/>
              <w:rPr>
                <w:rFonts w:ascii="宋体" w:hAnsi="宋体" w:cs="微软雅黑"/>
                <w:color w:val="333333"/>
                <w:sz w:val="16"/>
                <w:szCs w:val="16"/>
              </w:rPr>
            </w:pPr>
            <w:r>
              <w:rPr>
                <w:rFonts w:hint="eastAsia" w:ascii="宋体" w:hAnsi="宋体" w:cs="微软雅黑"/>
                <w:color w:val="333333"/>
                <w:sz w:val="16"/>
                <w:szCs w:val="16"/>
              </w:rPr>
              <w:t>【法律】《中华人民共和国审计法》第三十四条：审计机关进行审计时，被审计单位不得转移、隐匿、篡改、毁弃会计凭证、会计账簿、财务会计报告以及其他与财政收支或者财务收支有关的资料，不得转移、隐匿所持有的违反国家规定取得的资产。</w:t>
            </w:r>
          </w:p>
          <w:p>
            <w:pPr>
              <w:keepNext w:val="0"/>
              <w:keepLines w:val="0"/>
              <w:pageBreakBefore w:val="0"/>
              <w:widowControl/>
              <w:kinsoku/>
              <w:wordWrap/>
              <w:overflowPunct/>
              <w:topLinePunct w:val="0"/>
              <w:autoSpaceDE/>
              <w:autoSpaceDN w:val="0"/>
              <w:bidi w:val="0"/>
              <w:adjustRightInd/>
              <w:snapToGrid/>
              <w:spacing w:line="280" w:lineRule="exact"/>
              <w:ind w:firstLine="320" w:firstLineChars="200"/>
              <w:textAlignment w:val="auto"/>
              <w:rPr>
                <w:rFonts w:ascii="宋体" w:hAnsi="宋体" w:cs="微软雅黑"/>
                <w:color w:val="333333"/>
                <w:sz w:val="16"/>
                <w:szCs w:val="16"/>
              </w:rPr>
            </w:pPr>
            <w:r>
              <w:rPr>
                <w:rFonts w:hint="eastAsia" w:ascii="宋体" w:hAnsi="宋体" w:cs="微软雅黑"/>
                <w:color w:val="333333"/>
                <w:sz w:val="16"/>
                <w:szCs w:val="16"/>
              </w:rPr>
              <w:t>审计机关对被审计单位违反前款规定的行为，有权予以制止；必要时，经县级以上人民政府审计机关负责人批准，有权封存有关资料和违反国家规定取得的资产；对其中在金融机构的有关存款需要予以冻结的，应当向人民法院提出申请。</w:t>
            </w:r>
            <w:r>
              <w:rPr>
                <w:rFonts w:hint="eastAsia" w:ascii="宋体" w:hAnsi="宋体" w:cs="微软雅黑"/>
                <w:color w:val="333333"/>
                <w:sz w:val="16"/>
                <w:szCs w:val="16"/>
              </w:rPr>
              <w:br w:type="textWrapping"/>
            </w:r>
            <w:r>
              <w:rPr>
                <w:rFonts w:hint="eastAsia" w:ascii="宋体" w:hAnsi="宋体" w:cs="微软雅黑"/>
                <w:color w:val="333333"/>
                <w:sz w:val="16"/>
                <w:szCs w:val="16"/>
              </w:rPr>
              <w:t xml:space="preserve">    审计机关对被审计单位正在进行的违反国家规定的财政收支、财务收支行为，有权予以制止；制止无效的，经县级以上人民政府审计机关负责人批准，通知财政部门和有关主管部门暂停拨付与违反国家规定的财政收支、财务收支行为直接有关的款项，已经拨付的，暂停使用。</w:t>
            </w:r>
            <w:r>
              <w:rPr>
                <w:rFonts w:hint="eastAsia" w:ascii="宋体" w:hAnsi="宋体" w:cs="微软雅黑"/>
                <w:color w:val="333333"/>
                <w:sz w:val="16"/>
                <w:szCs w:val="16"/>
              </w:rPr>
              <w:br w:type="textWrapping"/>
            </w:r>
            <w:r>
              <w:rPr>
                <w:rFonts w:hint="eastAsia" w:ascii="宋体" w:hAnsi="宋体" w:cs="微软雅黑"/>
                <w:color w:val="333333"/>
                <w:sz w:val="16"/>
                <w:szCs w:val="16"/>
              </w:rPr>
              <w:t xml:space="preserve">    审计机关采取前两款规定的措施不得</w:t>
            </w:r>
          </w:p>
        </w:tc>
        <w:tc>
          <w:tcPr>
            <w:tcW w:w="326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val="0"/>
              <w:bidi w:val="0"/>
              <w:adjustRightInd/>
              <w:snapToGrid/>
              <w:spacing w:line="280" w:lineRule="exact"/>
              <w:ind w:firstLine="320" w:firstLineChars="200"/>
              <w:textAlignment w:val="auto"/>
              <w:rPr>
                <w:rFonts w:hint="eastAsia" w:ascii="宋体" w:hAnsi="宋体" w:cs="微软雅黑"/>
                <w:color w:val="333333"/>
                <w:sz w:val="16"/>
                <w:szCs w:val="16"/>
              </w:rPr>
            </w:pPr>
            <w:r>
              <w:rPr>
                <w:rFonts w:hint="eastAsia" w:ascii="宋体" w:hAnsi="宋体" w:cs="微软雅黑"/>
                <w:color w:val="333333"/>
                <w:sz w:val="16"/>
                <w:szCs w:val="16"/>
              </w:rPr>
              <w:t>1.发现和受理责任:审计机关派出审计组在审计监督中，对发现或者接到举报被审计单位转移、隐匿、篡改、毁弃会计凭证、会计账簿、财务会计报告以及其他与财政收支或者财务收支有关的资料，转移、隐匿所持有的违反国家规定取得的资产，审计组应当报告审计机关，审计机关予以审查，决定予以制止和进一步核查、追责。</w:t>
            </w:r>
            <w:r>
              <w:rPr>
                <w:rFonts w:hint="eastAsia" w:ascii="宋体" w:hAnsi="宋体" w:cs="微软雅黑"/>
                <w:color w:val="333333"/>
                <w:sz w:val="16"/>
                <w:szCs w:val="16"/>
              </w:rPr>
              <w:br w:type="textWrapping"/>
            </w:r>
            <w:r>
              <w:rPr>
                <w:rFonts w:hint="eastAsia" w:ascii="宋体" w:hAnsi="宋体" w:cs="微软雅黑"/>
                <w:color w:val="333333"/>
                <w:sz w:val="16"/>
                <w:szCs w:val="16"/>
              </w:rPr>
              <w:t xml:space="preserve">    2.制止责任：审计组应当根据审计机关的决定，立即予以制止，并及时取得审计证据。制止有效，不影响审计实施的采取先行登记保存措施，不采取封存措施。情节严重或者制止无效的，审计机关予以审查，决定是否进行封存。</w:t>
            </w:r>
            <w:r>
              <w:rPr>
                <w:rFonts w:hint="eastAsia" w:ascii="宋体" w:hAnsi="宋体" w:cs="微软雅黑"/>
                <w:color w:val="333333"/>
                <w:sz w:val="16"/>
                <w:szCs w:val="16"/>
              </w:rPr>
              <w:br w:type="textWrapping"/>
            </w:r>
            <w:r>
              <w:rPr>
                <w:rFonts w:hint="eastAsia" w:ascii="宋体" w:hAnsi="宋体" w:cs="微软雅黑"/>
                <w:color w:val="333333"/>
                <w:sz w:val="16"/>
                <w:szCs w:val="16"/>
              </w:rPr>
              <w:t xml:space="preserve">    3.封存决定责任：对被审计单位正在或者可能转移、隐匿、篡改、毁弃会计凭证、会计账簿、财务会计报告以及其他与财政收支或者财务收支有关的资料的，以及被审计单位正在或者可能转移、隐匿违反国家规定取得的资产的，经审计机关负责人批准，审计人员可以采取封存措施。在紧急情况下，审计组报请市审</w:t>
            </w:r>
          </w:p>
        </w:tc>
        <w:tc>
          <w:tcPr>
            <w:tcW w:w="625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val="0"/>
              <w:bidi w:val="0"/>
              <w:adjustRightInd/>
              <w:snapToGrid/>
              <w:spacing w:line="280" w:lineRule="exact"/>
              <w:ind w:firstLine="320" w:firstLineChars="200"/>
              <w:textAlignment w:val="auto"/>
              <w:rPr>
                <w:rFonts w:hint="eastAsia" w:ascii="宋体" w:hAnsi="宋体" w:cs="微软雅黑"/>
                <w:color w:val="333333"/>
                <w:sz w:val="16"/>
                <w:szCs w:val="16"/>
              </w:rPr>
            </w:pPr>
            <w:r>
              <w:rPr>
                <w:rFonts w:hint="eastAsia" w:ascii="宋体" w:hAnsi="宋体" w:cs="微软雅黑"/>
                <w:color w:val="333333"/>
                <w:sz w:val="16"/>
                <w:szCs w:val="16"/>
              </w:rPr>
              <w:t>《审计法》第三十四条　审计机关进行审计时，被审计单位不得转移、隐匿、篡改、毁弃会计凭证、会计账簿、财务会计报告以及其他与财政收支或者财务收支有关的资料，不得转移、隐匿所持有的违反国家规定取得的资产。</w:t>
            </w:r>
          </w:p>
          <w:p>
            <w:pPr>
              <w:keepNext w:val="0"/>
              <w:keepLines w:val="0"/>
              <w:pageBreakBefore w:val="0"/>
              <w:widowControl/>
              <w:kinsoku/>
              <w:wordWrap/>
              <w:overflowPunct/>
              <w:topLinePunct w:val="0"/>
              <w:autoSpaceDE/>
              <w:autoSpaceDN w:val="0"/>
              <w:bidi w:val="0"/>
              <w:adjustRightInd/>
              <w:snapToGrid/>
              <w:spacing w:line="280" w:lineRule="exact"/>
              <w:ind w:firstLine="320" w:firstLineChars="200"/>
              <w:textAlignment w:val="auto"/>
              <w:rPr>
                <w:rFonts w:hint="eastAsia" w:ascii="宋体" w:hAnsi="宋体" w:cs="微软雅黑"/>
                <w:color w:val="333333"/>
                <w:sz w:val="16"/>
                <w:szCs w:val="16"/>
              </w:rPr>
            </w:pPr>
            <w:r>
              <w:rPr>
                <w:rFonts w:hint="eastAsia" w:ascii="宋体" w:hAnsi="宋体" w:cs="微软雅黑"/>
                <w:color w:val="333333"/>
                <w:sz w:val="16"/>
                <w:szCs w:val="16"/>
              </w:rPr>
              <w:t>第三十八条　审计机关根据审计项目计划确定的审计事项组成审计组，并应当在实施审计三日前，向被审计单位送达审计通知书；遇有特殊情况，经本级人民政府批准，审计机关可以直接持审计通知书实施审计。被审计单位应当配合审计机关的工作，并提供必要的工作条件。审计机关应当提高审计工作效率。</w:t>
            </w:r>
            <w:r>
              <w:rPr>
                <w:rFonts w:hint="eastAsia" w:ascii="宋体" w:hAnsi="宋体" w:cs="微软雅黑"/>
                <w:color w:val="333333"/>
                <w:sz w:val="16"/>
                <w:szCs w:val="16"/>
              </w:rPr>
              <w:br w:type="textWrapping"/>
            </w:r>
            <w:r>
              <w:rPr>
                <w:rFonts w:hint="eastAsia" w:ascii="宋体" w:hAnsi="宋体" w:cs="微软雅黑"/>
                <w:color w:val="333333"/>
                <w:sz w:val="16"/>
                <w:szCs w:val="16"/>
              </w:rPr>
              <w:t xml:space="preserve">   《审计法实施条例》（国务院令第571号）第六条任何单位和个人对依法应当接受审计机关审计监督的单位违反国家规定的财政收支、财务收支行为，有权向审计机关举报。审计机关接到举报，应当依法及时处理。</w:t>
            </w:r>
            <w:r>
              <w:rPr>
                <w:rFonts w:hint="eastAsia" w:ascii="宋体" w:hAnsi="宋体" w:cs="微软雅黑"/>
                <w:color w:val="333333"/>
                <w:sz w:val="16"/>
                <w:szCs w:val="16"/>
              </w:rPr>
              <w:br w:type="textWrapping"/>
            </w:r>
            <w:r>
              <w:rPr>
                <w:rFonts w:hint="eastAsia" w:ascii="宋体" w:hAnsi="宋体" w:cs="微软雅黑"/>
                <w:color w:val="333333"/>
                <w:sz w:val="16"/>
                <w:szCs w:val="16"/>
              </w:rPr>
              <w:t xml:space="preserve">   《审计机关封存资料资产规定》（2010国家审计署令第9号）第三条　审计机关采取封存措施，应当遵循合法、谨慎的原则。</w:t>
            </w:r>
            <w:r>
              <w:rPr>
                <w:rFonts w:hint="eastAsia" w:ascii="宋体" w:hAnsi="宋体" w:cs="微软雅黑"/>
                <w:color w:val="333333"/>
                <w:sz w:val="16"/>
                <w:szCs w:val="16"/>
              </w:rPr>
              <w:br w:type="textWrapping"/>
            </w:r>
            <w:r>
              <w:rPr>
                <w:rFonts w:hint="eastAsia" w:ascii="宋体" w:hAnsi="宋体" w:cs="微软雅黑"/>
                <w:color w:val="333333"/>
                <w:sz w:val="16"/>
                <w:szCs w:val="16"/>
              </w:rPr>
              <w:t>审计机关应当严格依照审计法、审计法实施条例和本规定确定的条件、程序采取封存措施，不得滥用封存权。  审计机关通过制止被审计单位违法行为、及时取证或者采取先行登记保存措施可以达到审计目的的，不必采取封存措施。</w:t>
            </w:r>
            <w:r>
              <w:rPr>
                <w:rFonts w:hint="eastAsia" w:ascii="宋体" w:hAnsi="宋体" w:cs="微软雅黑"/>
                <w:color w:val="333333"/>
                <w:sz w:val="16"/>
                <w:szCs w:val="16"/>
              </w:rPr>
              <w:br w:type="textWrapping"/>
            </w:r>
            <w:r>
              <w:rPr>
                <w:rFonts w:hint="eastAsia" w:ascii="宋体" w:hAnsi="宋体" w:cs="微软雅黑"/>
                <w:color w:val="333333"/>
                <w:sz w:val="16"/>
                <w:szCs w:val="16"/>
              </w:rPr>
              <w:t xml:space="preserve">    第四条　有下列情形之一的，审计机关可以采取封存措施：（一）被审计单位正在或者可能转移、隐匿、篡改、毁弃会计凭证、会计账簿、财务会计报告以及其他与财政收支或者财务收支有关的资料的；（二）被审计单位正在或者可能转移、隐匿违反国家规定取得的资产的。</w:t>
            </w:r>
          </w:p>
          <w:p>
            <w:pPr>
              <w:keepNext w:val="0"/>
              <w:keepLines w:val="0"/>
              <w:pageBreakBefore w:val="0"/>
              <w:widowControl/>
              <w:kinsoku/>
              <w:wordWrap/>
              <w:overflowPunct/>
              <w:topLinePunct w:val="0"/>
              <w:autoSpaceDE/>
              <w:autoSpaceDN w:val="0"/>
              <w:bidi w:val="0"/>
              <w:adjustRightInd/>
              <w:snapToGrid/>
              <w:spacing w:line="280" w:lineRule="exact"/>
              <w:ind w:firstLine="320" w:firstLineChars="200"/>
              <w:textAlignment w:val="auto"/>
              <w:rPr>
                <w:rFonts w:hint="eastAsia" w:ascii="宋体" w:hAnsi="宋体" w:cs="微软雅黑"/>
                <w:color w:val="333333"/>
                <w:sz w:val="16"/>
                <w:szCs w:val="16"/>
              </w:rPr>
            </w:pPr>
            <w:r>
              <w:rPr>
                <w:rFonts w:hint="eastAsia" w:ascii="宋体" w:hAnsi="宋体" w:cs="微软雅黑"/>
                <w:color w:val="333333"/>
                <w:sz w:val="16"/>
                <w:szCs w:val="16"/>
              </w:rPr>
              <w:t>第七条　审计机关采取封存措施，应当经县级以上人民政府审计机关（含县级人民政府审计机关和省级以上人民政府审计机关派出机构，下同）负责人批准，由两名审计人员</w:t>
            </w:r>
          </w:p>
        </w:tc>
        <w:tc>
          <w:tcPr>
            <w:tcW w:w="439" w:type="dxa"/>
            <w:tcBorders>
              <w:top w:val="outset" w:color="auto" w:sz="6" w:space="0"/>
              <w:left w:val="outset" w:color="auto" w:sz="6" w:space="0"/>
              <w:bottom w:val="outset" w:color="auto" w:sz="6" w:space="0"/>
              <w:right w:val="nil"/>
            </w:tcBorders>
            <w:vAlign w:val="center"/>
          </w:tcPr>
          <w:p>
            <w:pPr>
              <w:autoSpaceDN w:val="0"/>
              <w:jc w:val="center"/>
              <w:rPr>
                <w:rFonts w:ascii="微软雅黑" w:hAnsi="微软雅黑" w:eastAsia="微软雅黑" w:cs="微软雅黑"/>
                <w:color w:val="333333"/>
                <w:sz w:val="18"/>
                <w:szCs w:val="18"/>
              </w:rPr>
            </w:pPr>
          </w:p>
        </w:tc>
      </w:tr>
    </w:tbl>
    <w:p>
      <w:pPr>
        <w:autoSpaceDN w:val="0"/>
        <w:jc w:val="center"/>
        <w:rPr>
          <w:rFonts w:hint="eastAsia" w:ascii="宋体" w:hAnsi="宋体"/>
          <w:bCs/>
          <w:color w:val="000000"/>
          <w:kern w:val="0"/>
          <w:sz w:val="36"/>
          <w:szCs w:val="36"/>
        </w:rPr>
      </w:pPr>
    </w:p>
    <w:p>
      <w:pPr>
        <w:autoSpaceDN w:val="0"/>
        <w:jc w:val="center"/>
        <w:rPr>
          <w:rFonts w:ascii="宋体"/>
          <w:bCs/>
          <w:color w:val="333333"/>
          <w:sz w:val="36"/>
          <w:szCs w:val="36"/>
        </w:rPr>
      </w:pPr>
      <w:r>
        <w:rPr>
          <w:rFonts w:hint="eastAsia" w:ascii="宋体" w:hAnsi="宋体"/>
          <w:bCs/>
          <w:color w:val="000000"/>
          <w:kern w:val="0"/>
          <w:sz w:val="36"/>
          <w:szCs w:val="36"/>
        </w:rPr>
        <w:t>运城市审计局行政权力清单和责任清单</w:t>
      </w:r>
    </w:p>
    <w:tbl>
      <w:tblPr>
        <w:tblStyle w:val="11"/>
        <w:tblW w:w="14578" w:type="dxa"/>
        <w:jc w:val="center"/>
        <w:tblCellSpacing w:w="0" w:type="dxa"/>
        <w:tblInd w:w="-3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68"/>
        <w:gridCol w:w="426"/>
        <w:gridCol w:w="341"/>
        <w:gridCol w:w="359"/>
        <w:gridCol w:w="271"/>
        <w:gridCol w:w="2961"/>
        <w:gridCol w:w="3260"/>
        <w:gridCol w:w="6253"/>
        <w:gridCol w:w="43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0" w:hRule="atLeast"/>
          <w:tblCellSpacing w:w="0" w:type="dxa"/>
          <w:jc w:val="center"/>
        </w:trPr>
        <w:tc>
          <w:tcPr>
            <w:tcW w:w="268" w:type="dxa"/>
            <w:vMerge w:val="restart"/>
            <w:tcBorders>
              <w:top w:val="outset" w:color="auto" w:sz="6" w:space="0"/>
              <w:left w:val="single" w:color="auto" w:sz="4"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序号</w:t>
            </w:r>
          </w:p>
        </w:tc>
        <w:tc>
          <w:tcPr>
            <w:tcW w:w="426"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w:t>
            </w:r>
            <w:r>
              <w:rPr>
                <w:rFonts w:hint="eastAsia" w:ascii="宋体" w:hAnsi="宋体" w:cs="微软雅黑"/>
                <w:color w:val="333333"/>
                <w:sz w:val="18"/>
                <w:szCs w:val="18"/>
              </w:rPr>
              <w:br w:type="textWrapping"/>
            </w:r>
            <w:r>
              <w:rPr>
                <w:rFonts w:hint="eastAsia" w:ascii="宋体" w:hAnsi="宋体" w:cs="微软雅黑"/>
                <w:color w:val="333333"/>
                <w:sz w:val="18"/>
                <w:szCs w:val="18"/>
              </w:rPr>
              <w:t>类型</w:t>
            </w:r>
          </w:p>
        </w:tc>
        <w:tc>
          <w:tcPr>
            <w:tcW w:w="341" w:type="dxa"/>
            <w:vMerge w:val="restart"/>
            <w:tcBorders>
              <w:top w:val="outset" w:color="auto" w:sz="6" w:space="0"/>
              <w:left w:val="outset" w:color="auto" w:sz="6" w:space="0"/>
              <w:bottom w:val="outset" w:color="auto" w:sz="6" w:space="0"/>
              <w:right w:val="outset" w:color="auto" w:sz="6" w:space="0"/>
            </w:tcBorders>
            <w:vAlign w:val="top"/>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w:t>
            </w:r>
          </w:p>
          <w:p>
            <w:pPr>
              <w:autoSpaceDN w:val="0"/>
              <w:jc w:val="center"/>
              <w:rPr>
                <w:rFonts w:ascii="宋体" w:hAnsi="宋体" w:cs="微软雅黑"/>
                <w:color w:val="333333"/>
                <w:sz w:val="18"/>
                <w:szCs w:val="18"/>
              </w:rPr>
            </w:pPr>
            <w:r>
              <w:rPr>
                <w:rFonts w:hint="eastAsia" w:ascii="宋体" w:hAnsi="宋体" w:cs="微软雅黑"/>
                <w:color w:val="333333"/>
                <w:sz w:val="18"/>
                <w:szCs w:val="18"/>
              </w:rPr>
              <w:t>编码</w:t>
            </w:r>
          </w:p>
        </w:tc>
        <w:tc>
          <w:tcPr>
            <w:tcW w:w="630" w:type="dxa"/>
            <w:gridSpan w:val="2"/>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职权名称</w:t>
            </w:r>
          </w:p>
        </w:tc>
        <w:tc>
          <w:tcPr>
            <w:tcW w:w="2961"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实施依据</w:t>
            </w:r>
          </w:p>
        </w:tc>
        <w:tc>
          <w:tcPr>
            <w:tcW w:w="3260"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责任事项</w:t>
            </w:r>
          </w:p>
        </w:tc>
        <w:tc>
          <w:tcPr>
            <w:tcW w:w="6253"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责任事项依据</w:t>
            </w:r>
          </w:p>
        </w:tc>
        <w:tc>
          <w:tcPr>
            <w:tcW w:w="439" w:type="dxa"/>
            <w:vMerge w:val="restart"/>
            <w:tcBorders>
              <w:top w:val="outset" w:color="auto" w:sz="6" w:space="0"/>
              <w:left w:val="outset" w:color="auto" w:sz="6" w:space="0"/>
              <w:bottom w:val="outset" w:color="auto" w:sz="6" w:space="0"/>
              <w:right w:val="nil"/>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3" w:hRule="atLeast"/>
          <w:tblCellSpacing w:w="0" w:type="dxa"/>
          <w:jc w:val="center"/>
        </w:trPr>
        <w:tc>
          <w:tcPr>
            <w:tcW w:w="268" w:type="dxa"/>
            <w:vMerge w:val="continue"/>
            <w:tcBorders>
              <w:top w:val="outset" w:color="auto" w:sz="6" w:space="0"/>
              <w:left w:val="single" w:color="auto" w:sz="4"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426"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341"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359"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项目</w:t>
            </w:r>
          </w:p>
        </w:tc>
        <w:tc>
          <w:tcPr>
            <w:tcW w:w="271"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子项</w:t>
            </w:r>
          </w:p>
        </w:tc>
        <w:tc>
          <w:tcPr>
            <w:tcW w:w="2961"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3260"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6253"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439" w:type="dxa"/>
            <w:vMerge w:val="continue"/>
            <w:tcBorders>
              <w:top w:val="outset" w:color="auto" w:sz="6" w:space="0"/>
              <w:left w:val="outset" w:color="auto" w:sz="6" w:space="0"/>
              <w:bottom w:val="outset" w:color="auto" w:sz="6" w:space="0"/>
              <w:right w:val="nil"/>
            </w:tcBorders>
            <w:vAlign w:val="center"/>
          </w:tcPr>
          <w:p>
            <w:pPr>
              <w:jc w:val="left"/>
              <w:rPr>
                <w:rFonts w:ascii="宋体" w:hAnsi="宋体" w:cs="微软雅黑"/>
                <w:color w:val="333333"/>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395" w:hRule="atLeast"/>
          <w:tblCellSpacing w:w="0" w:type="dxa"/>
          <w:jc w:val="center"/>
        </w:trPr>
        <w:tc>
          <w:tcPr>
            <w:tcW w:w="268" w:type="dxa"/>
            <w:tcBorders>
              <w:top w:val="outset" w:color="auto" w:sz="6" w:space="0"/>
              <w:left w:val="single" w:color="auto" w:sz="4" w:space="0"/>
              <w:bottom w:val="outset" w:color="auto" w:sz="6" w:space="0"/>
              <w:right w:val="outset" w:color="auto" w:sz="6" w:space="0"/>
            </w:tcBorders>
            <w:vAlign w:val="center"/>
          </w:tcPr>
          <w:p>
            <w:pPr>
              <w:autoSpaceDN w:val="0"/>
              <w:spacing w:line="340" w:lineRule="exact"/>
              <w:jc w:val="center"/>
              <w:rPr>
                <w:rFonts w:ascii="宋体" w:hAnsi="宋体" w:cs="微软雅黑"/>
                <w:color w:val="333333"/>
                <w:sz w:val="16"/>
                <w:szCs w:val="16"/>
              </w:rPr>
            </w:pPr>
            <w:r>
              <w:rPr>
                <w:rFonts w:hint="eastAsia" w:ascii="宋体" w:hAnsi="宋体" w:cs="微软雅黑"/>
                <w:color w:val="333333"/>
                <w:sz w:val="16"/>
                <w:szCs w:val="16"/>
              </w:rPr>
              <w:t>3</w:t>
            </w:r>
          </w:p>
        </w:tc>
        <w:tc>
          <w:tcPr>
            <w:tcW w:w="426" w:type="dxa"/>
            <w:tcBorders>
              <w:top w:val="outset" w:color="auto" w:sz="6" w:space="0"/>
              <w:left w:val="outset" w:color="auto" w:sz="6" w:space="0"/>
              <w:bottom w:val="outset" w:color="auto" w:sz="6" w:space="0"/>
              <w:right w:val="outset" w:color="auto" w:sz="6" w:space="0"/>
            </w:tcBorders>
            <w:vAlign w:val="center"/>
          </w:tcPr>
          <w:p>
            <w:pPr>
              <w:autoSpaceDN w:val="0"/>
              <w:spacing w:line="340" w:lineRule="exact"/>
              <w:jc w:val="center"/>
              <w:rPr>
                <w:rFonts w:ascii="宋体" w:hAnsi="宋体" w:cs="微软雅黑"/>
                <w:color w:val="333333"/>
                <w:sz w:val="16"/>
                <w:szCs w:val="16"/>
              </w:rPr>
            </w:pPr>
            <w:r>
              <w:rPr>
                <w:rFonts w:hint="eastAsia" w:ascii="宋体" w:hAnsi="宋体" w:cs="微软雅黑"/>
                <w:color w:val="333333"/>
                <w:sz w:val="16"/>
                <w:szCs w:val="16"/>
              </w:rPr>
              <w:t>行政</w:t>
            </w:r>
            <w:r>
              <w:rPr>
                <w:rFonts w:hint="eastAsia" w:ascii="宋体" w:hAnsi="宋体" w:cs="微软雅黑"/>
                <w:color w:val="333333"/>
                <w:sz w:val="16"/>
                <w:szCs w:val="16"/>
              </w:rPr>
              <w:br w:type="textWrapping"/>
            </w:r>
            <w:r>
              <w:rPr>
                <w:rFonts w:hint="eastAsia" w:ascii="宋体" w:hAnsi="宋体" w:cs="微软雅黑"/>
                <w:color w:val="333333"/>
                <w:sz w:val="16"/>
                <w:szCs w:val="16"/>
              </w:rPr>
              <w:t>强制</w:t>
            </w:r>
          </w:p>
        </w:tc>
        <w:tc>
          <w:tcPr>
            <w:tcW w:w="341" w:type="dxa"/>
            <w:tcBorders>
              <w:top w:val="outset" w:color="auto" w:sz="6" w:space="0"/>
              <w:left w:val="outset" w:color="auto" w:sz="6" w:space="0"/>
              <w:bottom w:val="outset" w:color="auto" w:sz="6" w:space="0"/>
              <w:right w:val="outset" w:color="auto" w:sz="6" w:space="0"/>
            </w:tcBorders>
            <w:vAlign w:val="top"/>
          </w:tcPr>
          <w:p>
            <w:pPr>
              <w:autoSpaceDN w:val="0"/>
              <w:spacing w:line="340" w:lineRule="exact"/>
              <w:rPr>
                <w:rFonts w:ascii="宋体" w:hAnsi="宋体" w:cs="微软雅黑"/>
                <w:color w:val="333333"/>
                <w:sz w:val="16"/>
                <w:szCs w:val="16"/>
              </w:rPr>
            </w:pPr>
          </w:p>
        </w:tc>
        <w:tc>
          <w:tcPr>
            <w:tcW w:w="630" w:type="dxa"/>
            <w:gridSpan w:val="2"/>
            <w:tcBorders>
              <w:top w:val="outset" w:color="auto" w:sz="6" w:space="0"/>
              <w:left w:val="outset" w:color="auto" w:sz="6" w:space="0"/>
              <w:bottom w:val="outset" w:color="auto" w:sz="6" w:space="0"/>
              <w:right w:val="outset" w:color="auto" w:sz="6" w:space="0"/>
            </w:tcBorders>
            <w:vAlign w:val="center"/>
          </w:tcPr>
          <w:p>
            <w:pPr>
              <w:autoSpaceDN w:val="0"/>
              <w:spacing w:line="340" w:lineRule="exact"/>
              <w:rPr>
                <w:rFonts w:ascii="宋体" w:hAnsi="宋体" w:cs="微软雅黑"/>
                <w:color w:val="333333"/>
                <w:sz w:val="16"/>
                <w:szCs w:val="16"/>
              </w:rPr>
            </w:pPr>
            <w:r>
              <w:rPr>
                <w:rFonts w:hint="eastAsia" w:ascii="宋体" w:hAnsi="宋体" w:cs="微软雅黑"/>
                <w:color w:val="333333"/>
                <w:sz w:val="16"/>
                <w:szCs w:val="16"/>
              </w:rPr>
              <w:t>封存有关账册、资料、资产，申请法院冻结存款</w:t>
            </w:r>
          </w:p>
        </w:tc>
        <w:tc>
          <w:tcPr>
            <w:tcW w:w="2961" w:type="dxa"/>
            <w:tcBorders>
              <w:top w:val="outset" w:color="auto" w:sz="6" w:space="0"/>
              <w:left w:val="outset" w:color="auto" w:sz="6" w:space="0"/>
              <w:bottom w:val="outset" w:color="auto" w:sz="6" w:space="0"/>
              <w:right w:val="outset" w:color="auto" w:sz="6" w:space="0"/>
            </w:tcBorders>
            <w:vAlign w:val="center"/>
          </w:tcPr>
          <w:p>
            <w:pPr>
              <w:autoSpaceDN w:val="0"/>
              <w:spacing w:line="340" w:lineRule="exact"/>
              <w:rPr>
                <w:rFonts w:ascii="宋体" w:hAnsi="宋体" w:cs="微软雅黑"/>
                <w:color w:val="333333"/>
                <w:sz w:val="16"/>
                <w:szCs w:val="16"/>
              </w:rPr>
            </w:pPr>
            <w:r>
              <w:rPr>
                <w:rFonts w:hint="eastAsia" w:ascii="宋体" w:hAnsi="宋体" w:cs="微软雅黑"/>
                <w:color w:val="333333"/>
                <w:sz w:val="16"/>
                <w:szCs w:val="16"/>
              </w:rPr>
              <w:t>影响被审计单位合法的业务活动和生产经营活动。</w:t>
            </w:r>
            <w:r>
              <w:rPr>
                <w:rFonts w:hint="eastAsia" w:ascii="宋体" w:hAnsi="宋体" w:cs="微软雅黑"/>
                <w:color w:val="333333"/>
                <w:sz w:val="16"/>
                <w:szCs w:val="16"/>
              </w:rPr>
              <w:br w:type="textWrapping"/>
            </w:r>
            <w:r>
              <w:rPr>
                <w:rFonts w:hint="eastAsia" w:ascii="宋体" w:hAnsi="宋体" w:cs="微软雅黑"/>
                <w:color w:val="333333"/>
                <w:sz w:val="16"/>
                <w:szCs w:val="16"/>
              </w:rPr>
              <w:t xml:space="preserve">    【行政法规】《中华人民共和国审计法实施条例》 第三十二条:　审计机关依照审计法第三十四条规定封存被审计单位有关资料和违反国家规定取得的资产的，应当持县级以上人民政府审计机关负责人签发的封存通知书，并在依法收集与审计事项相关的证明材料或者采取其他措施后解除封存。封存的期限为7日以内；有特殊情况需要延长的，经县级以上人民政府审计机关负责人批准，可以适当延长，但延长的期限不得超过7日。</w:t>
            </w:r>
            <w:r>
              <w:rPr>
                <w:rFonts w:hint="eastAsia" w:ascii="宋体" w:hAnsi="宋体" w:cs="微软雅黑"/>
                <w:color w:val="333333"/>
                <w:sz w:val="16"/>
                <w:szCs w:val="16"/>
              </w:rPr>
              <w:br w:type="textWrapping"/>
            </w:r>
            <w:r>
              <w:rPr>
                <w:rFonts w:hint="eastAsia" w:ascii="宋体" w:hAnsi="宋体" w:cs="微软雅黑"/>
                <w:color w:val="333333"/>
                <w:sz w:val="16"/>
                <w:szCs w:val="16"/>
              </w:rPr>
              <w:t xml:space="preserve">    对封存的资料、资产，审计机关可以指定被审计单位负责保管，被审计单位不得损毁或者擅自转移。</w:t>
            </w:r>
          </w:p>
        </w:tc>
        <w:tc>
          <w:tcPr>
            <w:tcW w:w="3260" w:type="dxa"/>
            <w:tcBorders>
              <w:top w:val="outset" w:color="auto" w:sz="6" w:space="0"/>
              <w:left w:val="outset" w:color="auto" w:sz="6" w:space="0"/>
              <w:bottom w:val="outset" w:color="auto" w:sz="6" w:space="0"/>
              <w:right w:val="outset" w:color="auto" w:sz="6" w:space="0"/>
            </w:tcBorders>
            <w:vAlign w:val="center"/>
          </w:tcPr>
          <w:p>
            <w:pPr>
              <w:autoSpaceDN w:val="0"/>
              <w:spacing w:line="340" w:lineRule="exact"/>
              <w:rPr>
                <w:rFonts w:ascii="宋体" w:hAnsi="宋体" w:cs="微软雅黑"/>
                <w:color w:val="333333"/>
                <w:sz w:val="16"/>
                <w:szCs w:val="16"/>
              </w:rPr>
            </w:pPr>
            <w:r>
              <w:rPr>
                <w:rFonts w:hint="eastAsia" w:ascii="宋体" w:hAnsi="宋体" w:cs="微软雅黑"/>
                <w:color w:val="333333"/>
                <w:sz w:val="16"/>
                <w:szCs w:val="16"/>
              </w:rPr>
              <w:t>计局主要负责人口头批准，可以当场予以封存（随后补制封存通知书），根据实际情况，审计机关向人民法院申请冻结银行存款。</w:t>
            </w:r>
            <w:r>
              <w:rPr>
                <w:rFonts w:hint="eastAsia" w:ascii="宋体" w:hAnsi="宋体" w:cs="微软雅黑"/>
                <w:color w:val="333333"/>
                <w:sz w:val="16"/>
                <w:szCs w:val="16"/>
              </w:rPr>
              <w:br w:type="textWrapping"/>
            </w:r>
            <w:r>
              <w:rPr>
                <w:rFonts w:hint="eastAsia" w:ascii="宋体" w:hAnsi="宋体" w:cs="微软雅黑"/>
                <w:color w:val="333333"/>
                <w:sz w:val="16"/>
                <w:szCs w:val="16"/>
              </w:rPr>
              <w:t>4.送达执行责任：审计机关应持送达审计封存通知书实施封存措施。采取封存措施，应当由两名审计人员实施，并会同被审计单位相关人员对有关资料或者资产进行清点，开列封存清单，双方核对签名或盖章。</w:t>
            </w:r>
            <w:r>
              <w:rPr>
                <w:rFonts w:hint="eastAsia" w:ascii="宋体" w:hAnsi="宋体" w:cs="微软雅黑"/>
                <w:color w:val="333333"/>
                <w:sz w:val="16"/>
                <w:szCs w:val="16"/>
              </w:rPr>
              <w:br w:type="textWrapping"/>
            </w:r>
            <w:r>
              <w:rPr>
                <w:rFonts w:hint="eastAsia" w:ascii="宋体" w:hAnsi="宋体" w:cs="微软雅黑"/>
                <w:color w:val="333333"/>
                <w:sz w:val="16"/>
                <w:szCs w:val="16"/>
              </w:rPr>
              <w:t>5.事后监管责任：封存期限届满或者在封存期限内完成对有关资料或者资产处理的，审计人员应当与被审计单位相关人员共同清点封存的资料或者资产后予以退还。封存的期限一般不得超过7个工作日；有特殊情况需要延长的，经审计机关负责人批准，可以适当延长，但延长的期限不得超过7个工作日。</w:t>
            </w:r>
            <w:r>
              <w:rPr>
                <w:rFonts w:hint="eastAsia" w:ascii="宋体" w:hAnsi="宋体" w:cs="微软雅黑"/>
                <w:color w:val="333333"/>
                <w:sz w:val="16"/>
                <w:szCs w:val="16"/>
              </w:rPr>
              <w:br w:type="textWrapping"/>
            </w:r>
            <w:r>
              <w:rPr>
                <w:rFonts w:hint="eastAsia" w:ascii="宋体" w:hAnsi="宋体" w:cs="微软雅黑"/>
                <w:color w:val="333333"/>
                <w:sz w:val="16"/>
                <w:szCs w:val="16"/>
              </w:rPr>
              <w:t>6.其他：法律法规规章规定应履行的责任。</w:t>
            </w:r>
          </w:p>
        </w:tc>
        <w:tc>
          <w:tcPr>
            <w:tcW w:w="6253" w:type="dxa"/>
            <w:tcBorders>
              <w:top w:val="outset" w:color="auto" w:sz="6" w:space="0"/>
              <w:left w:val="outset" w:color="auto" w:sz="6" w:space="0"/>
              <w:bottom w:val="outset" w:color="auto" w:sz="6" w:space="0"/>
              <w:right w:val="outset" w:color="auto" w:sz="6" w:space="0"/>
            </w:tcBorders>
            <w:vAlign w:val="center"/>
          </w:tcPr>
          <w:p>
            <w:pPr>
              <w:autoSpaceDN w:val="0"/>
              <w:spacing w:line="340" w:lineRule="exact"/>
              <w:rPr>
                <w:rFonts w:ascii="宋体" w:hAnsi="宋体" w:cs="微软雅黑"/>
                <w:color w:val="333333"/>
                <w:sz w:val="16"/>
                <w:szCs w:val="16"/>
              </w:rPr>
            </w:pPr>
            <w:r>
              <w:rPr>
                <w:rFonts w:hint="eastAsia" w:ascii="宋体" w:hAnsi="宋体" w:cs="微软雅黑"/>
                <w:color w:val="333333"/>
                <w:sz w:val="16"/>
                <w:szCs w:val="16"/>
              </w:rPr>
              <w:t>实施。</w:t>
            </w:r>
          </w:p>
          <w:p>
            <w:pPr>
              <w:autoSpaceDN w:val="0"/>
              <w:spacing w:line="340" w:lineRule="exact"/>
              <w:ind w:firstLine="320" w:firstLineChars="200"/>
              <w:rPr>
                <w:rFonts w:ascii="宋体" w:hAnsi="宋体" w:cs="微软雅黑"/>
                <w:color w:val="333333"/>
                <w:sz w:val="16"/>
                <w:szCs w:val="16"/>
              </w:rPr>
            </w:pPr>
            <w:r>
              <w:rPr>
                <w:rFonts w:hint="eastAsia" w:ascii="宋体" w:hAnsi="宋体" w:cs="微软雅黑"/>
                <w:color w:val="333333"/>
                <w:sz w:val="16"/>
                <w:szCs w:val="16"/>
              </w:rPr>
              <w:t>第八条　审计机关采取封存措施，应当向被审计单位送达封存通知书。封存通知书包括下列内容：（一）被审计单位名称；（二）封存依据；（三）封存资料或者资产的名称、数量等；（四）封存期限；（五）被审计单位申请行政复议或者提起行政诉讼的途径和期限；（六）审计机关的名称、印章和日期。  在被审计单位正在转移、隐匿、篡改、毁弃有关资料或者正在转移、隐匿违反国家规定取得的资产等紧急情况下，审计人员报经县级以上人民政府审计机关负责人口头批准，可以采取必要措施，当场予以封存，再补送封存通知书。</w:t>
            </w:r>
          </w:p>
          <w:p>
            <w:pPr>
              <w:autoSpaceDN w:val="0"/>
              <w:spacing w:line="340" w:lineRule="exact"/>
              <w:ind w:firstLine="320" w:firstLineChars="200"/>
              <w:rPr>
                <w:rFonts w:ascii="宋体" w:hAnsi="宋体" w:cs="微软雅黑"/>
                <w:color w:val="333333"/>
                <w:sz w:val="16"/>
                <w:szCs w:val="16"/>
              </w:rPr>
            </w:pPr>
            <w:r>
              <w:rPr>
                <w:rFonts w:hint="eastAsia" w:ascii="宋体" w:hAnsi="宋体" w:cs="微软雅黑"/>
                <w:color w:val="333333"/>
                <w:sz w:val="16"/>
                <w:szCs w:val="16"/>
              </w:rPr>
              <w:t>第十二条　被审计单位或者受托保管的第三人应当履行保管责任，除本规定第十三条规定的情形外，不得擅自启封，不得损毁或者转移存放封存资料、资产的设备或者设施。</w:t>
            </w:r>
          </w:p>
          <w:p>
            <w:pPr>
              <w:autoSpaceDN w:val="0"/>
              <w:spacing w:line="340" w:lineRule="exact"/>
              <w:ind w:firstLine="320" w:firstLineChars="200"/>
              <w:rPr>
                <w:rFonts w:ascii="宋体" w:hAnsi="宋体" w:cs="微软雅黑"/>
                <w:color w:val="333333"/>
                <w:sz w:val="16"/>
                <w:szCs w:val="16"/>
              </w:rPr>
            </w:pPr>
            <w:r>
              <w:rPr>
                <w:rFonts w:hint="eastAsia" w:ascii="宋体" w:hAnsi="宋体" w:cs="微软雅黑"/>
                <w:color w:val="333333"/>
                <w:sz w:val="16"/>
                <w:szCs w:val="16"/>
              </w:rPr>
              <w:t>第十四条　封存的期限一般不得超过7个工作日；有特殊情况需要延长的，经县级以上人民政府审计机关负责人批准，可以适当延长，但延长的期限不得超过7个工作日。</w:t>
            </w:r>
          </w:p>
          <w:p>
            <w:pPr>
              <w:autoSpaceDN w:val="0"/>
              <w:spacing w:line="340" w:lineRule="exact"/>
              <w:ind w:firstLine="320" w:firstLineChars="200"/>
              <w:rPr>
                <w:rFonts w:ascii="宋体" w:hAnsi="宋体" w:cs="微软雅黑"/>
                <w:color w:val="333333"/>
                <w:sz w:val="16"/>
                <w:szCs w:val="16"/>
              </w:rPr>
            </w:pPr>
            <w:r>
              <w:rPr>
                <w:rFonts w:hint="eastAsia" w:ascii="宋体" w:hAnsi="宋体" w:cs="微软雅黑"/>
                <w:color w:val="333333"/>
                <w:sz w:val="16"/>
                <w:szCs w:val="16"/>
              </w:rPr>
              <w:t>第十六条　审计机关在封存期限届满或者在封存期限内完成对有关资料或者资产处理的，审计人员应当与被审计单位相关人员共同清点封存的资料或者资产后予以退还，并在双方持有的封存清单上注明解除封存日期和退还的资料或者资产，由双方签名或者盖章。</w:t>
            </w:r>
          </w:p>
        </w:tc>
        <w:tc>
          <w:tcPr>
            <w:tcW w:w="439" w:type="dxa"/>
            <w:tcBorders>
              <w:top w:val="outset" w:color="auto" w:sz="6" w:space="0"/>
              <w:left w:val="outset" w:color="auto" w:sz="6" w:space="0"/>
              <w:bottom w:val="outset" w:color="auto" w:sz="6" w:space="0"/>
              <w:right w:val="nil"/>
            </w:tcBorders>
            <w:vAlign w:val="center"/>
          </w:tcPr>
          <w:p>
            <w:pPr>
              <w:autoSpaceDN w:val="0"/>
              <w:jc w:val="center"/>
              <w:rPr>
                <w:rFonts w:ascii="微软雅黑" w:hAnsi="微软雅黑" w:eastAsia="微软雅黑" w:cs="微软雅黑"/>
                <w:color w:val="333333"/>
                <w:sz w:val="18"/>
                <w:szCs w:val="18"/>
              </w:rPr>
            </w:pPr>
          </w:p>
        </w:tc>
      </w:tr>
    </w:tbl>
    <w:p>
      <w:pPr>
        <w:spacing w:line="280" w:lineRule="exact"/>
      </w:pPr>
    </w:p>
    <w:p>
      <w:pPr>
        <w:spacing w:line="280" w:lineRule="exact"/>
      </w:pPr>
    </w:p>
    <w:p>
      <w:pPr>
        <w:spacing w:line="280" w:lineRule="exact"/>
      </w:pPr>
    </w:p>
    <w:p>
      <w:pPr>
        <w:spacing w:line="280" w:lineRule="exact"/>
      </w:pPr>
    </w:p>
    <w:p>
      <w:pPr>
        <w:autoSpaceDN w:val="0"/>
        <w:jc w:val="center"/>
        <w:rPr>
          <w:rFonts w:ascii="宋体"/>
          <w:bCs/>
          <w:color w:val="333333"/>
          <w:sz w:val="36"/>
          <w:szCs w:val="36"/>
        </w:rPr>
      </w:pPr>
      <w:r>
        <w:rPr>
          <w:rFonts w:hint="eastAsia" w:ascii="宋体" w:hAnsi="宋体"/>
          <w:bCs/>
          <w:color w:val="000000"/>
          <w:kern w:val="0"/>
          <w:sz w:val="36"/>
          <w:szCs w:val="36"/>
        </w:rPr>
        <w:t>运城市审计局行政权力清单和责任清单</w:t>
      </w:r>
    </w:p>
    <w:tbl>
      <w:tblPr>
        <w:tblStyle w:val="11"/>
        <w:tblW w:w="14578" w:type="dxa"/>
        <w:jc w:val="center"/>
        <w:tblCellSpacing w:w="0" w:type="dxa"/>
        <w:tblInd w:w="-3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68"/>
        <w:gridCol w:w="426"/>
        <w:gridCol w:w="341"/>
        <w:gridCol w:w="189"/>
        <w:gridCol w:w="283"/>
        <w:gridCol w:w="3119"/>
        <w:gridCol w:w="3260"/>
        <w:gridCol w:w="6379"/>
        <w:gridCol w:w="31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0" w:hRule="atLeast"/>
          <w:tblCellSpacing w:w="0" w:type="dxa"/>
          <w:jc w:val="center"/>
        </w:trPr>
        <w:tc>
          <w:tcPr>
            <w:tcW w:w="268" w:type="dxa"/>
            <w:vMerge w:val="restart"/>
            <w:tcBorders>
              <w:top w:val="outset" w:color="auto" w:sz="6" w:space="0"/>
              <w:left w:val="single" w:color="auto" w:sz="4"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序号</w:t>
            </w:r>
          </w:p>
        </w:tc>
        <w:tc>
          <w:tcPr>
            <w:tcW w:w="426"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w:t>
            </w:r>
            <w:r>
              <w:rPr>
                <w:rFonts w:hint="eastAsia" w:ascii="宋体" w:hAnsi="宋体" w:cs="微软雅黑"/>
                <w:color w:val="333333"/>
                <w:sz w:val="18"/>
                <w:szCs w:val="18"/>
              </w:rPr>
              <w:br w:type="textWrapping"/>
            </w:r>
            <w:r>
              <w:rPr>
                <w:rFonts w:hint="eastAsia" w:ascii="宋体" w:hAnsi="宋体" w:cs="微软雅黑"/>
                <w:color w:val="333333"/>
                <w:sz w:val="18"/>
                <w:szCs w:val="18"/>
              </w:rPr>
              <w:t>类型</w:t>
            </w:r>
          </w:p>
        </w:tc>
        <w:tc>
          <w:tcPr>
            <w:tcW w:w="341" w:type="dxa"/>
            <w:vMerge w:val="restart"/>
            <w:tcBorders>
              <w:top w:val="outset" w:color="auto" w:sz="6" w:space="0"/>
              <w:left w:val="outset" w:color="auto" w:sz="6" w:space="0"/>
              <w:bottom w:val="outset" w:color="auto" w:sz="6" w:space="0"/>
              <w:right w:val="outset" w:color="auto" w:sz="6" w:space="0"/>
            </w:tcBorders>
            <w:vAlign w:val="top"/>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w:t>
            </w:r>
          </w:p>
          <w:p>
            <w:pPr>
              <w:autoSpaceDN w:val="0"/>
              <w:jc w:val="center"/>
              <w:rPr>
                <w:rFonts w:ascii="宋体" w:hAnsi="宋体" w:cs="微软雅黑"/>
                <w:color w:val="333333"/>
                <w:sz w:val="18"/>
                <w:szCs w:val="18"/>
              </w:rPr>
            </w:pPr>
            <w:r>
              <w:rPr>
                <w:rFonts w:hint="eastAsia" w:ascii="宋体" w:hAnsi="宋体" w:cs="微软雅黑"/>
                <w:color w:val="333333"/>
                <w:sz w:val="18"/>
                <w:szCs w:val="18"/>
              </w:rPr>
              <w:t>编码</w:t>
            </w:r>
          </w:p>
        </w:tc>
        <w:tc>
          <w:tcPr>
            <w:tcW w:w="472" w:type="dxa"/>
            <w:gridSpan w:val="2"/>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职权名称</w:t>
            </w:r>
          </w:p>
        </w:tc>
        <w:tc>
          <w:tcPr>
            <w:tcW w:w="3119"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实施依据</w:t>
            </w:r>
          </w:p>
        </w:tc>
        <w:tc>
          <w:tcPr>
            <w:tcW w:w="3260"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责任事项</w:t>
            </w:r>
          </w:p>
        </w:tc>
        <w:tc>
          <w:tcPr>
            <w:tcW w:w="6379"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责任事项依据</w:t>
            </w:r>
          </w:p>
        </w:tc>
        <w:tc>
          <w:tcPr>
            <w:tcW w:w="313" w:type="dxa"/>
            <w:vMerge w:val="restart"/>
            <w:tcBorders>
              <w:top w:val="outset" w:color="auto" w:sz="6" w:space="0"/>
              <w:left w:val="outset" w:color="auto" w:sz="6" w:space="0"/>
              <w:bottom w:val="outset" w:color="auto" w:sz="6" w:space="0"/>
              <w:right w:val="nil"/>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3" w:hRule="atLeast"/>
          <w:tblCellSpacing w:w="0" w:type="dxa"/>
          <w:jc w:val="center"/>
        </w:trPr>
        <w:tc>
          <w:tcPr>
            <w:tcW w:w="268" w:type="dxa"/>
            <w:vMerge w:val="continue"/>
            <w:tcBorders>
              <w:top w:val="outset" w:color="auto" w:sz="6" w:space="0"/>
              <w:left w:val="single" w:color="auto" w:sz="4"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426"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341"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189"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项目</w:t>
            </w:r>
          </w:p>
        </w:tc>
        <w:tc>
          <w:tcPr>
            <w:tcW w:w="283"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子项</w:t>
            </w:r>
          </w:p>
        </w:tc>
        <w:tc>
          <w:tcPr>
            <w:tcW w:w="3119"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3260"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6379"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313" w:type="dxa"/>
            <w:vMerge w:val="continue"/>
            <w:tcBorders>
              <w:top w:val="outset" w:color="auto" w:sz="6" w:space="0"/>
              <w:left w:val="outset" w:color="auto" w:sz="6" w:space="0"/>
              <w:bottom w:val="outset" w:color="auto" w:sz="6" w:space="0"/>
              <w:right w:val="nil"/>
            </w:tcBorders>
            <w:vAlign w:val="center"/>
          </w:tcPr>
          <w:p>
            <w:pPr>
              <w:jc w:val="left"/>
              <w:rPr>
                <w:rFonts w:ascii="宋体" w:hAnsi="宋体" w:cs="微软雅黑"/>
                <w:color w:val="333333"/>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395" w:hRule="atLeast"/>
          <w:tblCellSpacing w:w="0" w:type="dxa"/>
          <w:jc w:val="center"/>
        </w:trPr>
        <w:tc>
          <w:tcPr>
            <w:tcW w:w="268" w:type="dxa"/>
            <w:tcBorders>
              <w:top w:val="outset" w:color="auto" w:sz="6" w:space="0"/>
              <w:left w:val="single" w:color="auto" w:sz="4" w:space="0"/>
              <w:bottom w:val="outset" w:color="auto" w:sz="6" w:space="0"/>
              <w:right w:val="outset" w:color="auto" w:sz="6" w:space="0"/>
            </w:tcBorders>
            <w:vAlign w:val="center"/>
          </w:tcPr>
          <w:p>
            <w:pPr>
              <w:autoSpaceDN w:val="0"/>
              <w:rPr>
                <w:rFonts w:ascii="宋体" w:hAnsi="宋体" w:cs="微软雅黑"/>
                <w:color w:val="333333"/>
                <w:sz w:val="16"/>
                <w:szCs w:val="16"/>
              </w:rPr>
            </w:pPr>
            <w:r>
              <w:rPr>
                <w:rFonts w:hint="eastAsia" w:ascii="宋体" w:hAnsi="宋体" w:cs="微软雅黑"/>
                <w:color w:val="333333"/>
                <w:sz w:val="16"/>
                <w:szCs w:val="16"/>
              </w:rPr>
              <w:t>4</w:t>
            </w:r>
          </w:p>
        </w:tc>
        <w:tc>
          <w:tcPr>
            <w:tcW w:w="426"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6"/>
                <w:szCs w:val="16"/>
              </w:rPr>
            </w:pPr>
            <w:r>
              <w:rPr>
                <w:rFonts w:hint="eastAsia" w:ascii="宋体" w:hAnsi="宋体" w:cs="微软雅黑"/>
                <w:color w:val="333333"/>
                <w:sz w:val="16"/>
                <w:szCs w:val="16"/>
              </w:rPr>
              <w:t>行政</w:t>
            </w:r>
            <w:r>
              <w:rPr>
                <w:rFonts w:hint="eastAsia" w:ascii="宋体" w:hAnsi="宋体" w:cs="微软雅黑"/>
                <w:color w:val="333333"/>
                <w:sz w:val="16"/>
                <w:szCs w:val="16"/>
              </w:rPr>
              <w:br w:type="textWrapping"/>
            </w:r>
            <w:r>
              <w:rPr>
                <w:rFonts w:hint="eastAsia" w:ascii="宋体" w:hAnsi="宋体" w:cs="微软雅黑"/>
                <w:color w:val="333333"/>
                <w:sz w:val="16"/>
                <w:szCs w:val="16"/>
              </w:rPr>
              <w:t>强制</w:t>
            </w:r>
          </w:p>
        </w:tc>
        <w:tc>
          <w:tcPr>
            <w:tcW w:w="341" w:type="dxa"/>
            <w:tcBorders>
              <w:top w:val="outset" w:color="auto" w:sz="6" w:space="0"/>
              <w:left w:val="outset" w:color="auto" w:sz="6" w:space="0"/>
              <w:bottom w:val="outset" w:color="auto" w:sz="6" w:space="0"/>
              <w:right w:val="outset" w:color="auto" w:sz="6" w:space="0"/>
            </w:tcBorders>
            <w:vAlign w:val="top"/>
          </w:tcPr>
          <w:p>
            <w:pPr>
              <w:autoSpaceDN w:val="0"/>
              <w:rPr>
                <w:rFonts w:ascii="宋体" w:hAnsi="宋体" w:cs="微软雅黑"/>
                <w:color w:val="333333"/>
                <w:sz w:val="16"/>
                <w:szCs w:val="16"/>
              </w:rPr>
            </w:pPr>
          </w:p>
        </w:tc>
        <w:tc>
          <w:tcPr>
            <w:tcW w:w="472" w:type="dxa"/>
            <w:gridSpan w:val="2"/>
            <w:tcBorders>
              <w:top w:val="outset" w:color="auto" w:sz="6" w:space="0"/>
              <w:left w:val="outset" w:color="auto" w:sz="6" w:space="0"/>
              <w:bottom w:val="outset" w:color="auto" w:sz="6" w:space="0"/>
              <w:right w:val="outset" w:color="auto" w:sz="6" w:space="0"/>
            </w:tcBorders>
            <w:vAlign w:val="center"/>
          </w:tcPr>
          <w:p>
            <w:pPr>
              <w:autoSpaceDN w:val="0"/>
              <w:rPr>
                <w:rFonts w:ascii="宋体" w:hAnsi="宋体" w:cs="微软雅黑"/>
                <w:color w:val="333333"/>
                <w:sz w:val="16"/>
                <w:szCs w:val="16"/>
              </w:rPr>
            </w:pPr>
            <w:r>
              <w:rPr>
                <w:rFonts w:hint="eastAsia" w:ascii="宋体" w:hAnsi="宋体" w:cs="微软雅黑"/>
                <w:color w:val="333333"/>
                <w:sz w:val="16"/>
                <w:szCs w:val="16"/>
              </w:rPr>
              <w:t>通知暂停拨付与暂停使用有关款项</w:t>
            </w:r>
          </w:p>
        </w:tc>
        <w:tc>
          <w:tcPr>
            <w:tcW w:w="3119" w:type="dxa"/>
            <w:tcBorders>
              <w:top w:val="outset" w:color="auto" w:sz="6" w:space="0"/>
              <w:left w:val="outset" w:color="auto" w:sz="6" w:space="0"/>
              <w:bottom w:val="outset" w:color="auto" w:sz="6" w:space="0"/>
              <w:right w:val="outset" w:color="auto" w:sz="6" w:space="0"/>
            </w:tcBorders>
            <w:vAlign w:val="center"/>
          </w:tcPr>
          <w:p>
            <w:pPr>
              <w:autoSpaceDN w:val="0"/>
              <w:spacing w:line="280" w:lineRule="exact"/>
              <w:rPr>
                <w:rFonts w:ascii="宋体" w:hAnsi="宋体" w:cs="微软雅黑"/>
                <w:color w:val="333333"/>
                <w:sz w:val="16"/>
                <w:szCs w:val="16"/>
              </w:rPr>
            </w:pPr>
            <w:r>
              <w:rPr>
                <w:rFonts w:hint="eastAsia" w:ascii="宋体" w:hAnsi="宋体" w:cs="微软雅黑"/>
                <w:color w:val="333333"/>
                <w:sz w:val="16"/>
                <w:szCs w:val="16"/>
              </w:rPr>
              <w:t>【法律】 《中华人民共和国审计法》第三十四条　审计机关进行审计时，被审计单位不得转移、隐匿、篡改、毁弃会计凭证、会计账簿、财务会计报告以及其他与财政收支或者财务收支有关的资料，不得转移、隐匿所持有的违反国家规定取得的资产。</w:t>
            </w:r>
            <w:r>
              <w:rPr>
                <w:rFonts w:hint="eastAsia" w:ascii="宋体" w:hAnsi="宋体" w:cs="微软雅黑"/>
                <w:color w:val="333333"/>
                <w:sz w:val="16"/>
                <w:szCs w:val="16"/>
              </w:rPr>
              <w:br w:type="textWrapping"/>
            </w:r>
            <w:r>
              <w:rPr>
                <w:rFonts w:hint="eastAsia" w:ascii="宋体" w:hAnsi="宋体" w:cs="微软雅黑"/>
                <w:color w:val="333333"/>
                <w:sz w:val="16"/>
                <w:szCs w:val="16"/>
              </w:rPr>
              <w:t>　　审计机关对被审计单位违反前款规定的行为，有权予以制止；必要时，经县级以上人民政府审计机关负责人批准，有权封存有关资料和违反国家规定取得的资产；对其中在金融机构的有关存款需要予以冻结的，应当向人民法院提出申请。</w:t>
            </w:r>
            <w:r>
              <w:rPr>
                <w:rFonts w:hint="eastAsia" w:ascii="宋体" w:hAnsi="宋体" w:cs="微软雅黑"/>
                <w:color w:val="333333"/>
                <w:sz w:val="16"/>
                <w:szCs w:val="16"/>
              </w:rPr>
              <w:br w:type="textWrapping"/>
            </w:r>
            <w:r>
              <w:rPr>
                <w:rFonts w:hint="eastAsia" w:ascii="宋体" w:hAnsi="宋体" w:cs="微软雅黑"/>
                <w:color w:val="333333"/>
                <w:sz w:val="16"/>
                <w:szCs w:val="16"/>
              </w:rPr>
              <w:t>　　审计机关对被审计单位正在进行的违反国家规定的财政收支、财务收支行为，有权予以制止；制止无效的，经县级以上人民政府审计机关负责人批准，通知财政部门和有关主管部门暂停拨付与违反国家规定的财政收支、财务收支行为直接有关的款项，已经拨付的，暂停使用。</w:t>
            </w:r>
            <w:r>
              <w:rPr>
                <w:rFonts w:hint="eastAsia" w:ascii="宋体" w:hAnsi="宋体" w:cs="微软雅黑"/>
                <w:color w:val="333333"/>
                <w:sz w:val="16"/>
                <w:szCs w:val="16"/>
              </w:rPr>
              <w:br w:type="textWrapping"/>
            </w:r>
            <w:r>
              <w:rPr>
                <w:rFonts w:hint="eastAsia" w:ascii="宋体" w:hAnsi="宋体" w:cs="微软雅黑"/>
                <w:color w:val="333333"/>
                <w:sz w:val="16"/>
                <w:szCs w:val="16"/>
              </w:rPr>
              <w:t>　　审计机关采取前两款规定的措施不得影响被审计单位合法的业务活动和生产经营活动。</w:t>
            </w:r>
          </w:p>
        </w:tc>
        <w:tc>
          <w:tcPr>
            <w:tcW w:w="3260" w:type="dxa"/>
            <w:tcBorders>
              <w:top w:val="outset" w:color="auto" w:sz="6" w:space="0"/>
              <w:left w:val="outset" w:color="auto" w:sz="6" w:space="0"/>
              <w:bottom w:val="outset" w:color="auto" w:sz="6" w:space="0"/>
              <w:right w:val="outset" w:color="auto" w:sz="6" w:space="0"/>
            </w:tcBorders>
            <w:vAlign w:val="center"/>
          </w:tcPr>
          <w:p>
            <w:pPr>
              <w:numPr>
                <w:ilvl w:val="0"/>
                <w:numId w:val="1"/>
              </w:numPr>
              <w:autoSpaceDN w:val="0"/>
              <w:rPr>
                <w:rFonts w:ascii="宋体" w:hAnsi="宋体" w:cs="微软雅黑"/>
                <w:color w:val="333333"/>
                <w:sz w:val="16"/>
                <w:szCs w:val="16"/>
              </w:rPr>
            </w:pPr>
            <w:r>
              <w:rPr>
                <w:rFonts w:hint="eastAsia" w:ascii="宋体" w:hAnsi="宋体" w:cs="微软雅黑"/>
                <w:color w:val="333333"/>
                <w:sz w:val="16"/>
                <w:szCs w:val="16"/>
              </w:rPr>
              <w:t>发现和受理责任：审计机关派出审计组在审计监督中，对发现或者接到举报被审计单位正在进行违反国家规定的财政收支、财务收支行为，审计组应当报告审计机关，审计机关予以审查，决定予以制止和进一步核查、追责。</w:t>
            </w:r>
            <w:r>
              <w:rPr>
                <w:rFonts w:hint="eastAsia" w:ascii="宋体" w:hAnsi="宋体" w:cs="微软雅黑"/>
                <w:color w:val="333333"/>
                <w:sz w:val="16"/>
                <w:szCs w:val="16"/>
              </w:rPr>
              <w:br w:type="textWrapping"/>
            </w:r>
            <w:r>
              <w:rPr>
                <w:rFonts w:hint="eastAsia" w:ascii="宋体" w:hAnsi="宋体" w:cs="微软雅黑"/>
                <w:color w:val="333333"/>
                <w:sz w:val="16"/>
                <w:szCs w:val="16"/>
              </w:rPr>
              <w:t>2.制止责任：审计组应当根据审计机关的决定，立即予以制止，并及时取得审计证据。情节严重或者制止无效，审计机关予以审查，决定是否通知财政部门和有关主管部门暂停拨付或者暂停使用有关款项。</w:t>
            </w:r>
            <w:r>
              <w:rPr>
                <w:rFonts w:hint="eastAsia" w:ascii="宋体" w:hAnsi="宋体" w:cs="微软雅黑"/>
                <w:color w:val="333333"/>
                <w:sz w:val="16"/>
                <w:szCs w:val="16"/>
              </w:rPr>
              <w:br w:type="textWrapping"/>
            </w:r>
            <w:r>
              <w:rPr>
                <w:rFonts w:hint="eastAsia" w:ascii="宋体" w:hAnsi="宋体" w:cs="微软雅黑"/>
                <w:color w:val="333333"/>
                <w:sz w:val="16"/>
                <w:szCs w:val="16"/>
              </w:rPr>
              <w:t xml:space="preserve">3.决定责任：对被审计单位正在进行的违反国家规定的财政收支、财务收支行为，经审计机关负责人批准，向财政部门和有关主管部门、以及被审计单位送达暂停拨付或暂停使用通知书。 </w:t>
            </w:r>
          </w:p>
          <w:p>
            <w:pPr>
              <w:autoSpaceDN w:val="0"/>
              <w:rPr>
                <w:rFonts w:ascii="宋体" w:hAnsi="宋体" w:cs="微软雅黑"/>
                <w:color w:val="333333"/>
                <w:sz w:val="16"/>
                <w:szCs w:val="16"/>
              </w:rPr>
            </w:pPr>
            <w:r>
              <w:rPr>
                <w:rFonts w:hint="eastAsia" w:ascii="宋体" w:hAnsi="宋体" w:cs="微软雅黑"/>
                <w:color w:val="333333"/>
                <w:sz w:val="16"/>
                <w:szCs w:val="16"/>
              </w:rPr>
              <w:t>5.事后处理责任：在规定期限内，审计机关依法作出处理决定或者作出解除暂停拨付与使用决定。</w:t>
            </w:r>
            <w:r>
              <w:rPr>
                <w:rFonts w:hint="eastAsia" w:ascii="宋体" w:hAnsi="宋体" w:cs="微软雅黑"/>
                <w:color w:val="333333"/>
                <w:sz w:val="16"/>
                <w:szCs w:val="16"/>
              </w:rPr>
              <w:br w:type="textWrapping"/>
            </w:r>
            <w:r>
              <w:rPr>
                <w:rFonts w:hint="eastAsia" w:ascii="宋体" w:hAnsi="宋体" w:cs="微软雅黑"/>
                <w:color w:val="333333"/>
                <w:sz w:val="16"/>
                <w:szCs w:val="16"/>
              </w:rPr>
              <w:t>5.其他：法律法规规章规定应履行的责任。</w:t>
            </w:r>
          </w:p>
        </w:tc>
        <w:tc>
          <w:tcPr>
            <w:tcW w:w="6379" w:type="dxa"/>
            <w:tcBorders>
              <w:top w:val="outset" w:color="auto" w:sz="6" w:space="0"/>
              <w:left w:val="outset" w:color="auto" w:sz="6" w:space="0"/>
              <w:bottom w:val="outset" w:color="auto" w:sz="6" w:space="0"/>
              <w:right w:val="outset" w:color="auto" w:sz="6" w:space="0"/>
            </w:tcBorders>
            <w:vAlign w:val="center"/>
          </w:tcPr>
          <w:p>
            <w:pPr>
              <w:autoSpaceDN w:val="0"/>
              <w:spacing w:line="240" w:lineRule="exact"/>
              <w:ind w:firstLine="360"/>
              <w:rPr>
                <w:rFonts w:ascii="宋体" w:hAnsi="宋体" w:cs="微软雅黑"/>
                <w:color w:val="333333"/>
                <w:sz w:val="16"/>
                <w:szCs w:val="16"/>
              </w:rPr>
            </w:pPr>
            <w:r>
              <w:rPr>
                <w:rFonts w:hint="eastAsia" w:ascii="宋体" w:hAnsi="宋体" w:cs="微软雅黑"/>
                <w:color w:val="333333"/>
                <w:sz w:val="16"/>
                <w:szCs w:val="16"/>
              </w:rPr>
              <w:t>《审计法》第三十四条　审计机关进行审计时，被审计单位不得转移、隐匿、篡改、毁弃会计凭证、会计账簿、财务会计报告以及其他与财政收支或者财务收支有关的资料，不得转移、隐匿所持有的违反国家规定取得的资产。</w:t>
            </w:r>
            <w:r>
              <w:rPr>
                <w:rFonts w:hint="eastAsia" w:ascii="宋体" w:hAnsi="宋体" w:cs="微软雅黑"/>
                <w:color w:val="333333"/>
                <w:sz w:val="16"/>
                <w:szCs w:val="16"/>
              </w:rPr>
              <w:br w:type="textWrapping"/>
            </w:r>
            <w:r>
              <w:rPr>
                <w:rFonts w:hint="eastAsia" w:ascii="宋体" w:hAnsi="宋体" w:cs="微软雅黑"/>
                <w:color w:val="333333"/>
                <w:sz w:val="16"/>
                <w:szCs w:val="16"/>
              </w:rPr>
              <w:t>　　审计机关对被审计单位违反前款规定的行为，有权予以制止；必要时，经县级以上人民政府审计机关负责人批准，有权封存有关资料和违反国家规定取得的资产；对其中在金融机构的有关存款需要予以冻结的，应当向人民法院提出申请。</w:t>
            </w:r>
            <w:r>
              <w:rPr>
                <w:rFonts w:hint="eastAsia" w:ascii="宋体" w:hAnsi="宋体" w:cs="微软雅黑"/>
                <w:color w:val="333333"/>
                <w:sz w:val="16"/>
                <w:szCs w:val="16"/>
              </w:rPr>
              <w:br w:type="textWrapping"/>
            </w:r>
            <w:r>
              <w:rPr>
                <w:rFonts w:hint="eastAsia" w:ascii="宋体" w:hAnsi="宋体" w:cs="微软雅黑"/>
                <w:color w:val="333333"/>
                <w:sz w:val="16"/>
                <w:szCs w:val="16"/>
              </w:rPr>
              <w:t>　　审计机关对被审计单位正在进行的违反国家规定的财政收支、财务收支行为，有权予以制止；制止无效的，经县级以上人民政府审计机关负责人批准，通知财政部门和有关主管部门暂停拨付与违反国家规定的财政收支、财务收支行为直接有关的款项，已经拨付的，暂停使用。</w:t>
            </w:r>
            <w:r>
              <w:rPr>
                <w:rFonts w:hint="eastAsia" w:ascii="宋体" w:hAnsi="宋体" w:cs="微软雅黑"/>
                <w:color w:val="333333"/>
                <w:sz w:val="16"/>
                <w:szCs w:val="16"/>
              </w:rPr>
              <w:br w:type="textWrapping"/>
            </w:r>
            <w:r>
              <w:rPr>
                <w:rFonts w:hint="eastAsia" w:ascii="宋体" w:hAnsi="宋体" w:cs="微软雅黑"/>
                <w:color w:val="333333"/>
                <w:sz w:val="16"/>
                <w:szCs w:val="16"/>
              </w:rPr>
              <w:t>　　审计机关采取前两款规定的措施不得影响被审计单位合法的业务活动和生产经营活动。</w:t>
            </w:r>
          </w:p>
          <w:p>
            <w:pPr>
              <w:autoSpaceDN w:val="0"/>
              <w:spacing w:line="240" w:lineRule="exact"/>
              <w:ind w:firstLine="360"/>
              <w:rPr>
                <w:rFonts w:ascii="宋体" w:hAnsi="宋体" w:cs="微软雅黑"/>
                <w:color w:val="333333"/>
                <w:sz w:val="16"/>
                <w:szCs w:val="16"/>
              </w:rPr>
            </w:pPr>
            <w:r>
              <w:rPr>
                <w:rFonts w:hint="eastAsia" w:ascii="宋体" w:hAnsi="宋体" w:cs="微软雅黑"/>
                <w:color w:val="333333"/>
                <w:sz w:val="16"/>
                <w:szCs w:val="16"/>
              </w:rPr>
              <w:t>第三十八条　审计机关根据审计项目计划确定的审计事项组成审计组，并应当在实施审计三日前，向被审计单位送达审计通知书；遇有特殊情况，经本级人民政府批准，审计机关可以直接持审计通知书实施审计。</w:t>
            </w:r>
            <w:r>
              <w:rPr>
                <w:rFonts w:hint="eastAsia" w:ascii="宋体" w:hAnsi="宋体" w:cs="微软雅黑"/>
                <w:color w:val="333333"/>
                <w:sz w:val="16"/>
                <w:szCs w:val="16"/>
              </w:rPr>
              <w:br w:type="textWrapping"/>
            </w:r>
            <w:r>
              <w:rPr>
                <w:rFonts w:hint="eastAsia" w:ascii="宋体" w:hAnsi="宋体" w:cs="微软雅黑"/>
                <w:color w:val="333333"/>
                <w:sz w:val="16"/>
                <w:szCs w:val="16"/>
              </w:rPr>
              <w:t>　　被审计单位应当配合审计机关的工作，并提供必要的工作条件。</w:t>
            </w:r>
            <w:r>
              <w:rPr>
                <w:rFonts w:hint="eastAsia" w:ascii="宋体" w:hAnsi="宋体" w:cs="微软雅黑"/>
                <w:color w:val="333333"/>
                <w:sz w:val="16"/>
                <w:szCs w:val="16"/>
              </w:rPr>
              <w:br w:type="textWrapping"/>
            </w:r>
            <w:r>
              <w:rPr>
                <w:rFonts w:hint="eastAsia" w:ascii="宋体" w:hAnsi="宋体" w:cs="微软雅黑"/>
                <w:color w:val="333333"/>
                <w:sz w:val="16"/>
                <w:szCs w:val="16"/>
              </w:rPr>
              <w:t>　　审计机关应当提高审计工作效率。</w:t>
            </w:r>
          </w:p>
          <w:p>
            <w:pPr>
              <w:autoSpaceDN w:val="0"/>
              <w:spacing w:line="240" w:lineRule="exact"/>
              <w:rPr>
                <w:rFonts w:hint="eastAsia" w:ascii="宋体" w:hAnsi="宋体" w:cs="微软雅黑"/>
                <w:color w:val="333333"/>
                <w:sz w:val="16"/>
                <w:szCs w:val="16"/>
              </w:rPr>
            </w:pPr>
            <w:r>
              <w:rPr>
                <w:rFonts w:hint="eastAsia" w:ascii="宋体" w:hAnsi="宋体" w:cs="微软雅黑"/>
                <w:color w:val="333333"/>
                <w:sz w:val="16"/>
                <w:szCs w:val="16"/>
              </w:rPr>
              <w:t>第四十一条　审计机关按照审计署规定的程序对审计组的审计报告进行审议，并对被审计对象对审计组的审计报告提出的意见一并研究后，提出审计机关的审计报告；对违反国家规定的财政收支、财务收支行为，依法应当给予处理、处罚的，在法定职权范围内作出审计决定或者向有关主管机关提出处理、处罚的意见。</w:t>
            </w:r>
          </w:p>
          <w:p>
            <w:pPr>
              <w:autoSpaceDN w:val="0"/>
              <w:spacing w:line="240" w:lineRule="exact"/>
              <w:rPr>
                <w:rFonts w:ascii="宋体" w:hAnsi="宋体" w:cs="微软雅黑"/>
                <w:color w:val="333333"/>
                <w:sz w:val="16"/>
                <w:szCs w:val="16"/>
              </w:rPr>
            </w:pPr>
            <w:r>
              <w:rPr>
                <w:rFonts w:hint="eastAsia" w:ascii="宋体" w:hAnsi="宋体" w:cs="微软雅黑"/>
                <w:color w:val="333333"/>
                <w:sz w:val="16"/>
                <w:szCs w:val="16"/>
              </w:rPr>
              <w:t>《审计法实施条例》（国务院令第571号）第六条任何单位和个人对依法应当接受审计机关审计监督的单位违反国家规定的财政收支、财务收支行为，有权向审计机关举报。审计机关接到举报，应当依法及时处理。</w:t>
            </w:r>
            <w:r>
              <w:rPr>
                <w:rFonts w:hint="eastAsia" w:ascii="宋体" w:hAnsi="宋体" w:cs="微软雅黑"/>
                <w:color w:val="333333"/>
                <w:sz w:val="16"/>
                <w:szCs w:val="16"/>
              </w:rPr>
              <w:br w:type="textWrapping"/>
            </w:r>
            <w:r>
              <w:rPr>
                <w:rFonts w:hint="eastAsia" w:ascii="宋体" w:hAnsi="宋体" w:cs="微软雅黑"/>
                <w:color w:val="333333"/>
                <w:sz w:val="16"/>
                <w:szCs w:val="16"/>
              </w:rPr>
              <w:t>《国家审计准则》（2010年国家审计署令第8号）第一百四十七条  审计报告、审计决定书原则上应当由审计机关审计业务会议审定；特殊情况下，经审计机关主要负责人授权，可以由审计机关其他负责人审定。</w:t>
            </w:r>
          </w:p>
        </w:tc>
        <w:tc>
          <w:tcPr>
            <w:tcW w:w="313" w:type="dxa"/>
            <w:tcBorders>
              <w:top w:val="outset" w:color="auto" w:sz="6" w:space="0"/>
              <w:left w:val="outset" w:color="auto" w:sz="6" w:space="0"/>
              <w:bottom w:val="outset" w:color="auto" w:sz="6" w:space="0"/>
              <w:right w:val="nil"/>
            </w:tcBorders>
            <w:vAlign w:val="center"/>
          </w:tcPr>
          <w:p>
            <w:pPr>
              <w:autoSpaceDN w:val="0"/>
              <w:jc w:val="center"/>
              <w:rPr>
                <w:rFonts w:ascii="微软雅黑" w:hAnsi="微软雅黑" w:eastAsia="微软雅黑" w:cs="微软雅黑"/>
                <w:color w:val="333333"/>
                <w:sz w:val="18"/>
                <w:szCs w:val="18"/>
              </w:rPr>
            </w:pPr>
          </w:p>
        </w:tc>
      </w:tr>
    </w:tbl>
    <w:p>
      <w:pPr>
        <w:spacing w:line="280" w:lineRule="exact"/>
      </w:pPr>
    </w:p>
    <w:p>
      <w:pPr>
        <w:autoSpaceDN w:val="0"/>
        <w:jc w:val="center"/>
        <w:rPr>
          <w:rFonts w:ascii="宋体"/>
          <w:bCs/>
          <w:color w:val="333333"/>
          <w:sz w:val="36"/>
          <w:szCs w:val="36"/>
        </w:rPr>
      </w:pPr>
      <w:r>
        <w:rPr>
          <w:rFonts w:hint="eastAsia" w:ascii="宋体" w:hAnsi="宋体"/>
          <w:bCs/>
          <w:color w:val="000000"/>
          <w:kern w:val="0"/>
          <w:sz w:val="36"/>
          <w:szCs w:val="36"/>
        </w:rPr>
        <w:t>运城市审计局行政权力清单和责任清单</w:t>
      </w:r>
    </w:p>
    <w:tbl>
      <w:tblPr>
        <w:tblStyle w:val="11"/>
        <w:tblW w:w="14578" w:type="dxa"/>
        <w:jc w:val="center"/>
        <w:tblCellSpacing w:w="0" w:type="dxa"/>
        <w:tblInd w:w="-3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68"/>
        <w:gridCol w:w="426"/>
        <w:gridCol w:w="341"/>
        <w:gridCol w:w="189"/>
        <w:gridCol w:w="283"/>
        <w:gridCol w:w="6521"/>
        <w:gridCol w:w="1701"/>
        <w:gridCol w:w="4536"/>
        <w:gridCol w:w="31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0" w:hRule="atLeast"/>
          <w:tblCellSpacing w:w="0" w:type="dxa"/>
          <w:jc w:val="center"/>
        </w:trPr>
        <w:tc>
          <w:tcPr>
            <w:tcW w:w="268" w:type="dxa"/>
            <w:vMerge w:val="restart"/>
            <w:tcBorders>
              <w:top w:val="outset" w:color="auto" w:sz="6" w:space="0"/>
              <w:left w:val="single" w:color="auto" w:sz="4"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序号</w:t>
            </w:r>
          </w:p>
        </w:tc>
        <w:tc>
          <w:tcPr>
            <w:tcW w:w="426"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w:t>
            </w:r>
            <w:r>
              <w:rPr>
                <w:rFonts w:hint="eastAsia" w:ascii="宋体" w:hAnsi="宋体" w:cs="微软雅黑"/>
                <w:color w:val="333333"/>
                <w:sz w:val="18"/>
                <w:szCs w:val="18"/>
              </w:rPr>
              <w:br w:type="textWrapping"/>
            </w:r>
            <w:r>
              <w:rPr>
                <w:rFonts w:hint="eastAsia" w:ascii="宋体" w:hAnsi="宋体" w:cs="微软雅黑"/>
                <w:color w:val="333333"/>
                <w:sz w:val="18"/>
                <w:szCs w:val="18"/>
              </w:rPr>
              <w:t>类型</w:t>
            </w:r>
          </w:p>
        </w:tc>
        <w:tc>
          <w:tcPr>
            <w:tcW w:w="341" w:type="dxa"/>
            <w:vMerge w:val="restart"/>
            <w:tcBorders>
              <w:top w:val="outset" w:color="auto" w:sz="6" w:space="0"/>
              <w:left w:val="outset" w:color="auto" w:sz="6" w:space="0"/>
              <w:bottom w:val="outset" w:color="auto" w:sz="6" w:space="0"/>
              <w:right w:val="outset" w:color="auto" w:sz="6" w:space="0"/>
            </w:tcBorders>
            <w:vAlign w:val="top"/>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w:t>
            </w:r>
          </w:p>
          <w:p>
            <w:pPr>
              <w:autoSpaceDN w:val="0"/>
              <w:jc w:val="center"/>
              <w:rPr>
                <w:rFonts w:ascii="宋体" w:hAnsi="宋体" w:cs="微软雅黑"/>
                <w:color w:val="333333"/>
                <w:sz w:val="18"/>
                <w:szCs w:val="18"/>
              </w:rPr>
            </w:pPr>
            <w:r>
              <w:rPr>
                <w:rFonts w:hint="eastAsia" w:ascii="宋体" w:hAnsi="宋体" w:cs="微软雅黑"/>
                <w:color w:val="333333"/>
                <w:sz w:val="18"/>
                <w:szCs w:val="18"/>
              </w:rPr>
              <w:t>编码</w:t>
            </w:r>
          </w:p>
        </w:tc>
        <w:tc>
          <w:tcPr>
            <w:tcW w:w="472" w:type="dxa"/>
            <w:gridSpan w:val="2"/>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职权名称</w:t>
            </w:r>
          </w:p>
        </w:tc>
        <w:tc>
          <w:tcPr>
            <w:tcW w:w="6521"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实施依据</w:t>
            </w:r>
          </w:p>
        </w:tc>
        <w:tc>
          <w:tcPr>
            <w:tcW w:w="1701"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责任事项</w:t>
            </w:r>
          </w:p>
        </w:tc>
        <w:tc>
          <w:tcPr>
            <w:tcW w:w="4536"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责任事项依据</w:t>
            </w:r>
          </w:p>
        </w:tc>
        <w:tc>
          <w:tcPr>
            <w:tcW w:w="313" w:type="dxa"/>
            <w:vMerge w:val="restart"/>
            <w:tcBorders>
              <w:top w:val="outset" w:color="auto" w:sz="6" w:space="0"/>
              <w:left w:val="outset" w:color="auto" w:sz="6" w:space="0"/>
              <w:bottom w:val="outset" w:color="auto" w:sz="6" w:space="0"/>
              <w:right w:val="nil"/>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3" w:hRule="atLeast"/>
          <w:tblCellSpacing w:w="0" w:type="dxa"/>
          <w:jc w:val="center"/>
        </w:trPr>
        <w:tc>
          <w:tcPr>
            <w:tcW w:w="268" w:type="dxa"/>
            <w:vMerge w:val="continue"/>
            <w:tcBorders>
              <w:top w:val="outset" w:color="auto" w:sz="6" w:space="0"/>
              <w:left w:val="single" w:color="auto" w:sz="4"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426"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341"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189"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项目</w:t>
            </w:r>
          </w:p>
        </w:tc>
        <w:tc>
          <w:tcPr>
            <w:tcW w:w="283"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子项</w:t>
            </w:r>
          </w:p>
        </w:tc>
        <w:tc>
          <w:tcPr>
            <w:tcW w:w="6521"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1701"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4536"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313" w:type="dxa"/>
            <w:vMerge w:val="continue"/>
            <w:tcBorders>
              <w:top w:val="outset" w:color="auto" w:sz="6" w:space="0"/>
              <w:left w:val="outset" w:color="auto" w:sz="6" w:space="0"/>
              <w:bottom w:val="outset" w:color="auto" w:sz="6" w:space="0"/>
              <w:right w:val="nil"/>
            </w:tcBorders>
            <w:vAlign w:val="center"/>
          </w:tcPr>
          <w:p>
            <w:pPr>
              <w:jc w:val="left"/>
              <w:rPr>
                <w:rFonts w:ascii="宋体" w:hAnsi="宋体" w:cs="微软雅黑"/>
                <w:color w:val="333333"/>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395" w:hRule="atLeast"/>
          <w:tblCellSpacing w:w="0" w:type="dxa"/>
          <w:jc w:val="center"/>
        </w:trPr>
        <w:tc>
          <w:tcPr>
            <w:tcW w:w="268" w:type="dxa"/>
            <w:tcBorders>
              <w:top w:val="outset" w:color="auto" w:sz="6" w:space="0"/>
              <w:left w:val="single" w:color="auto" w:sz="4" w:space="0"/>
              <w:bottom w:val="outset" w:color="auto" w:sz="6" w:space="0"/>
              <w:right w:val="outset" w:color="auto" w:sz="6" w:space="0"/>
            </w:tcBorders>
            <w:vAlign w:val="center"/>
          </w:tcPr>
          <w:p>
            <w:pPr>
              <w:autoSpaceDN w:val="0"/>
              <w:jc w:val="center"/>
              <w:rPr>
                <w:rFonts w:ascii="宋体" w:hAnsi="宋体" w:cs="微软雅黑"/>
                <w:color w:val="333333"/>
                <w:sz w:val="16"/>
                <w:szCs w:val="16"/>
              </w:rPr>
            </w:pPr>
            <w:r>
              <w:rPr>
                <w:rFonts w:hint="eastAsia" w:ascii="宋体" w:hAnsi="宋体" w:cs="微软雅黑"/>
                <w:color w:val="333333"/>
                <w:sz w:val="16"/>
                <w:szCs w:val="16"/>
              </w:rPr>
              <w:t>1</w:t>
            </w:r>
          </w:p>
        </w:tc>
        <w:tc>
          <w:tcPr>
            <w:tcW w:w="426"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6"/>
                <w:szCs w:val="16"/>
              </w:rPr>
            </w:pPr>
            <w:r>
              <w:rPr>
                <w:rFonts w:hint="eastAsia" w:ascii="宋体" w:hAnsi="宋体" w:cs="微软雅黑"/>
                <w:color w:val="333333"/>
                <w:sz w:val="16"/>
                <w:szCs w:val="16"/>
              </w:rPr>
              <w:t>其他</w:t>
            </w:r>
            <w:r>
              <w:rPr>
                <w:rFonts w:hint="eastAsia" w:ascii="宋体" w:hAnsi="宋体" w:cs="微软雅黑"/>
                <w:color w:val="333333"/>
                <w:sz w:val="16"/>
                <w:szCs w:val="16"/>
              </w:rPr>
              <w:br w:type="textWrapping"/>
            </w:r>
            <w:r>
              <w:rPr>
                <w:rFonts w:hint="eastAsia" w:ascii="宋体" w:hAnsi="宋体" w:cs="微软雅黑"/>
                <w:color w:val="333333"/>
                <w:sz w:val="16"/>
                <w:szCs w:val="16"/>
              </w:rPr>
              <w:t>类</w:t>
            </w:r>
          </w:p>
        </w:tc>
        <w:tc>
          <w:tcPr>
            <w:tcW w:w="341" w:type="dxa"/>
            <w:tcBorders>
              <w:top w:val="outset" w:color="auto" w:sz="6" w:space="0"/>
              <w:left w:val="outset" w:color="auto" w:sz="6" w:space="0"/>
              <w:bottom w:val="outset" w:color="auto" w:sz="6" w:space="0"/>
              <w:right w:val="outset" w:color="auto" w:sz="6" w:space="0"/>
            </w:tcBorders>
            <w:vAlign w:val="top"/>
          </w:tcPr>
          <w:p>
            <w:pPr>
              <w:autoSpaceDN w:val="0"/>
              <w:rPr>
                <w:rFonts w:ascii="宋体" w:hAnsi="宋体" w:cs="微软雅黑"/>
                <w:color w:val="333333"/>
                <w:sz w:val="16"/>
                <w:szCs w:val="16"/>
              </w:rPr>
            </w:pPr>
          </w:p>
        </w:tc>
        <w:tc>
          <w:tcPr>
            <w:tcW w:w="472" w:type="dxa"/>
            <w:gridSpan w:val="2"/>
            <w:tcBorders>
              <w:top w:val="outset" w:color="auto" w:sz="6" w:space="0"/>
              <w:left w:val="outset" w:color="auto" w:sz="6" w:space="0"/>
              <w:bottom w:val="outset" w:color="auto" w:sz="6" w:space="0"/>
              <w:right w:val="outset" w:color="auto" w:sz="6" w:space="0"/>
            </w:tcBorders>
            <w:vAlign w:val="center"/>
          </w:tcPr>
          <w:p>
            <w:pPr>
              <w:autoSpaceDN w:val="0"/>
              <w:rPr>
                <w:rFonts w:ascii="宋体" w:hAnsi="宋体" w:cs="微软雅黑"/>
                <w:color w:val="333333"/>
                <w:sz w:val="16"/>
                <w:szCs w:val="16"/>
              </w:rPr>
            </w:pPr>
            <w:r>
              <w:rPr>
                <w:rFonts w:hint="eastAsia" w:ascii="宋体" w:hAnsi="宋体" w:cs="微软雅黑"/>
                <w:color w:val="333333"/>
                <w:sz w:val="16"/>
                <w:szCs w:val="16"/>
              </w:rPr>
              <w:t>审计监督权</w:t>
            </w:r>
          </w:p>
        </w:tc>
        <w:tc>
          <w:tcPr>
            <w:tcW w:w="6521" w:type="dxa"/>
            <w:tcBorders>
              <w:top w:val="outset" w:color="auto" w:sz="6" w:space="0"/>
              <w:left w:val="outset" w:color="auto" w:sz="6" w:space="0"/>
              <w:bottom w:val="outset" w:color="auto" w:sz="6" w:space="0"/>
              <w:right w:val="outset" w:color="auto" w:sz="6" w:space="0"/>
            </w:tcBorders>
            <w:vAlign w:val="center"/>
          </w:tcPr>
          <w:p>
            <w:pPr>
              <w:autoSpaceDN w:val="0"/>
              <w:spacing w:line="260" w:lineRule="exact"/>
              <w:ind w:firstLine="240" w:firstLineChars="150"/>
              <w:rPr>
                <w:rFonts w:ascii="宋体" w:hAnsi="宋体" w:cs="微软雅黑"/>
                <w:color w:val="333333"/>
                <w:sz w:val="16"/>
                <w:szCs w:val="16"/>
              </w:rPr>
            </w:pPr>
            <w:r>
              <w:rPr>
                <w:rFonts w:hint="eastAsia" w:ascii="宋体" w:hAnsi="宋体" w:cs="微软雅黑"/>
                <w:color w:val="333333"/>
                <w:sz w:val="16"/>
                <w:szCs w:val="16"/>
              </w:rPr>
              <w:t>【法律】《中华人民共和国审计法》　第十六条　审计机关对本级各部门（含直属单位）和下级政府预算的执行情况和决算以及其他财政收支情况，进行审计监督。</w:t>
            </w:r>
          </w:p>
          <w:p>
            <w:pPr>
              <w:autoSpaceDN w:val="0"/>
              <w:spacing w:line="260" w:lineRule="exact"/>
              <w:rPr>
                <w:rFonts w:ascii="宋体" w:hAnsi="宋体" w:cs="微软雅黑"/>
                <w:color w:val="333333"/>
                <w:sz w:val="16"/>
                <w:szCs w:val="16"/>
              </w:rPr>
            </w:pPr>
            <w:r>
              <w:rPr>
                <w:rFonts w:hint="eastAsia" w:ascii="宋体" w:hAnsi="宋体" w:cs="微软雅黑"/>
                <w:color w:val="333333"/>
                <w:sz w:val="16"/>
                <w:szCs w:val="16"/>
              </w:rPr>
              <w:t>　　第十七条　审计署在国务院总理领导下，对中央预算执行情况和其他财政收支情况进行审计监督，向国务院总理提出审计结果报告。</w:t>
            </w:r>
          </w:p>
          <w:p>
            <w:pPr>
              <w:autoSpaceDN w:val="0"/>
              <w:spacing w:line="260" w:lineRule="exact"/>
              <w:rPr>
                <w:rFonts w:ascii="宋体" w:hAnsi="宋体" w:cs="微软雅黑"/>
                <w:color w:val="333333"/>
                <w:sz w:val="16"/>
                <w:szCs w:val="16"/>
              </w:rPr>
            </w:pPr>
            <w:r>
              <w:rPr>
                <w:rFonts w:hint="eastAsia" w:ascii="宋体" w:hAnsi="宋体" w:cs="微软雅黑"/>
                <w:color w:val="333333"/>
                <w:sz w:val="16"/>
                <w:szCs w:val="16"/>
              </w:rPr>
              <w:t>　　地方各级审计机关分别在省长、自治区主席、市长、州长、县长、区长和上一级审计机关的领导下，对本级预算执行情况和其他财政收支情况进行审计监督，向本级人民政府和上一级审计机关提出审计结果报告。</w:t>
            </w:r>
          </w:p>
          <w:p>
            <w:pPr>
              <w:autoSpaceDN w:val="0"/>
              <w:spacing w:line="260" w:lineRule="exact"/>
              <w:rPr>
                <w:rFonts w:ascii="宋体" w:hAnsi="宋体" w:cs="微软雅黑"/>
                <w:color w:val="333333"/>
                <w:sz w:val="16"/>
                <w:szCs w:val="16"/>
              </w:rPr>
            </w:pPr>
            <w:r>
              <w:rPr>
                <w:rFonts w:hint="eastAsia" w:ascii="宋体" w:hAnsi="宋体" w:cs="微软雅黑"/>
                <w:color w:val="333333"/>
                <w:sz w:val="16"/>
                <w:szCs w:val="16"/>
              </w:rPr>
              <w:t>　　第十八条　审计署对中央银行的财务收支，进行审计监督。</w:t>
            </w:r>
          </w:p>
          <w:p>
            <w:pPr>
              <w:autoSpaceDN w:val="0"/>
              <w:spacing w:line="260" w:lineRule="exact"/>
              <w:rPr>
                <w:rFonts w:ascii="宋体" w:hAnsi="宋体" w:cs="微软雅黑"/>
                <w:color w:val="333333"/>
                <w:sz w:val="16"/>
                <w:szCs w:val="16"/>
              </w:rPr>
            </w:pPr>
            <w:r>
              <w:rPr>
                <w:rFonts w:hint="eastAsia" w:ascii="宋体" w:hAnsi="宋体" w:cs="微软雅黑"/>
                <w:color w:val="333333"/>
                <w:sz w:val="16"/>
                <w:szCs w:val="16"/>
              </w:rPr>
              <w:t>　　审计机关对国有金融机构的资产、负债、损益，进行审计监督。</w:t>
            </w:r>
          </w:p>
          <w:p>
            <w:pPr>
              <w:autoSpaceDN w:val="0"/>
              <w:spacing w:line="260" w:lineRule="exact"/>
              <w:rPr>
                <w:rFonts w:ascii="宋体" w:hAnsi="宋体" w:cs="微软雅黑"/>
                <w:color w:val="333333"/>
                <w:sz w:val="16"/>
                <w:szCs w:val="16"/>
              </w:rPr>
            </w:pPr>
            <w:r>
              <w:rPr>
                <w:rFonts w:hint="eastAsia" w:ascii="宋体" w:hAnsi="宋体" w:cs="微软雅黑"/>
                <w:color w:val="333333"/>
                <w:sz w:val="16"/>
                <w:szCs w:val="16"/>
              </w:rPr>
              <w:t>　　第十九条　审计机关对国家的事业组织和使用财政资金的其他事业组织的财务收支，进行审计监督。</w:t>
            </w:r>
          </w:p>
          <w:p>
            <w:pPr>
              <w:autoSpaceDN w:val="0"/>
              <w:spacing w:line="260" w:lineRule="exact"/>
              <w:rPr>
                <w:rFonts w:ascii="宋体" w:hAnsi="宋体" w:cs="微软雅黑"/>
                <w:color w:val="333333"/>
                <w:sz w:val="16"/>
                <w:szCs w:val="16"/>
              </w:rPr>
            </w:pPr>
            <w:r>
              <w:rPr>
                <w:rFonts w:hint="eastAsia" w:ascii="宋体" w:hAnsi="宋体" w:cs="微软雅黑"/>
                <w:color w:val="333333"/>
                <w:sz w:val="16"/>
                <w:szCs w:val="16"/>
              </w:rPr>
              <w:t>　　第二十条　审计机关对国有企业的资产、负债、损益，进行审计监督。</w:t>
            </w:r>
          </w:p>
          <w:p>
            <w:pPr>
              <w:autoSpaceDN w:val="0"/>
              <w:spacing w:line="260" w:lineRule="exact"/>
              <w:rPr>
                <w:rFonts w:ascii="宋体" w:hAnsi="宋体" w:cs="微软雅黑"/>
                <w:color w:val="333333"/>
                <w:sz w:val="16"/>
                <w:szCs w:val="16"/>
              </w:rPr>
            </w:pPr>
            <w:r>
              <w:rPr>
                <w:rFonts w:hint="eastAsia" w:ascii="宋体" w:hAnsi="宋体" w:cs="微软雅黑"/>
                <w:color w:val="333333"/>
                <w:sz w:val="16"/>
                <w:szCs w:val="16"/>
              </w:rPr>
              <w:t>　　第二十一条　对国有资本占控股地位或者主导地位的企业、金融机构的审计监督，由国务院规定。</w:t>
            </w:r>
          </w:p>
          <w:p>
            <w:pPr>
              <w:autoSpaceDN w:val="0"/>
              <w:spacing w:line="260" w:lineRule="exact"/>
              <w:rPr>
                <w:rFonts w:ascii="宋体" w:hAnsi="宋体" w:cs="微软雅黑"/>
                <w:color w:val="333333"/>
                <w:sz w:val="16"/>
                <w:szCs w:val="16"/>
              </w:rPr>
            </w:pPr>
            <w:r>
              <w:rPr>
                <w:rFonts w:hint="eastAsia" w:ascii="宋体" w:hAnsi="宋体" w:cs="微软雅黑"/>
                <w:color w:val="333333"/>
                <w:sz w:val="16"/>
                <w:szCs w:val="16"/>
              </w:rPr>
              <w:t>　　第二十二条　审计机关对政府投资和以政府投资为主的建设项目的预算执行情况和决算，进行审计监督。</w:t>
            </w:r>
          </w:p>
          <w:p>
            <w:pPr>
              <w:autoSpaceDN w:val="0"/>
              <w:spacing w:line="260" w:lineRule="exact"/>
              <w:rPr>
                <w:rFonts w:ascii="宋体" w:hAnsi="宋体" w:cs="微软雅黑"/>
                <w:color w:val="333333"/>
                <w:sz w:val="16"/>
                <w:szCs w:val="16"/>
              </w:rPr>
            </w:pPr>
            <w:r>
              <w:rPr>
                <w:rFonts w:hint="eastAsia" w:ascii="宋体" w:hAnsi="宋体" w:cs="微软雅黑"/>
                <w:color w:val="333333"/>
                <w:sz w:val="16"/>
                <w:szCs w:val="16"/>
              </w:rPr>
              <w:t>　　第二十三条　审计机关对政府部门管理的和其他单位受政府委托管理的社会保障基金、社会捐赠资金以及其他有关基金、资金的财务收支，进行审计监督。</w:t>
            </w:r>
          </w:p>
          <w:p>
            <w:pPr>
              <w:autoSpaceDN w:val="0"/>
              <w:spacing w:line="260" w:lineRule="exact"/>
              <w:rPr>
                <w:rFonts w:ascii="宋体" w:hAnsi="宋体" w:cs="微软雅黑"/>
                <w:color w:val="333333"/>
                <w:sz w:val="16"/>
                <w:szCs w:val="16"/>
              </w:rPr>
            </w:pPr>
            <w:r>
              <w:rPr>
                <w:rFonts w:hint="eastAsia" w:ascii="宋体" w:hAnsi="宋体" w:cs="微软雅黑"/>
                <w:color w:val="333333"/>
                <w:sz w:val="16"/>
                <w:szCs w:val="16"/>
              </w:rPr>
              <w:t>　　第二十四条　审计机关对国际组织和外国政府援助、贷款项目的财务收支，进行审计监督。</w:t>
            </w:r>
          </w:p>
          <w:p>
            <w:pPr>
              <w:autoSpaceDN w:val="0"/>
              <w:spacing w:line="280" w:lineRule="exact"/>
              <w:rPr>
                <w:rFonts w:ascii="宋体" w:hAnsi="宋体" w:cs="微软雅黑"/>
                <w:color w:val="333333"/>
                <w:sz w:val="16"/>
                <w:szCs w:val="16"/>
              </w:rPr>
            </w:pPr>
            <w:r>
              <w:rPr>
                <w:rFonts w:hint="eastAsia" w:ascii="宋体" w:hAnsi="宋体" w:cs="微软雅黑"/>
                <w:color w:val="333333"/>
                <w:sz w:val="16"/>
                <w:szCs w:val="16"/>
              </w:rPr>
              <w:t>　　第二十五条　审计机关按照国家有关规定，对国家机关和依法属于审计机关审计监督对象的其他单位的主要负责人，在任职期间对本地区、本部门或者本单位的财政收支、财务收支以及有关经济活动应负经济责任的履行情况，进行审计监督。</w:t>
            </w:r>
          </w:p>
          <w:p>
            <w:pPr>
              <w:autoSpaceDN w:val="0"/>
              <w:spacing w:line="280" w:lineRule="exact"/>
              <w:ind w:firstLine="330"/>
              <w:rPr>
                <w:rFonts w:ascii="宋体" w:hAnsi="宋体" w:cs="微软雅黑"/>
                <w:color w:val="333333"/>
                <w:sz w:val="16"/>
                <w:szCs w:val="16"/>
              </w:rPr>
            </w:pPr>
            <w:r>
              <w:rPr>
                <w:rFonts w:hint="eastAsia" w:ascii="宋体" w:hAnsi="宋体" w:cs="微软雅黑"/>
                <w:color w:val="333333"/>
                <w:sz w:val="16"/>
                <w:szCs w:val="16"/>
              </w:rPr>
              <w:t>第二十六条：除本法规定的审计事项外，审计机关对其他法律、行政法规规定应当由审计机关进行审计的事项，依照本法和有关法律、行政法规的规定进行审计监督。</w:t>
            </w:r>
          </w:p>
          <w:p>
            <w:pPr>
              <w:autoSpaceDN w:val="0"/>
              <w:spacing w:line="280" w:lineRule="exact"/>
              <w:ind w:firstLine="330"/>
              <w:rPr>
                <w:rFonts w:ascii="宋体" w:hAnsi="宋体" w:cs="微软雅黑"/>
                <w:color w:val="333333"/>
                <w:sz w:val="16"/>
                <w:szCs w:val="16"/>
              </w:rPr>
            </w:pPr>
            <w:r>
              <w:rPr>
                <w:rFonts w:hint="eastAsia" w:ascii="宋体" w:hAnsi="宋体" w:cs="微软雅黑"/>
                <w:color w:val="333333"/>
                <w:sz w:val="16"/>
                <w:szCs w:val="16"/>
              </w:rPr>
              <w:t>第二十七条　审计机关有权对与国家财政收支有关的特定事项，向有关地方、部门、单位</w:t>
            </w:r>
          </w:p>
        </w:tc>
        <w:tc>
          <w:tcPr>
            <w:tcW w:w="1701" w:type="dxa"/>
            <w:tcBorders>
              <w:top w:val="outset" w:color="auto" w:sz="6" w:space="0"/>
              <w:left w:val="outset" w:color="auto" w:sz="6" w:space="0"/>
              <w:bottom w:val="outset" w:color="auto" w:sz="6" w:space="0"/>
              <w:right w:val="outset" w:color="auto" w:sz="6" w:space="0"/>
            </w:tcBorders>
            <w:vAlign w:val="center"/>
          </w:tcPr>
          <w:p>
            <w:pPr>
              <w:numPr>
                <w:ilvl w:val="0"/>
                <w:numId w:val="2"/>
              </w:numPr>
              <w:autoSpaceDN w:val="0"/>
              <w:rPr>
                <w:rFonts w:ascii="宋体" w:hAnsi="宋体" w:cs="微软雅黑"/>
                <w:color w:val="333333"/>
                <w:sz w:val="16"/>
                <w:szCs w:val="16"/>
              </w:rPr>
            </w:pPr>
            <w:r>
              <w:rPr>
                <w:rFonts w:hint="eastAsia" w:ascii="宋体" w:hAnsi="宋体" w:cs="微软雅黑"/>
                <w:color w:val="333333"/>
                <w:sz w:val="16"/>
                <w:szCs w:val="16"/>
              </w:rPr>
              <w:t>计划责任：审计机关按照法定程序编制年度审计项目计划，报省政府批准，经济责任审计项目计划报省经济责任审计工作领导小组批准后，下达执行年度审计项目计划。</w:t>
            </w:r>
            <w:r>
              <w:rPr>
                <w:rFonts w:hint="eastAsia" w:ascii="宋体" w:hAnsi="宋体" w:cs="微软雅黑"/>
                <w:color w:val="333333"/>
                <w:sz w:val="16"/>
                <w:szCs w:val="16"/>
              </w:rPr>
              <w:br w:type="textWrapping"/>
            </w:r>
            <w:r>
              <w:rPr>
                <w:rFonts w:hint="eastAsia" w:ascii="宋体" w:hAnsi="宋体" w:cs="微软雅黑"/>
                <w:color w:val="333333"/>
                <w:sz w:val="16"/>
                <w:szCs w:val="16"/>
              </w:rPr>
              <w:t>2.实施责任：审计机关项目计划执行处室按照法定程序组成审计组，制发审计通知书，开展审计调查，编制审计实施方案，采取检查、调查、查询等方法取得审计证据，编制审计记录；审计组组长审核确认审计工作底稿、审计证据等，确认审计目标是否实现。</w:t>
            </w:r>
            <w:r>
              <w:rPr>
                <w:rFonts w:hint="eastAsia" w:ascii="宋体" w:hAnsi="宋体" w:cs="微软雅黑"/>
                <w:color w:val="333333"/>
                <w:sz w:val="16"/>
                <w:szCs w:val="16"/>
              </w:rPr>
              <w:br w:type="textWrapping"/>
            </w:r>
            <w:r>
              <w:rPr>
                <w:rFonts w:hint="eastAsia" w:ascii="宋体" w:hAnsi="宋体" w:cs="微软雅黑"/>
                <w:color w:val="333333"/>
                <w:sz w:val="16"/>
                <w:szCs w:val="16"/>
              </w:rPr>
              <w:t>3.审计终结责任：审计</w:t>
            </w:r>
          </w:p>
        </w:tc>
        <w:tc>
          <w:tcPr>
            <w:tcW w:w="4536" w:type="dxa"/>
            <w:tcBorders>
              <w:top w:val="outset" w:color="auto" w:sz="6" w:space="0"/>
              <w:left w:val="outset" w:color="auto" w:sz="6" w:space="0"/>
              <w:bottom w:val="outset" w:color="auto" w:sz="6" w:space="0"/>
              <w:right w:val="outset" w:color="auto" w:sz="6" w:space="0"/>
            </w:tcBorders>
            <w:vAlign w:val="center"/>
          </w:tcPr>
          <w:p>
            <w:pPr>
              <w:autoSpaceDN w:val="0"/>
              <w:ind w:firstLine="240" w:firstLineChars="150"/>
              <w:rPr>
                <w:rFonts w:ascii="宋体" w:hAnsi="宋体" w:cs="微软雅黑"/>
                <w:color w:val="333333"/>
                <w:sz w:val="16"/>
                <w:szCs w:val="16"/>
              </w:rPr>
            </w:pPr>
            <w:r>
              <w:rPr>
                <w:rFonts w:hint="eastAsia" w:ascii="宋体" w:hAnsi="宋体" w:cs="微软雅黑"/>
                <w:color w:val="333333"/>
                <w:sz w:val="16"/>
                <w:szCs w:val="16"/>
              </w:rPr>
              <w:t>《审计法》第三十二条　审计机关进行审计时，有权检查被审计单位的会计凭证、会计账簿、财务会计报告和运用电子计算机管理财政收支、财务收支电子数据的系统，以及其他与财政收支、财务收支有关的资料和资产，被审计单位不得拒绝。</w:t>
            </w:r>
          </w:p>
          <w:p>
            <w:pPr>
              <w:autoSpaceDN w:val="0"/>
              <w:ind w:firstLine="320" w:firstLineChars="200"/>
              <w:rPr>
                <w:rFonts w:ascii="宋体" w:hAnsi="宋体" w:cs="微软雅黑"/>
                <w:color w:val="333333"/>
                <w:sz w:val="16"/>
                <w:szCs w:val="16"/>
              </w:rPr>
            </w:pPr>
            <w:r>
              <w:rPr>
                <w:rFonts w:hint="eastAsia" w:ascii="宋体" w:hAnsi="宋体" w:cs="微软雅黑"/>
                <w:color w:val="333333"/>
                <w:sz w:val="16"/>
                <w:szCs w:val="16"/>
              </w:rPr>
              <w:t>第三十六条　审计机关可以向政府有关部门通报或者向社会公布审计结果。</w:t>
            </w:r>
            <w:r>
              <w:rPr>
                <w:rFonts w:hint="eastAsia" w:ascii="宋体" w:hAnsi="宋体" w:cs="微软雅黑"/>
                <w:color w:val="333333"/>
                <w:sz w:val="16"/>
                <w:szCs w:val="16"/>
              </w:rPr>
              <w:br w:type="textWrapping"/>
            </w:r>
            <w:r>
              <w:rPr>
                <w:rFonts w:hint="eastAsia" w:ascii="宋体" w:hAnsi="宋体" w:cs="微软雅黑"/>
                <w:color w:val="333333"/>
                <w:sz w:val="16"/>
                <w:szCs w:val="16"/>
              </w:rPr>
              <w:t xml:space="preserve">   审计机关通报或者公布审计结果，应当依法保守国家秘密和被审计单位的商业秘密，遵守国务院的有关规定。</w:t>
            </w:r>
          </w:p>
          <w:p>
            <w:pPr>
              <w:autoSpaceDN w:val="0"/>
              <w:ind w:firstLine="240" w:firstLineChars="150"/>
              <w:rPr>
                <w:rFonts w:ascii="宋体" w:hAnsi="宋体" w:cs="微软雅黑"/>
                <w:color w:val="333333"/>
                <w:sz w:val="16"/>
                <w:szCs w:val="16"/>
              </w:rPr>
            </w:pPr>
            <w:r>
              <w:rPr>
                <w:rFonts w:hint="eastAsia" w:ascii="宋体" w:hAnsi="宋体" w:cs="微软雅黑"/>
                <w:color w:val="333333"/>
                <w:sz w:val="16"/>
                <w:szCs w:val="16"/>
              </w:rPr>
              <w:t>第四十一条　审计机关按照审计署规定的程序对审计组的审计报告进行审议，并对被审计对象对审计组的审计报告提出的意见一并研究后，提出审计机关的审计报告；对违反国家规定的财政收支、财务收支行为，依法应当给予处理、处罚的，在法定职权范围内作出审计决定或者向有关主管机关提出处理、处罚的意见。</w:t>
            </w:r>
            <w:r>
              <w:rPr>
                <w:rFonts w:hint="eastAsia" w:ascii="宋体" w:hAnsi="宋体" w:cs="微软雅黑"/>
                <w:color w:val="333333"/>
                <w:sz w:val="16"/>
                <w:szCs w:val="16"/>
              </w:rPr>
              <w:br w:type="textWrapping"/>
            </w:r>
            <w:r>
              <w:rPr>
                <w:rFonts w:hint="eastAsia" w:ascii="宋体" w:hAnsi="宋体" w:cs="微软雅黑"/>
                <w:color w:val="333333"/>
                <w:sz w:val="16"/>
                <w:szCs w:val="16"/>
              </w:rPr>
              <w:t xml:space="preserve">   《审计法实施条例》（国务院第571号令）</w:t>
            </w:r>
            <w:r>
              <w:rPr>
                <w:rFonts w:hint="eastAsia" w:ascii="宋体" w:hAnsi="宋体" w:cs="微软雅黑"/>
                <w:b w:val="0"/>
                <w:bCs w:val="0"/>
                <w:color w:val="333333"/>
                <w:sz w:val="16"/>
                <w:szCs w:val="16"/>
              </w:rPr>
              <w:t>第五十条</w:t>
            </w:r>
            <w:r>
              <w:rPr>
                <w:rFonts w:hint="eastAsia" w:ascii="宋体" w:hAnsi="宋体" w:cs="微软雅黑"/>
                <w:color w:val="333333"/>
                <w:sz w:val="16"/>
                <w:szCs w:val="16"/>
              </w:rPr>
              <w:t>　审计机关在作出较大数额罚款的处罚决定前，应当告知被审计单位和有关人员有要求举行听证的权利。较大数额罚款的具体标准由审计署规定。</w:t>
            </w:r>
            <w:r>
              <w:rPr>
                <w:rFonts w:hint="eastAsia" w:ascii="宋体" w:hAnsi="宋体" w:cs="微软雅黑"/>
                <w:color w:val="333333"/>
                <w:sz w:val="16"/>
                <w:szCs w:val="16"/>
              </w:rPr>
              <w:br w:type="textWrapping"/>
            </w:r>
            <w:r>
              <w:rPr>
                <w:rFonts w:hint="eastAsia" w:ascii="宋体" w:hAnsi="宋体" w:cs="微软雅黑"/>
                <w:color w:val="333333"/>
                <w:sz w:val="16"/>
                <w:szCs w:val="16"/>
              </w:rPr>
              <w:t xml:space="preserve">   《国家审计准则》（2010年国家审计署令第8号）第二十六条  审计机关应当根据法定的审计职责和审计管辖范围，编制年度审计项目计划。</w:t>
            </w:r>
          </w:p>
        </w:tc>
        <w:tc>
          <w:tcPr>
            <w:tcW w:w="313" w:type="dxa"/>
            <w:tcBorders>
              <w:top w:val="outset" w:color="auto" w:sz="6" w:space="0"/>
              <w:left w:val="outset" w:color="auto" w:sz="6" w:space="0"/>
              <w:bottom w:val="outset" w:color="auto" w:sz="6" w:space="0"/>
              <w:right w:val="nil"/>
            </w:tcBorders>
            <w:vAlign w:val="center"/>
          </w:tcPr>
          <w:p>
            <w:pPr>
              <w:autoSpaceDN w:val="0"/>
              <w:jc w:val="center"/>
              <w:rPr>
                <w:rFonts w:ascii="微软雅黑" w:hAnsi="微软雅黑" w:eastAsia="微软雅黑" w:cs="微软雅黑"/>
                <w:color w:val="333333"/>
                <w:sz w:val="18"/>
                <w:szCs w:val="18"/>
              </w:rPr>
            </w:pPr>
          </w:p>
        </w:tc>
      </w:tr>
    </w:tbl>
    <w:p>
      <w:pPr>
        <w:autoSpaceDN w:val="0"/>
        <w:jc w:val="center"/>
        <w:rPr>
          <w:rFonts w:ascii="宋体"/>
          <w:bCs/>
          <w:color w:val="333333"/>
          <w:sz w:val="36"/>
          <w:szCs w:val="36"/>
        </w:rPr>
      </w:pPr>
      <w:r>
        <w:rPr>
          <w:rFonts w:hint="eastAsia" w:ascii="宋体" w:hAnsi="宋体"/>
          <w:bCs/>
          <w:color w:val="000000"/>
          <w:kern w:val="0"/>
          <w:sz w:val="36"/>
          <w:szCs w:val="36"/>
        </w:rPr>
        <w:t>运城市审计局行政权力清单和责任清单</w:t>
      </w:r>
    </w:p>
    <w:tbl>
      <w:tblPr>
        <w:tblStyle w:val="11"/>
        <w:tblW w:w="14578" w:type="dxa"/>
        <w:jc w:val="center"/>
        <w:tblCellSpacing w:w="0" w:type="dxa"/>
        <w:tblInd w:w="-3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68"/>
        <w:gridCol w:w="426"/>
        <w:gridCol w:w="341"/>
        <w:gridCol w:w="189"/>
        <w:gridCol w:w="283"/>
        <w:gridCol w:w="6521"/>
        <w:gridCol w:w="1701"/>
        <w:gridCol w:w="4536"/>
        <w:gridCol w:w="31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0" w:hRule="atLeast"/>
          <w:tblCellSpacing w:w="0" w:type="dxa"/>
          <w:jc w:val="center"/>
        </w:trPr>
        <w:tc>
          <w:tcPr>
            <w:tcW w:w="268" w:type="dxa"/>
            <w:vMerge w:val="restart"/>
            <w:tcBorders>
              <w:top w:val="outset" w:color="auto" w:sz="6" w:space="0"/>
              <w:left w:val="single" w:color="auto" w:sz="4"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序号</w:t>
            </w:r>
          </w:p>
        </w:tc>
        <w:tc>
          <w:tcPr>
            <w:tcW w:w="426"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w:t>
            </w:r>
            <w:r>
              <w:rPr>
                <w:rFonts w:hint="eastAsia" w:ascii="宋体" w:hAnsi="宋体" w:cs="微软雅黑"/>
                <w:color w:val="333333"/>
                <w:sz w:val="18"/>
                <w:szCs w:val="18"/>
              </w:rPr>
              <w:br w:type="textWrapping"/>
            </w:r>
            <w:r>
              <w:rPr>
                <w:rFonts w:hint="eastAsia" w:ascii="宋体" w:hAnsi="宋体" w:cs="微软雅黑"/>
                <w:color w:val="333333"/>
                <w:sz w:val="18"/>
                <w:szCs w:val="18"/>
              </w:rPr>
              <w:t>类型</w:t>
            </w:r>
          </w:p>
        </w:tc>
        <w:tc>
          <w:tcPr>
            <w:tcW w:w="341" w:type="dxa"/>
            <w:vMerge w:val="restart"/>
            <w:tcBorders>
              <w:top w:val="outset" w:color="auto" w:sz="6" w:space="0"/>
              <w:left w:val="outset" w:color="auto" w:sz="6" w:space="0"/>
              <w:bottom w:val="outset" w:color="auto" w:sz="6" w:space="0"/>
              <w:right w:val="outset" w:color="auto" w:sz="6" w:space="0"/>
            </w:tcBorders>
            <w:vAlign w:val="top"/>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w:t>
            </w:r>
          </w:p>
          <w:p>
            <w:pPr>
              <w:autoSpaceDN w:val="0"/>
              <w:jc w:val="center"/>
              <w:rPr>
                <w:rFonts w:ascii="宋体" w:hAnsi="宋体" w:cs="微软雅黑"/>
                <w:color w:val="333333"/>
                <w:sz w:val="18"/>
                <w:szCs w:val="18"/>
              </w:rPr>
            </w:pPr>
            <w:r>
              <w:rPr>
                <w:rFonts w:hint="eastAsia" w:ascii="宋体" w:hAnsi="宋体" w:cs="微软雅黑"/>
                <w:color w:val="333333"/>
                <w:sz w:val="18"/>
                <w:szCs w:val="18"/>
              </w:rPr>
              <w:t>编码</w:t>
            </w:r>
          </w:p>
        </w:tc>
        <w:tc>
          <w:tcPr>
            <w:tcW w:w="472" w:type="dxa"/>
            <w:gridSpan w:val="2"/>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职权名称</w:t>
            </w:r>
          </w:p>
        </w:tc>
        <w:tc>
          <w:tcPr>
            <w:tcW w:w="6521"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实施依据</w:t>
            </w:r>
          </w:p>
        </w:tc>
        <w:tc>
          <w:tcPr>
            <w:tcW w:w="1701"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责任事项</w:t>
            </w:r>
          </w:p>
        </w:tc>
        <w:tc>
          <w:tcPr>
            <w:tcW w:w="4536"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责任事项依据</w:t>
            </w:r>
          </w:p>
        </w:tc>
        <w:tc>
          <w:tcPr>
            <w:tcW w:w="313" w:type="dxa"/>
            <w:vMerge w:val="restart"/>
            <w:tcBorders>
              <w:top w:val="outset" w:color="auto" w:sz="6" w:space="0"/>
              <w:left w:val="outset" w:color="auto" w:sz="6" w:space="0"/>
              <w:bottom w:val="outset" w:color="auto" w:sz="6" w:space="0"/>
              <w:right w:val="nil"/>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3" w:hRule="atLeast"/>
          <w:tblCellSpacing w:w="0" w:type="dxa"/>
          <w:jc w:val="center"/>
        </w:trPr>
        <w:tc>
          <w:tcPr>
            <w:tcW w:w="268" w:type="dxa"/>
            <w:vMerge w:val="continue"/>
            <w:tcBorders>
              <w:top w:val="outset" w:color="auto" w:sz="6" w:space="0"/>
              <w:left w:val="single" w:color="auto" w:sz="4"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426"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341"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189"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项目</w:t>
            </w:r>
          </w:p>
        </w:tc>
        <w:tc>
          <w:tcPr>
            <w:tcW w:w="283"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子项</w:t>
            </w:r>
          </w:p>
        </w:tc>
        <w:tc>
          <w:tcPr>
            <w:tcW w:w="6521"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1701"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4536"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313" w:type="dxa"/>
            <w:vMerge w:val="continue"/>
            <w:tcBorders>
              <w:top w:val="outset" w:color="auto" w:sz="6" w:space="0"/>
              <w:left w:val="outset" w:color="auto" w:sz="6" w:space="0"/>
              <w:bottom w:val="outset" w:color="auto" w:sz="6" w:space="0"/>
              <w:right w:val="nil"/>
            </w:tcBorders>
            <w:vAlign w:val="center"/>
          </w:tcPr>
          <w:p>
            <w:pPr>
              <w:jc w:val="left"/>
              <w:rPr>
                <w:rFonts w:ascii="宋体" w:hAnsi="宋体" w:cs="微软雅黑"/>
                <w:color w:val="333333"/>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395" w:hRule="atLeast"/>
          <w:tblCellSpacing w:w="0" w:type="dxa"/>
          <w:jc w:val="center"/>
        </w:trPr>
        <w:tc>
          <w:tcPr>
            <w:tcW w:w="268" w:type="dxa"/>
            <w:tcBorders>
              <w:top w:val="outset" w:color="auto" w:sz="6" w:space="0"/>
              <w:left w:val="single" w:color="auto" w:sz="4" w:space="0"/>
              <w:bottom w:val="outset" w:color="auto" w:sz="6" w:space="0"/>
              <w:right w:val="outset" w:color="auto" w:sz="6" w:space="0"/>
            </w:tcBorders>
            <w:vAlign w:val="center"/>
          </w:tcPr>
          <w:p>
            <w:pPr>
              <w:autoSpaceDN w:val="0"/>
              <w:jc w:val="center"/>
              <w:rPr>
                <w:rFonts w:ascii="宋体" w:hAnsi="宋体" w:cs="微软雅黑"/>
                <w:color w:val="333333"/>
                <w:sz w:val="16"/>
                <w:szCs w:val="16"/>
              </w:rPr>
            </w:pPr>
            <w:r>
              <w:rPr>
                <w:rFonts w:hint="eastAsia" w:ascii="宋体" w:hAnsi="宋体" w:cs="微软雅黑"/>
                <w:color w:val="333333"/>
                <w:sz w:val="16"/>
                <w:szCs w:val="16"/>
              </w:rPr>
              <w:t>1</w:t>
            </w:r>
          </w:p>
        </w:tc>
        <w:tc>
          <w:tcPr>
            <w:tcW w:w="426"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6"/>
                <w:szCs w:val="16"/>
              </w:rPr>
            </w:pPr>
            <w:r>
              <w:rPr>
                <w:rFonts w:hint="eastAsia" w:ascii="宋体" w:hAnsi="宋体" w:cs="微软雅黑"/>
                <w:color w:val="333333"/>
                <w:sz w:val="16"/>
                <w:szCs w:val="16"/>
              </w:rPr>
              <w:t>其他</w:t>
            </w:r>
            <w:r>
              <w:rPr>
                <w:rFonts w:hint="eastAsia" w:ascii="宋体" w:hAnsi="宋体" w:cs="微软雅黑"/>
                <w:color w:val="333333"/>
                <w:sz w:val="16"/>
                <w:szCs w:val="16"/>
              </w:rPr>
              <w:br w:type="textWrapping"/>
            </w:r>
            <w:r>
              <w:rPr>
                <w:rFonts w:hint="eastAsia" w:ascii="宋体" w:hAnsi="宋体" w:cs="微软雅黑"/>
                <w:color w:val="333333"/>
                <w:sz w:val="16"/>
                <w:szCs w:val="16"/>
              </w:rPr>
              <w:t>类</w:t>
            </w:r>
          </w:p>
        </w:tc>
        <w:tc>
          <w:tcPr>
            <w:tcW w:w="341" w:type="dxa"/>
            <w:tcBorders>
              <w:top w:val="outset" w:color="auto" w:sz="6" w:space="0"/>
              <w:left w:val="outset" w:color="auto" w:sz="6" w:space="0"/>
              <w:bottom w:val="outset" w:color="auto" w:sz="6" w:space="0"/>
              <w:right w:val="outset" w:color="auto" w:sz="6" w:space="0"/>
            </w:tcBorders>
            <w:vAlign w:val="top"/>
          </w:tcPr>
          <w:p>
            <w:pPr>
              <w:autoSpaceDN w:val="0"/>
              <w:rPr>
                <w:rFonts w:ascii="宋体" w:hAnsi="宋体" w:cs="微软雅黑"/>
                <w:color w:val="333333"/>
                <w:sz w:val="16"/>
                <w:szCs w:val="16"/>
              </w:rPr>
            </w:pPr>
          </w:p>
        </w:tc>
        <w:tc>
          <w:tcPr>
            <w:tcW w:w="472" w:type="dxa"/>
            <w:gridSpan w:val="2"/>
            <w:tcBorders>
              <w:top w:val="outset" w:color="auto" w:sz="6" w:space="0"/>
              <w:left w:val="outset" w:color="auto" w:sz="6" w:space="0"/>
              <w:bottom w:val="outset" w:color="auto" w:sz="6" w:space="0"/>
              <w:right w:val="outset" w:color="auto" w:sz="6" w:space="0"/>
            </w:tcBorders>
            <w:vAlign w:val="center"/>
          </w:tcPr>
          <w:p>
            <w:pPr>
              <w:autoSpaceDN w:val="0"/>
              <w:rPr>
                <w:rFonts w:ascii="宋体" w:hAnsi="宋体" w:cs="微软雅黑"/>
                <w:color w:val="333333"/>
                <w:sz w:val="16"/>
                <w:szCs w:val="16"/>
              </w:rPr>
            </w:pPr>
            <w:r>
              <w:rPr>
                <w:rFonts w:hint="eastAsia" w:ascii="宋体" w:hAnsi="宋体" w:cs="微软雅黑"/>
                <w:color w:val="333333"/>
                <w:sz w:val="16"/>
                <w:szCs w:val="16"/>
              </w:rPr>
              <w:t>审计监督权</w:t>
            </w:r>
          </w:p>
        </w:tc>
        <w:tc>
          <w:tcPr>
            <w:tcW w:w="6521" w:type="dxa"/>
            <w:tcBorders>
              <w:top w:val="outset" w:color="auto" w:sz="6" w:space="0"/>
              <w:left w:val="outset" w:color="auto" w:sz="6" w:space="0"/>
              <w:bottom w:val="outset" w:color="auto" w:sz="6" w:space="0"/>
              <w:right w:val="outset" w:color="auto" w:sz="6" w:space="0"/>
            </w:tcBorders>
            <w:vAlign w:val="center"/>
          </w:tcPr>
          <w:p>
            <w:pPr>
              <w:autoSpaceDN w:val="0"/>
              <w:spacing w:line="280" w:lineRule="exact"/>
              <w:rPr>
                <w:rFonts w:ascii="宋体" w:hAnsi="宋体" w:cs="微软雅黑"/>
                <w:color w:val="333333"/>
                <w:sz w:val="16"/>
                <w:szCs w:val="16"/>
              </w:rPr>
            </w:pPr>
            <w:r>
              <w:rPr>
                <w:rFonts w:hint="eastAsia" w:ascii="宋体" w:hAnsi="宋体" w:cs="微软雅黑"/>
                <w:color w:val="333333"/>
                <w:sz w:val="16"/>
                <w:szCs w:val="16"/>
              </w:rPr>
              <w:t>进行专项审计调查，并向本级人民政府和上一级审计机关报告审计调查结果。</w:t>
            </w:r>
          </w:p>
          <w:p>
            <w:pPr>
              <w:autoSpaceDN w:val="0"/>
              <w:spacing w:line="280" w:lineRule="exact"/>
              <w:rPr>
                <w:rFonts w:ascii="宋体" w:hAnsi="宋体" w:cs="微软雅黑"/>
                <w:color w:val="333333"/>
                <w:sz w:val="16"/>
                <w:szCs w:val="16"/>
              </w:rPr>
            </w:pPr>
            <w:r>
              <w:rPr>
                <w:rFonts w:hint="eastAsia" w:ascii="宋体" w:hAnsi="宋体" w:cs="微软雅黑"/>
                <w:color w:val="333333"/>
                <w:sz w:val="16"/>
                <w:szCs w:val="16"/>
              </w:rPr>
              <w:t>　　第三十二条 :审计机关进行审计时，有权检查被审计单位的会计凭证、会计账簿、财务会计报告和运用电子计算机管理财政收支、财务收支电子数据的系统，以及其他与财政收支、财务收支有关的资料和资产，被审计单位不得拒绝。</w:t>
            </w:r>
          </w:p>
          <w:p>
            <w:pPr>
              <w:autoSpaceDN w:val="0"/>
              <w:spacing w:line="280" w:lineRule="exact"/>
              <w:rPr>
                <w:rFonts w:ascii="宋体" w:hAnsi="宋体" w:cs="微软雅黑"/>
                <w:color w:val="333333"/>
                <w:sz w:val="16"/>
                <w:szCs w:val="16"/>
              </w:rPr>
            </w:pPr>
            <w:r>
              <w:rPr>
                <w:rFonts w:hint="eastAsia" w:ascii="宋体" w:hAnsi="宋体" w:cs="微软雅黑"/>
                <w:color w:val="333333"/>
                <w:sz w:val="16"/>
                <w:szCs w:val="16"/>
              </w:rPr>
              <w:t>　　【行政法规】《中华人民共和国审计法实施条例》第十九条　审计法第二十一条所称国有资本占控股地位或者主导地位的企业、金融机构，包括：</w:t>
            </w:r>
          </w:p>
          <w:p>
            <w:pPr>
              <w:autoSpaceDN w:val="0"/>
              <w:spacing w:line="280" w:lineRule="exact"/>
              <w:rPr>
                <w:rFonts w:ascii="宋体" w:hAnsi="宋体" w:cs="微软雅黑"/>
                <w:color w:val="333333"/>
                <w:sz w:val="16"/>
                <w:szCs w:val="16"/>
              </w:rPr>
            </w:pPr>
            <w:r>
              <w:rPr>
                <w:rFonts w:hint="eastAsia" w:ascii="宋体" w:hAnsi="宋体" w:cs="微软雅黑"/>
                <w:color w:val="333333"/>
                <w:sz w:val="16"/>
                <w:szCs w:val="16"/>
              </w:rPr>
              <w:t xml:space="preserve">    （一）国有资本占企业、金融机构资本（股本）总额的比例超过50%的；</w:t>
            </w:r>
          </w:p>
          <w:p>
            <w:pPr>
              <w:autoSpaceDN w:val="0"/>
              <w:spacing w:line="280" w:lineRule="exact"/>
              <w:rPr>
                <w:rFonts w:ascii="宋体" w:hAnsi="宋体" w:cs="微软雅黑"/>
                <w:color w:val="333333"/>
                <w:sz w:val="16"/>
                <w:szCs w:val="16"/>
              </w:rPr>
            </w:pPr>
            <w:r>
              <w:rPr>
                <w:rFonts w:hint="eastAsia" w:ascii="宋体" w:hAnsi="宋体" w:cs="微软雅黑"/>
                <w:color w:val="333333"/>
                <w:sz w:val="16"/>
                <w:szCs w:val="16"/>
              </w:rPr>
              <w:t xml:space="preserve">    （二）国有资本占企业、金融机构资本（股本）总额的比例在50%以下，但国有资本投资主体拥有实际控制权的。</w:t>
            </w:r>
          </w:p>
          <w:p>
            <w:pPr>
              <w:autoSpaceDN w:val="0"/>
              <w:spacing w:line="280" w:lineRule="exact"/>
              <w:rPr>
                <w:rFonts w:ascii="宋体" w:hAnsi="宋体" w:cs="微软雅黑"/>
                <w:color w:val="333333"/>
                <w:sz w:val="16"/>
                <w:szCs w:val="16"/>
              </w:rPr>
            </w:pPr>
            <w:r>
              <w:rPr>
                <w:rFonts w:hint="eastAsia" w:ascii="宋体" w:hAnsi="宋体" w:cs="微软雅黑"/>
                <w:color w:val="333333"/>
                <w:sz w:val="16"/>
                <w:szCs w:val="16"/>
              </w:rPr>
              <w:t xml:space="preserve">    审计机关对前款规定的企业、金融机构，除国务院另有规定外，比照审计法第十八条第二款、第二十条规定进行审计监督。</w:t>
            </w:r>
          </w:p>
          <w:p>
            <w:pPr>
              <w:autoSpaceDN w:val="0"/>
              <w:spacing w:line="280" w:lineRule="exact"/>
              <w:rPr>
                <w:rFonts w:ascii="宋体" w:hAnsi="宋体" w:cs="微软雅黑"/>
                <w:color w:val="333333"/>
                <w:sz w:val="16"/>
                <w:szCs w:val="16"/>
              </w:rPr>
            </w:pPr>
            <w:r>
              <w:rPr>
                <w:rFonts w:hint="eastAsia" w:ascii="宋体" w:hAnsi="宋体" w:cs="微软雅黑"/>
                <w:color w:val="333333"/>
                <w:sz w:val="16"/>
                <w:szCs w:val="16"/>
              </w:rPr>
              <w:t xml:space="preserve">　　第二十三条：审计机关可以依照审计法和本条例规定的审计程序、方法以及国家其他有关规定，对预算管理或者国有资产管理使用等与国家财政收支有关的特定事项，向有关地方、部门、单位进行专项审计调查。 </w:t>
            </w:r>
          </w:p>
          <w:p>
            <w:pPr>
              <w:autoSpaceDN w:val="0"/>
              <w:spacing w:line="280" w:lineRule="exact"/>
              <w:rPr>
                <w:rFonts w:ascii="宋体" w:hAnsi="宋体" w:cs="微软雅黑"/>
                <w:color w:val="333333"/>
                <w:sz w:val="16"/>
                <w:szCs w:val="16"/>
              </w:rPr>
            </w:pPr>
            <w:r>
              <w:rPr>
                <w:rFonts w:hint="eastAsia" w:ascii="宋体" w:hAnsi="宋体" w:cs="微软雅黑"/>
                <w:color w:val="333333"/>
                <w:sz w:val="16"/>
                <w:szCs w:val="16"/>
              </w:rPr>
              <w:t>　　【规范性文件】《国务院关于加强审计工作的意见》（国发[2014]48号）（三）推动政策措施贯彻落实。持续组织对国家重大政策措施和宏观调控部署落实情况的跟踪审计，着力监督检查各地区、各部门落实稳增长、促改革、调结构、惠民生、防风险等政策措施的具体部署、执行进度、实际效果等情况，特别是重大项目落地、重点资金保障，以及简政放权推进情况，及时发现和纠正有令不行、有禁不止行为，反映好的做法、经验和新情况、新问题，促进政策落地生根和不断完善。（六）促进改善民生和生态文明建设。加强对土地、矿产等自然资源，以及大气、水、固体废物等污染治理和环境保护情况的审计，探索实行自然资源资产离任审计，深入分析财政投入与项目发展、事业发展等情况，推动惠民和资源、环保政策落实到位。（十一）依法接受审计监督。凡是涉及管理、分配、使用公共资金、国有资产、国有资源的部门、单位和个人，都要自觉接受审计、配合审计，不得设置障碍。</w:t>
            </w:r>
          </w:p>
        </w:tc>
        <w:tc>
          <w:tcPr>
            <w:tcW w:w="1701" w:type="dxa"/>
            <w:tcBorders>
              <w:top w:val="outset" w:color="auto" w:sz="6" w:space="0"/>
              <w:left w:val="outset" w:color="auto" w:sz="6" w:space="0"/>
              <w:bottom w:val="outset" w:color="auto" w:sz="6" w:space="0"/>
              <w:right w:val="outset" w:color="auto" w:sz="6" w:space="0"/>
            </w:tcBorders>
            <w:vAlign w:val="center"/>
          </w:tcPr>
          <w:p>
            <w:pPr>
              <w:autoSpaceDN w:val="0"/>
              <w:rPr>
                <w:rFonts w:ascii="宋体" w:hAnsi="宋体" w:cs="微软雅黑"/>
                <w:color w:val="333333"/>
                <w:sz w:val="16"/>
                <w:szCs w:val="16"/>
              </w:rPr>
            </w:pPr>
            <w:r>
              <w:rPr>
                <w:rFonts w:hint="eastAsia" w:ascii="宋体" w:hAnsi="宋体" w:cs="微软雅黑"/>
                <w:color w:val="333333"/>
                <w:sz w:val="16"/>
                <w:szCs w:val="16"/>
              </w:rPr>
              <w:t>组起草审计报告等审计结论性文书，按规定程序征求被审计对象意见；项目计划执行部门、审理部门对代拟的审计报告等审计结论文书、审计工作底稿、证据进行复核、审理；审计机关业务会议集体审定审计报告等审计结论文书，特殊情况下，经审计机关主要负责人授权，可以由审计机关其他负责人审定；出具审计报告，下达审计决定。</w:t>
            </w:r>
          </w:p>
          <w:p>
            <w:pPr>
              <w:autoSpaceDN w:val="0"/>
              <w:rPr>
                <w:rFonts w:ascii="宋体" w:hAnsi="宋体" w:cs="微软雅黑"/>
                <w:color w:val="333333"/>
                <w:sz w:val="16"/>
                <w:szCs w:val="16"/>
              </w:rPr>
            </w:pPr>
            <w:r>
              <w:rPr>
                <w:rFonts w:hint="eastAsia" w:ascii="宋体" w:hAnsi="宋体" w:cs="微软雅黑"/>
                <w:color w:val="333333"/>
                <w:sz w:val="16"/>
                <w:szCs w:val="16"/>
              </w:rPr>
              <w:t>4.送达责任：按规定时间和程序送达审计报告、审计决定、审计移送处理书。根据法律法规规定，依照法定程序向政府有关部门通报或</w:t>
            </w:r>
          </w:p>
        </w:tc>
        <w:tc>
          <w:tcPr>
            <w:tcW w:w="4536" w:type="dxa"/>
            <w:tcBorders>
              <w:top w:val="outset" w:color="auto" w:sz="6" w:space="0"/>
              <w:left w:val="outset" w:color="auto" w:sz="6" w:space="0"/>
              <w:bottom w:val="outset" w:color="auto" w:sz="6" w:space="0"/>
              <w:right w:val="outset" w:color="auto" w:sz="6" w:space="0"/>
            </w:tcBorders>
            <w:vAlign w:val="center"/>
          </w:tcPr>
          <w:p>
            <w:pPr>
              <w:autoSpaceDN w:val="0"/>
              <w:spacing w:line="260" w:lineRule="exact"/>
              <w:rPr>
                <w:rFonts w:ascii="宋体" w:hAnsi="宋体" w:cs="微软雅黑"/>
                <w:color w:val="333333"/>
                <w:sz w:val="16"/>
                <w:szCs w:val="16"/>
              </w:rPr>
            </w:pPr>
            <w:r>
              <w:rPr>
                <w:rFonts w:hint="eastAsia" w:ascii="宋体" w:hAnsi="宋体" w:cs="微软雅黑"/>
                <w:color w:val="333333"/>
                <w:sz w:val="16"/>
                <w:szCs w:val="16"/>
              </w:rPr>
              <w:t>编制年度审计项目计划应当服务大局，围绕政府工作中心，突出审计工作重点，合理安排审计资源，防止不必要的重复审计。</w:t>
            </w:r>
          </w:p>
          <w:p>
            <w:pPr>
              <w:autoSpaceDN w:val="0"/>
              <w:spacing w:line="260" w:lineRule="exact"/>
              <w:ind w:firstLine="320" w:firstLineChars="200"/>
              <w:rPr>
                <w:rFonts w:ascii="宋体" w:hAnsi="宋体" w:cs="微软雅黑"/>
                <w:color w:val="333333"/>
                <w:sz w:val="16"/>
                <w:szCs w:val="16"/>
              </w:rPr>
            </w:pPr>
            <w:r>
              <w:rPr>
                <w:rFonts w:hint="eastAsia" w:ascii="宋体" w:hAnsi="宋体" w:cs="微软雅黑"/>
                <w:color w:val="333333"/>
                <w:sz w:val="16"/>
                <w:szCs w:val="16"/>
              </w:rPr>
              <w:t>第四十一条  审计机关应当将年度审计项目计划报经本级政府行政首长批准并向上一级审计机关报告。</w:t>
            </w:r>
          </w:p>
          <w:p>
            <w:pPr>
              <w:autoSpaceDN w:val="0"/>
              <w:spacing w:line="260" w:lineRule="exact"/>
              <w:ind w:firstLine="320" w:firstLineChars="200"/>
              <w:rPr>
                <w:rFonts w:ascii="宋体" w:hAnsi="宋体" w:cs="微软雅黑"/>
                <w:color w:val="333333"/>
                <w:sz w:val="16"/>
                <w:szCs w:val="16"/>
              </w:rPr>
            </w:pPr>
            <w:r>
              <w:rPr>
                <w:rFonts w:hint="eastAsia" w:ascii="宋体" w:hAnsi="宋体" w:cs="微软雅黑"/>
                <w:color w:val="333333"/>
                <w:sz w:val="16"/>
                <w:szCs w:val="16"/>
              </w:rPr>
              <w:t>第四十四条  审计机关应当将年度审计项目计划下达审计项目组织和实施单位执行。</w:t>
            </w:r>
          </w:p>
          <w:p>
            <w:pPr>
              <w:autoSpaceDN w:val="0"/>
              <w:spacing w:line="260" w:lineRule="exact"/>
              <w:ind w:firstLine="320" w:firstLineChars="200"/>
              <w:rPr>
                <w:rFonts w:ascii="宋体" w:hAnsi="宋体" w:cs="微软雅黑"/>
                <w:color w:val="333333"/>
                <w:sz w:val="16"/>
                <w:szCs w:val="16"/>
              </w:rPr>
            </w:pPr>
            <w:r>
              <w:rPr>
                <w:rFonts w:hint="eastAsia" w:ascii="宋体" w:hAnsi="宋体" w:cs="微软雅黑"/>
                <w:color w:val="333333"/>
                <w:sz w:val="16"/>
                <w:szCs w:val="16"/>
              </w:rPr>
              <w:t>第五十四条  审计机关应当在实施项目审计前组成审计组。</w:t>
            </w:r>
          </w:p>
          <w:p>
            <w:pPr>
              <w:autoSpaceDN w:val="0"/>
              <w:spacing w:line="260" w:lineRule="exact"/>
              <w:rPr>
                <w:rFonts w:ascii="宋体" w:hAnsi="宋体" w:cs="微软雅黑"/>
                <w:color w:val="333333"/>
                <w:sz w:val="16"/>
                <w:szCs w:val="16"/>
              </w:rPr>
            </w:pPr>
            <w:r>
              <w:rPr>
                <w:rFonts w:hint="eastAsia" w:ascii="宋体" w:hAnsi="宋体" w:cs="微软雅黑"/>
                <w:color w:val="333333"/>
                <w:sz w:val="16"/>
                <w:szCs w:val="16"/>
              </w:rPr>
              <w:t>   审计组由审计组组长和其他成员组成。审计组实行审计组组长负责制。审计组组长由审计机关确定，审计组组长可以根据需要在审计组成员中确定主审，主审应当履行其规定职责和审计组组长委托履行的其他职责。</w:t>
            </w:r>
          </w:p>
          <w:p>
            <w:pPr>
              <w:autoSpaceDN w:val="0"/>
              <w:spacing w:line="260" w:lineRule="exact"/>
              <w:ind w:firstLine="320" w:firstLineChars="200"/>
              <w:rPr>
                <w:rFonts w:ascii="宋体" w:hAnsi="宋体" w:cs="微软雅黑"/>
                <w:color w:val="333333"/>
                <w:sz w:val="16"/>
                <w:szCs w:val="16"/>
              </w:rPr>
            </w:pPr>
            <w:r>
              <w:rPr>
                <w:rFonts w:hint="eastAsia" w:ascii="宋体" w:hAnsi="宋体" w:cs="微软雅黑"/>
                <w:color w:val="333333"/>
                <w:sz w:val="16"/>
                <w:szCs w:val="16"/>
              </w:rPr>
              <w:t>第五十五条  审计机关应当依照法律法规的规定，向被审计单位送达审计通知书。</w:t>
            </w:r>
          </w:p>
          <w:p>
            <w:pPr>
              <w:autoSpaceDN w:val="0"/>
              <w:spacing w:line="260" w:lineRule="exact"/>
              <w:ind w:firstLine="320" w:firstLineChars="200"/>
              <w:rPr>
                <w:rFonts w:ascii="宋体" w:hAnsi="宋体" w:cs="微软雅黑"/>
                <w:color w:val="333333"/>
                <w:sz w:val="16"/>
                <w:szCs w:val="16"/>
              </w:rPr>
            </w:pPr>
            <w:r>
              <w:rPr>
                <w:rFonts w:hint="eastAsia" w:ascii="宋体" w:hAnsi="宋体" w:cs="微软雅黑"/>
                <w:color w:val="333333"/>
                <w:sz w:val="16"/>
                <w:szCs w:val="16"/>
              </w:rPr>
              <w:t>第五十七条  审计组应当调查了解被审计单位及其相关情况，评估被审计单位存在重要问题的可能性，确定审计应对措施，编制审计实施方案。</w:t>
            </w:r>
          </w:p>
          <w:p>
            <w:pPr>
              <w:autoSpaceDN w:val="0"/>
              <w:spacing w:line="260" w:lineRule="exact"/>
              <w:rPr>
                <w:rFonts w:ascii="宋体" w:hAnsi="宋体" w:cs="微软雅黑"/>
                <w:color w:val="333333"/>
                <w:sz w:val="16"/>
                <w:szCs w:val="16"/>
              </w:rPr>
            </w:pPr>
            <w:r>
              <w:rPr>
                <w:rFonts w:hint="eastAsia" w:ascii="宋体" w:hAnsi="宋体" w:cs="微软雅黑"/>
                <w:color w:val="333333"/>
                <w:sz w:val="16"/>
                <w:szCs w:val="16"/>
              </w:rPr>
              <w:t>  对于审计机关已经下达审计工作方案的，审计组应当按照审计工作方案的要求编制审计实施方案。</w:t>
            </w:r>
          </w:p>
          <w:p>
            <w:pPr>
              <w:autoSpaceDN w:val="0"/>
              <w:spacing w:line="260" w:lineRule="exact"/>
              <w:ind w:firstLine="320" w:firstLineChars="200"/>
              <w:rPr>
                <w:rFonts w:ascii="宋体" w:hAnsi="宋体" w:cs="微软雅黑"/>
                <w:color w:val="333333"/>
                <w:sz w:val="16"/>
                <w:szCs w:val="16"/>
              </w:rPr>
            </w:pPr>
            <w:r>
              <w:rPr>
                <w:rFonts w:hint="eastAsia" w:ascii="宋体" w:hAnsi="宋体" w:cs="微软雅黑"/>
                <w:color w:val="333333"/>
                <w:sz w:val="16"/>
                <w:szCs w:val="16"/>
              </w:rPr>
              <w:t>第八十三条  审计人员应当依照法定权限和程序获取审计证据。</w:t>
            </w:r>
          </w:p>
          <w:p>
            <w:pPr>
              <w:autoSpaceDN w:val="0"/>
              <w:spacing w:line="260" w:lineRule="exact"/>
              <w:ind w:firstLine="320" w:firstLineChars="200"/>
              <w:rPr>
                <w:rFonts w:ascii="宋体" w:hAnsi="宋体" w:cs="微软雅黑"/>
                <w:color w:val="333333"/>
                <w:sz w:val="16"/>
                <w:szCs w:val="16"/>
              </w:rPr>
            </w:pPr>
            <w:r>
              <w:rPr>
                <w:rFonts w:hint="eastAsia" w:ascii="宋体" w:hAnsi="宋体" w:cs="微软雅黑"/>
                <w:color w:val="333333"/>
                <w:sz w:val="16"/>
                <w:szCs w:val="16"/>
              </w:rPr>
              <w:t>第九十三条  审计人员应当依照法律法规规定，取得被审计单位负责人对本单位提供资料真实性和完整性的书面承诺。</w:t>
            </w:r>
          </w:p>
          <w:p>
            <w:pPr>
              <w:autoSpaceDN w:val="0"/>
              <w:spacing w:line="260" w:lineRule="exact"/>
              <w:ind w:firstLine="320" w:firstLineChars="200"/>
              <w:rPr>
                <w:rFonts w:ascii="宋体" w:hAnsi="宋体" w:cs="微软雅黑"/>
                <w:color w:val="333333"/>
                <w:sz w:val="16"/>
                <w:szCs w:val="16"/>
              </w:rPr>
            </w:pPr>
            <w:r>
              <w:rPr>
                <w:rFonts w:hint="eastAsia" w:ascii="宋体" w:hAnsi="宋体" w:cs="微软雅黑"/>
                <w:color w:val="333333"/>
                <w:sz w:val="16"/>
                <w:szCs w:val="16"/>
              </w:rPr>
              <w:t>第九十四条  审计人员取得证明被审计单位存在违反国家规定的财政收支、财务收支行为以及其他重要审计事项的审计证据材料，应当由提供证据的有关人员、单位签名或者盖章；不能</w:t>
            </w:r>
          </w:p>
        </w:tc>
        <w:tc>
          <w:tcPr>
            <w:tcW w:w="313" w:type="dxa"/>
            <w:tcBorders>
              <w:top w:val="outset" w:color="auto" w:sz="6" w:space="0"/>
              <w:left w:val="outset" w:color="auto" w:sz="6" w:space="0"/>
              <w:bottom w:val="outset" w:color="auto" w:sz="6" w:space="0"/>
              <w:right w:val="nil"/>
            </w:tcBorders>
            <w:vAlign w:val="center"/>
          </w:tcPr>
          <w:p>
            <w:pPr>
              <w:autoSpaceDN w:val="0"/>
              <w:spacing w:line="260" w:lineRule="exact"/>
              <w:jc w:val="center"/>
              <w:rPr>
                <w:rFonts w:ascii="微软雅黑" w:hAnsi="微软雅黑" w:eastAsia="微软雅黑" w:cs="微软雅黑"/>
                <w:color w:val="333333"/>
                <w:sz w:val="18"/>
                <w:szCs w:val="18"/>
              </w:rPr>
            </w:pPr>
          </w:p>
        </w:tc>
      </w:tr>
    </w:tbl>
    <w:p>
      <w:pPr>
        <w:autoSpaceDN w:val="0"/>
        <w:jc w:val="center"/>
        <w:rPr>
          <w:rFonts w:ascii="宋体"/>
          <w:bCs/>
          <w:color w:val="333333"/>
          <w:sz w:val="36"/>
          <w:szCs w:val="36"/>
        </w:rPr>
      </w:pPr>
      <w:r>
        <w:rPr>
          <w:rFonts w:hint="eastAsia" w:ascii="宋体" w:hAnsi="宋体"/>
          <w:bCs/>
          <w:color w:val="000000"/>
          <w:kern w:val="0"/>
          <w:sz w:val="36"/>
          <w:szCs w:val="36"/>
        </w:rPr>
        <w:t>运城市审计局行政权力清单和责任清单</w:t>
      </w:r>
    </w:p>
    <w:tbl>
      <w:tblPr>
        <w:tblStyle w:val="11"/>
        <w:tblW w:w="14578" w:type="dxa"/>
        <w:jc w:val="center"/>
        <w:tblCellSpacing w:w="0" w:type="dxa"/>
        <w:tblInd w:w="-3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68"/>
        <w:gridCol w:w="247"/>
        <w:gridCol w:w="283"/>
        <w:gridCol w:w="284"/>
        <w:gridCol w:w="326"/>
        <w:gridCol w:w="7328"/>
        <w:gridCol w:w="851"/>
        <w:gridCol w:w="4678"/>
        <w:gridCol w:w="31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0" w:hRule="atLeast"/>
          <w:tblCellSpacing w:w="0" w:type="dxa"/>
          <w:jc w:val="center"/>
        </w:trPr>
        <w:tc>
          <w:tcPr>
            <w:tcW w:w="268" w:type="dxa"/>
            <w:vMerge w:val="restart"/>
            <w:tcBorders>
              <w:top w:val="outset" w:color="auto" w:sz="6" w:space="0"/>
              <w:left w:val="single" w:color="auto" w:sz="4"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序号</w:t>
            </w:r>
          </w:p>
        </w:tc>
        <w:tc>
          <w:tcPr>
            <w:tcW w:w="247"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w:t>
            </w:r>
            <w:r>
              <w:rPr>
                <w:rFonts w:hint="eastAsia" w:ascii="宋体" w:hAnsi="宋体" w:cs="微软雅黑"/>
                <w:color w:val="333333"/>
                <w:sz w:val="18"/>
                <w:szCs w:val="18"/>
              </w:rPr>
              <w:br w:type="textWrapping"/>
            </w:r>
            <w:r>
              <w:rPr>
                <w:rFonts w:hint="eastAsia" w:ascii="宋体" w:hAnsi="宋体" w:cs="微软雅黑"/>
                <w:color w:val="333333"/>
                <w:sz w:val="18"/>
                <w:szCs w:val="18"/>
              </w:rPr>
              <w:t>类型</w:t>
            </w:r>
          </w:p>
        </w:tc>
        <w:tc>
          <w:tcPr>
            <w:tcW w:w="283" w:type="dxa"/>
            <w:vMerge w:val="restart"/>
            <w:tcBorders>
              <w:top w:val="outset" w:color="auto" w:sz="6" w:space="0"/>
              <w:left w:val="outset" w:color="auto" w:sz="6" w:space="0"/>
              <w:bottom w:val="outset" w:color="auto" w:sz="6" w:space="0"/>
              <w:right w:val="outset" w:color="auto" w:sz="6" w:space="0"/>
            </w:tcBorders>
            <w:vAlign w:val="top"/>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w:t>
            </w:r>
          </w:p>
          <w:p>
            <w:pPr>
              <w:autoSpaceDN w:val="0"/>
              <w:jc w:val="center"/>
              <w:rPr>
                <w:rFonts w:ascii="宋体" w:hAnsi="宋体" w:cs="微软雅黑"/>
                <w:color w:val="333333"/>
                <w:sz w:val="18"/>
                <w:szCs w:val="18"/>
              </w:rPr>
            </w:pPr>
            <w:r>
              <w:rPr>
                <w:rFonts w:hint="eastAsia" w:ascii="宋体" w:hAnsi="宋体" w:cs="微软雅黑"/>
                <w:color w:val="333333"/>
                <w:sz w:val="18"/>
                <w:szCs w:val="18"/>
              </w:rPr>
              <w:t>编码</w:t>
            </w:r>
          </w:p>
        </w:tc>
        <w:tc>
          <w:tcPr>
            <w:tcW w:w="610" w:type="dxa"/>
            <w:gridSpan w:val="2"/>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职权名称</w:t>
            </w:r>
          </w:p>
        </w:tc>
        <w:tc>
          <w:tcPr>
            <w:tcW w:w="7328"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实施依据</w:t>
            </w:r>
          </w:p>
        </w:tc>
        <w:tc>
          <w:tcPr>
            <w:tcW w:w="851"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责任事项</w:t>
            </w:r>
          </w:p>
        </w:tc>
        <w:tc>
          <w:tcPr>
            <w:tcW w:w="4678"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责任事项依据</w:t>
            </w:r>
          </w:p>
        </w:tc>
        <w:tc>
          <w:tcPr>
            <w:tcW w:w="313" w:type="dxa"/>
            <w:vMerge w:val="restart"/>
            <w:tcBorders>
              <w:top w:val="outset" w:color="auto" w:sz="6" w:space="0"/>
              <w:left w:val="outset" w:color="auto" w:sz="6" w:space="0"/>
              <w:bottom w:val="outset" w:color="auto" w:sz="6" w:space="0"/>
              <w:right w:val="nil"/>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3" w:hRule="atLeast"/>
          <w:tblCellSpacing w:w="0" w:type="dxa"/>
          <w:jc w:val="center"/>
        </w:trPr>
        <w:tc>
          <w:tcPr>
            <w:tcW w:w="268" w:type="dxa"/>
            <w:vMerge w:val="continue"/>
            <w:tcBorders>
              <w:top w:val="outset" w:color="auto" w:sz="6" w:space="0"/>
              <w:left w:val="single" w:color="auto" w:sz="4"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247"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283"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284"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项目</w:t>
            </w:r>
          </w:p>
        </w:tc>
        <w:tc>
          <w:tcPr>
            <w:tcW w:w="326"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子项</w:t>
            </w:r>
          </w:p>
        </w:tc>
        <w:tc>
          <w:tcPr>
            <w:tcW w:w="7328"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851"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4678"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313" w:type="dxa"/>
            <w:vMerge w:val="continue"/>
            <w:tcBorders>
              <w:top w:val="outset" w:color="auto" w:sz="6" w:space="0"/>
              <w:left w:val="outset" w:color="auto" w:sz="6" w:space="0"/>
              <w:bottom w:val="outset" w:color="auto" w:sz="6" w:space="0"/>
              <w:right w:val="nil"/>
            </w:tcBorders>
            <w:vAlign w:val="center"/>
          </w:tcPr>
          <w:p>
            <w:pPr>
              <w:jc w:val="left"/>
              <w:rPr>
                <w:rFonts w:ascii="宋体" w:hAnsi="宋体" w:cs="微软雅黑"/>
                <w:color w:val="333333"/>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395" w:hRule="atLeast"/>
          <w:tblCellSpacing w:w="0" w:type="dxa"/>
          <w:jc w:val="center"/>
        </w:trPr>
        <w:tc>
          <w:tcPr>
            <w:tcW w:w="268" w:type="dxa"/>
            <w:tcBorders>
              <w:top w:val="outset" w:color="auto" w:sz="6" w:space="0"/>
              <w:left w:val="single" w:color="auto" w:sz="4" w:space="0"/>
              <w:bottom w:val="outset" w:color="auto" w:sz="6" w:space="0"/>
              <w:right w:val="outset" w:color="auto" w:sz="6" w:space="0"/>
            </w:tcBorders>
            <w:vAlign w:val="center"/>
          </w:tcPr>
          <w:p>
            <w:pPr>
              <w:autoSpaceDN w:val="0"/>
              <w:jc w:val="center"/>
              <w:rPr>
                <w:rFonts w:ascii="宋体" w:hAnsi="宋体" w:cs="微软雅黑"/>
                <w:color w:val="333333"/>
                <w:sz w:val="16"/>
                <w:szCs w:val="16"/>
              </w:rPr>
            </w:pPr>
            <w:r>
              <w:rPr>
                <w:rFonts w:hint="eastAsia" w:ascii="宋体" w:hAnsi="宋体" w:cs="微软雅黑"/>
                <w:color w:val="333333"/>
                <w:sz w:val="16"/>
                <w:szCs w:val="16"/>
              </w:rPr>
              <w:t>1</w:t>
            </w:r>
          </w:p>
        </w:tc>
        <w:tc>
          <w:tcPr>
            <w:tcW w:w="247"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6"/>
                <w:szCs w:val="16"/>
              </w:rPr>
            </w:pPr>
            <w:r>
              <w:rPr>
                <w:rFonts w:hint="eastAsia" w:ascii="宋体" w:hAnsi="宋体" w:cs="微软雅黑"/>
                <w:color w:val="333333"/>
                <w:sz w:val="16"/>
                <w:szCs w:val="16"/>
              </w:rPr>
              <w:t>其他</w:t>
            </w:r>
            <w:r>
              <w:rPr>
                <w:rFonts w:hint="eastAsia" w:ascii="宋体" w:hAnsi="宋体" w:cs="微软雅黑"/>
                <w:color w:val="333333"/>
                <w:sz w:val="16"/>
                <w:szCs w:val="16"/>
              </w:rPr>
              <w:br w:type="textWrapping"/>
            </w:r>
            <w:r>
              <w:rPr>
                <w:rFonts w:hint="eastAsia" w:ascii="宋体" w:hAnsi="宋体" w:cs="微软雅黑"/>
                <w:color w:val="333333"/>
                <w:sz w:val="16"/>
                <w:szCs w:val="16"/>
              </w:rPr>
              <w:t>类</w:t>
            </w:r>
          </w:p>
        </w:tc>
        <w:tc>
          <w:tcPr>
            <w:tcW w:w="283" w:type="dxa"/>
            <w:tcBorders>
              <w:top w:val="outset" w:color="auto" w:sz="6" w:space="0"/>
              <w:left w:val="outset" w:color="auto" w:sz="6" w:space="0"/>
              <w:bottom w:val="outset" w:color="auto" w:sz="6" w:space="0"/>
              <w:right w:val="outset" w:color="auto" w:sz="6" w:space="0"/>
            </w:tcBorders>
            <w:vAlign w:val="top"/>
          </w:tcPr>
          <w:p>
            <w:pPr>
              <w:autoSpaceDN w:val="0"/>
              <w:rPr>
                <w:rFonts w:ascii="宋体" w:hAnsi="宋体" w:cs="微软雅黑"/>
                <w:color w:val="333333"/>
                <w:sz w:val="16"/>
                <w:szCs w:val="16"/>
              </w:rPr>
            </w:pPr>
          </w:p>
        </w:tc>
        <w:tc>
          <w:tcPr>
            <w:tcW w:w="610" w:type="dxa"/>
            <w:gridSpan w:val="2"/>
            <w:tcBorders>
              <w:top w:val="outset" w:color="auto" w:sz="6" w:space="0"/>
              <w:left w:val="outset" w:color="auto" w:sz="6" w:space="0"/>
              <w:bottom w:val="outset" w:color="auto" w:sz="6" w:space="0"/>
              <w:right w:val="outset" w:color="auto" w:sz="6" w:space="0"/>
            </w:tcBorders>
            <w:vAlign w:val="center"/>
          </w:tcPr>
          <w:p>
            <w:pPr>
              <w:autoSpaceDN w:val="0"/>
              <w:rPr>
                <w:rFonts w:ascii="宋体" w:hAnsi="宋体" w:cs="微软雅黑"/>
                <w:color w:val="333333"/>
                <w:sz w:val="16"/>
                <w:szCs w:val="16"/>
              </w:rPr>
            </w:pPr>
            <w:r>
              <w:rPr>
                <w:rFonts w:hint="eastAsia" w:ascii="宋体" w:hAnsi="宋体" w:cs="微软雅黑"/>
                <w:color w:val="333333"/>
                <w:sz w:val="16"/>
                <w:szCs w:val="16"/>
              </w:rPr>
              <w:t>审计监督权</w:t>
            </w:r>
          </w:p>
        </w:tc>
        <w:tc>
          <w:tcPr>
            <w:tcW w:w="7328" w:type="dxa"/>
            <w:tcBorders>
              <w:top w:val="outset" w:color="auto" w:sz="6" w:space="0"/>
              <w:left w:val="outset" w:color="auto" w:sz="6" w:space="0"/>
              <w:bottom w:val="outset" w:color="auto" w:sz="6" w:space="0"/>
              <w:right w:val="outset" w:color="auto" w:sz="6" w:space="0"/>
            </w:tcBorders>
            <w:vAlign w:val="center"/>
          </w:tcPr>
          <w:p>
            <w:pPr>
              <w:autoSpaceDN w:val="0"/>
              <w:spacing w:line="260" w:lineRule="exact"/>
              <w:rPr>
                <w:rFonts w:ascii="宋体" w:hAnsi="宋体" w:cs="微软雅黑"/>
                <w:color w:val="333333"/>
                <w:sz w:val="16"/>
                <w:szCs w:val="16"/>
              </w:rPr>
            </w:pPr>
            <w:r>
              <w:rPr>
                <w:rFonts w:hint="eastAsia" w:ascii="宋体" w:hAnsi="宋体" w:cs="微软雅黑"/>
                <w:color w:val="333333"/>
                <w:sz w:val="16"/>
                <w:szCs w:val="16"/>
              </w:rPr>
              <w:t xml:space="preserve">有关部门和单位要依法、及时、全面提供审计所需的财务会计、业务和管理等资料，不得制定限制向审计机关提供资料和开放计算机信息系统查询权限的规定，已经制定的应予修订或废止。对获取的资料，审计机关要严格保密。（十二）提供完整准确真实的电子数据。有关部门、金融机构和国有企事业单位应根据审计工作需要，依法向审计机关提供与本单位、本系统履行职责相关的电子数据信息和必要的技术文档；在确保数据信息安全的前提下，协助审计机关开展联网审计。在现场审计阶段，被审计单位要为审计机关进行电子数据分析提供必要的工作环境。（十五）加强整改督促检查。各级政府每年要专题研究国家重大决策部署和有关政策措施落实情况审计，以及本级预算执行和其他财政收支审计查出问题的整改工作，将整改纳入督查督办事项。对审计反映的问题，被审计单位主管部门要及时督促整改。审计机关要建立整改检查跟踪机制，必要时可提请有关部门协助落实整改意见。（十六）严肃整改问责。各地区、各部门要把审计结果及其整改情况作为考核、奖惩的重要依据。对审计发现的重大问题，要依法依纪作出处理，严肃追究有关人员责任。对审计反映的典型性、普遍性、倾向性问题，要及时研究，完善制度规定。对整改不到位的，要与被审计单位主要负责人进行约谈。对整改不力、屡审屡犯的，要严格追责问责。                                             </w:t>
            </w:r>
          </w:p>
          <w:p>
            <w:pPr>
              <w:autoSpaceDN w:val="0"/>
              <w:spacing w:line="260" w:lineRule="exact"/>
              <w:ind w:firstLine="326"/>
              <w:rPr>
                <w:rFonts w:hint="eastAsia" w:ascii="宋体" w:hAnsi="宋体" w:cs="微软雅黑"/>
                <w:color w:val="F79646" w:themeColor="accent6"/>
                <w:sz w:val="16"/>
                <w:szCs w:val="16"/>
                <w14:textFill>
                  <w14:solidFill>
                    <w14:schemeClr w14:val="accent6"/>
                  </w14:solidFill>
                </w14:textFill>
              </w:rPr>
            </w:pPr>
            <w:r>
              <w:rPr>
                <w:rFonts w:hint="eastAsia" w:ascii="宋体" w:hAnsi="宋体" w:cs="微软雅黑"/>
                <w:color w:val="auto"/>
                <w:sz w:val="16"/>
                <w:szCs w:val="16"/>
              </w:rPr>
              <w:t>【规范性文件】 《党政主要领导干部和国有企事业单位主要领导人员经济责任审计规定》第十七条　地方各级党委和政府主要领导干部经济责任审计的内容包括：（一）贯彻执行党和国家经济方针政策、决策部署情况；（二）本地区经济社会发展规划和政策措施的制定、执行和效果情况；（三）重大经济事项的决策、执行和效果情况；（四）财政财务管理和经济风险防范情况，民生保障和改善情况，生态文明建设项目、资金等管理使用和效益情况，以及在预算管理中执行机构编制管理规定情况；（五）在经济活动中落实有关党风廉政建设责任和遵守廉洁从政规定情况；（六）以往审计发现问题的整改情况；（七）其他需要审计的内容。</w:t>
            </w:r>
          </w:p>
        </w:tc>
        <w:tc>
          <w:tcPr>
            <w:tcW w:w="851" w:type="dxa"/>
            <w:tcBorders>
              <w:top w:val="outset" w:color="auto" w:sz="6" w:space="0"/>
              <w:left w:val="outset" w:color="auto" w:sz="6" w:space="0"/>
              <w:bottom w:val="outset" w:color="auto" w:sz="6" w:space="0"/>
              <w:right w:val="outset" w:color="auto" w:sz="6" w:space="0"/>
            </w:tcBorders>
            <w:vAlign w:val="top"/>
          </w:tcPr>
          <w:p>
            <w:pPr>
              <w:autoSpaceDN w:val="0"/>
              <w:rPr>
                <w:rFonts w:ascii="宋体" w:hAnsi="宋体" w:cs="微软雅黑"/>
                <w:color w:val="333333"/>
                <w:sz w:val="16"/>
                <w:szCs w:val="16"/>
              </w:rPr>
            </w:pPr>
            <w:r>
              <w:rPr>
                <w:rFonts w:hint="eastAsia" w:ascii="宋体" w:hAnsi="宋体" w:cs="微软雅黑"/>
                <w:color w:val="333333"/>
                <w:sz w:val="16"/>
                <w:szCs w:val="16"/>
              </w:rPr>
              <w:t>者向社会公布审计结果。</w:t>
            </w:r>
            <w:r>
              <w:rPr>
                <w:rFonts w:hint="eastAsia" w:ascii="宋体" w:hAnsi="宋体" w:cs="微软雅黑"/>
                <w:color w:val="333333"/>
                <w:sz w:val="16"/>
                <w:szCs w:val="16"/>
              </w:rPr>
              <w:br w:type="textWrapping"/>
            </w:r>
            <w:r>
              <w:rPr>
                <w:rFonts w:hint="eastAsia" w:ascii="宋体" w:hAnsi="宋体" w:cs="微软雅黑"/>
                <w:color w:val="333333"/>
                <w:sz w:val="16"/>
                <w:szCs w:val="16"/>
              </w:rPr>
              <w:t>5.执行和整改责任：审计机关应当在3个月内，检查审计报告、审计决定等执行情况；在审计工作结束后，要按照审计项目档案管理规定，及时归档。</w:t>
            </w:r>
            <w:r>
              <w:rPr>
                <w:rFonts w:hint="eastAsia" w:ascii="宋体" w:hAnsi="宋体" w:cs="微软雅黑"/>
                <w:color w:val="333333"/>
                <w:sz w:val="16"/>
                <w:szCs w:val="16"/>
              </w:rPr>
              <w:br w:type="textWrapping"/>
            </w:r>
            <w:r>
              <w:rPr>
                <w:rFonts w:hint="eastAsia" w:ascii="宋体" w:hAnsi="宋体" w:cs="微软雅黑"/>
                <w:color w:val="333333"/>
                <w:sz w:val="16"/>
                <w:szCs w:val="16"/>
              </w:rPr>
              <w:t>6.其他：法律法规规章规定应履行的责任。</w:t>
            </w:r>
          </w:p>
        </w:tc>
        <w:tc>
          <w:tcPr>
            <w:tcW w:w="4678" w:type="dxa"/>
            <w:tcBorders>
              <w:top w:val="outset" w:color="auto" w:sz="6" w:space="0"/>
              <w:left w:val="outset" w:color="auto" w:sz="6" w:space="0"/>
              <w:bottom w:val="outset" w:color="auto" w:sz="6" w:space="0"/>
              <w:right w:val="outset" w:color="auto" w:sz="6" w:space="0"/>
            </w:tcBorders>
            <w:vAlign w:val="center"/>
          </w:tcPr>
          <w:p>
            <w:pPr>
              <w:autoSpaceDN w:val="0"/>
              <w:spacing w:line="240" w:lineRule="exact"/>
              <w:rPr>
                <w:rFonts w:ascii="宋体" w:hAnsi="宋体" w:cs="微软雅黑"/>
                <w:color w:val="333333"/>
                <w:sz w:val="16"/>
                <w:szCs w:val="16"/>
              </w:rPr>
            </w:pPr>
            <w:r>
              <w:rPr>
                <w:rFonts w:hint="eastAsia" w:ascii="宋体" w:hAnsi="宋体" w:cs="微软雅黑"/>
                <w:color w:val="333333"/>
                <w:sz w:val="16"/>
                <w:szCs w:val="16"/>
              </w:rPr>
              <w:t>取得签名或者盖章不影响事实存在的，该审计证据仍然有效，但审计人员应当注明原因。</w:t>
            </w:r>
          </w:p>
          <w:p>
            <w:pPr>
              <w:autoSpaceDN w:val="0"/>
              <w:spacing w:line="240" w:lineRule="exact"/>
              <w:rPr>
                <w:rFonts w:ascii="宋体" w:hAnsi="宋体" w:cs="微软雅黑"/>
                <w:color w:val="333333"/>
                <w:sz w:val="16"/>
                <w:szCs w:val="16"/>
              </w:rPr>
            </w:pPr>
            <w:r>
              <w:rPr>
                <w:rFonts w:hint="eastAsia" w:ascii="宋体" w:hAnsi="宋体" w:cs="微软雅黑"/>
                <w:color w:val="333333"/>
                <w:sz w:val="16"/>
                <w:szCs w:val="16"/>
              </w:rPr>
              <w:t>  审计事项比较复杂或者取得的审计证据数量较大的，可以对审计证据进行汇总分析，编制审计取证单，由证据提供者签名或者盖章。</w:t>
            </w:r>
          </w:p>
          <w:p>
            <w:pPr>
              <w:autoSpaceDN w:val="0"/>
              <w:spacing w:line="240" w:lineRule="exact"/>
              <w:ind w:firstLine="320" w:firstLineChars="200"/>
              <w:rPr>
                <w:rFonts w:ascii="宋体" w:hAnsi="宋体" w:cs="微软雅黑"/>
                <w:color w:val="333333"/>
                <w:sz w:val="16"/>
                <w:szCs w:val="16"/>
              </w:rPr>
            </w:pPr>
            <w:r>
              <w:rPr>
                <w:rFonts w:hint="eastAsia" w:ascii="宋体" w:hAnsi="宋体" w:cs="微软雅黑"/>
                <w:color w:val="333333"/>
                <w:sz w:val="16"/>
                <w:szCs w:val="16"/>
              </w:rPr>
              <w:t>第一百零九条  审计组起草审计报告前，审计组组长应当对审计工作底稿的下列事项进行审核：</w:t>
            </w:r>
          </w:p>
          <w:p>
            <w:pPr>
              <w:autoSpaceDN w:val="0"/>
              <w:spacing w:line="240" w:lineRule="exact"/>
              <w:rPr>
                <w:rFonts w:ascii="宋体" w:hAnsi="宋体" w:cs="微软雅黑"/>
                <w:color w:val="333333"/>
                <w:sz w:val="16"/>
                <w:szCs w:val="16"/>
              </w:rPr>
            </w:pPr>
            <w:r>
              <w:rPr>
                <w:rFonts w:hint="eastAsia" w:ascii="宋体" w:hAnsi="宋体" w:cs="微软雅黑"/>
                <w:color w:val="333333"/>
                <w:sz w:val="16"/>
                <w:szCs w:val="16"/>
              </w:rPr>
              <w:t>  （一）具体审计目标是否实现；（二）审计措施是否有效执行；（三）事实是否清楚；（四）审计证据是否适当、充分；（五）得出的审计结论及其相关标准是否适当；（六）其他有关重要事项。</w:t>
            </w:r>
          </w:p>
          <w:p>
            <w:pPr>
              <w:autoSpaceDN w:val="0"/>
              <w:spacing w:line="240" w:lineRule="exact"/>
              <w:ind w:firstLine="320" w:firstLineChars="200"/>
              <w:rPr>
                <w:rFonts w:ascii="宋体" w:hAnsi="宋体" w:cs="微软雅黑"/>
                <w:color w:val="333333"/>
                <w:sz w:val="16"/>
                <w:szCs w:val="16"/>
              </w:rPr>
            </w:pPr>
            <w:r>
              <w:rPr>
                <w:rFonts w:hint="eastAsia" w:ascii="宋体" w:hAnsi="宋体" w:cs="微软雅黑"/>
                <w:color w:val="333333"/>
                <w:sz w:val="16"/>
                <w:szCs w:val="16"/>
              </w:rPr>
              <w:t>第一百三十二条  审计组组长应当确认审计工作底稿和审计证据已经审核，并从总体上评价审计证据的适当性和充分性。</w:t>
            </w:r>
          </w:p>
          <w:p>
            <w:pPr>
              <w:autoSpaceDN w:val="0"/>
              <w:spacing w:line="240" w:lineRule="exact"/>
              <w:ind w:firstLine="320" w:firstLineChars="200"/>
              <w:rPr>
                <w:rFonts w:ascii="宋体" w:hAnsi="宋体" w:cs="微软雅黑"/>
                <w:color w:val="333333"/>
                <w:sz w:val="16"/>
                <w:szCs w:val="16"/>
              </w:rPr>
            </w:pPr>
            <w:r>
              <w:rPr>
                <w:rFonts w:hint="eastAsia" w:ascii="宋体" w:hAnsi="宋体" w:cs="微软雅黑"/>
                <w:color w:val="333333"/>
                <w:sz w:val="16"/>
                <w:szCs w:val="16"/>
              </w:rPr>
              <w:t>第一百四十七条  审计报告、审计决定书原则上应当由审计机关审计业务会议审定；特殊情况下，经审计机关主要负责人授权，可以由审计机关其他负责人审定。</w:t>
            </w:r>
          </w:p>
          <w:p>
            <w:pPr>
              <w:autoSpaceDN w:val="0"/>
              <w:spacing w:line="240" w:lineRule="exact"/>
              <w:ind w:firstLine="320" w:firstLineChars="200"/>
              <w:rPr>
                <w:rFonts w:ascii="宋体" w:hAnsi="宋体" w:cs="微软雅黑"/>
                <w:color w:val="333333"/>
                <w:sz w:val="16"/>
                <w:szCs w:val="16"/>
              </w:rPr>
            </w:pPr>
            <w:r>
              <w:rPr>
                <w:rFonts w:hint="eastAsia" w:ascii="宋体" w:hAnsi="宋体" w:cs="微软雅黑"/>
                <w:color w:val="333333"/>
                <w:sz w:val="16"/>
                <w:szCs w:val="16"/>
              </w:rPr>
              <w:t>第一百六十五条  审计组在审计实施过程中，应当及时督促被审计单位整改审计发现的问题。</w:t>
            </w:r>
          </w:p>
          <w:p>
            <w:pPr>
              <w:autoSpaceDN w:val="0"/>
              <w:spacing w:line="240" w:lineRule="exact"/>
              <w:rPr>
                <w:rFonts w:ascii="宋体" w:hAnsi="宋体" w:cs="微软雅黑"/>
                <w:color w:val="333333"/>
                <w:sz w:val="16"/>
                <w:szCs w:val="16"/>
              </w:rPr>
            </w:pPr>
            <w:r>
              <w:rPr>
                <w:rFonts w:hint="eastAsia" w:ascii="宋体" w:hAnsi="宋体" w:cs="微软雅黑"/>
                <w:color w:val="333333"/>
                <w:sz w:val="16"/>
                <w:szCs w:val="16"/>
              </w:rPr>
              <w:t>  审计机关在出具审计报告、作出审计决定后，应当在规定的时间内检查或者了解被审计单位和其他有关单位的整改情况。</w:t>
            </w:r>
          </w:p>
          <w:p>
            <w:pPr>
              <w:autoSpaceDN w:val="0"/>
              <w:spacing w:line="240" w:lineRule="exact"/>
              <w:ind w:firstLine="320" w:firstLineChars="200"/>
              <w:rPr>
                <w:rFonts w:ascii="宋体" w:hAnsi="宋体" w:cs="微软雅黑"/>
                <w:color w:val="333333"/>
                <w:sz w:val="16"/>
                <w:szCs w:val="16"/>
              </w:rPr>
            </w:pPr>
            <w:r>
              <w:rPr>
                <w:rFonts w:hint="eastAsia" w:ascii="宋体" w:hAnsi="宋体" w:cs="微软雅黑"/>
                <w:color w:val="333333"/>
                <w:sz w:val="16"/>
                <w:szCs w:val="16"/>
              </w:rPr>
              <w:t>第一百八十八条  审计机关应当按照国家有关规定，建立健全审计项目档案管理制度，明确审计项目归档要求、保存期限、保存措施、档案利用审批程序等。</w:t>
            </w:r>
          </w:p>
          <w:p>
            <w:pPr>
              <w:autoSpaceDN w:val="0"/>
              <w:spacing w:line="240" w:lineRule="exact"/>
              <w:ind w:firstLine="320" w:firstLineChars="200"/>
              <w:rPr>
                <w:rFonts w:ascii="宋体" w:hAnsi="宋体" w:cs="微软雅黑"/>
                <w:color w:val="333333"/>
                <w:sz w:val="16"/>
                <w:szCs w:val="16"/>
              </w:rPr>
            </w:pPr>
          </w:p>
        </w:tc>
        <w:tc>
          <w:tcPr>
            <w:tcW w:w="313" w:type="dxa"/>
            <w:tcBorders>
              <w:top w:val="outset" w:color="auto" w:sz="6" w:space="0"/>
              <w:left w:val="outset" w:color="auto" w:sz="6" w:space="0"/>
              <w:bottom w:val="outset" w:color="auto" w:sz="6" w:space="0"/>
              <w:right w:val="nil"/>
            </w:tcBorders>
            <w:vAlign w:val="center"/>
          </w:tcPr>
          <w:p>
            <w:pPr>
              <w:autoSpaceDN w:val="0"/>
              <w:jc w:val="center"/>
              <w:rPr>
                <w:rFonts w:ascii="微软雅黑" w:hAnsi="微软雅黑" w:eastAsia="微软雅黑" w:cs="微软雅黑"/>
                <w:color w:val="333333"/>
                <w:sz w:val="18"/>
                <w:szCs w:val="18"/>
              </w:rPr>
            </w:pPr>
          </w:p>
        </w:tc>
      </w:tr>
    </w:tbl>
    <w:p>
      <w:pPr>
        <w:autoSpaceDN w:val="0"/>
        <w:jc w:val="center"/>
        <w:rPr>
          <w:rFonts w:ascii="宋体"/>
          <w:bCs/>
          <w:color w:val="333333"/>
          <w:sz w:val="36"/>
          <w:szCs w:val="36"/>
        </w:rPr>
      </w:pPr>
      <w:r>
        <w:rPr>
          <w:rFonts w:hint="eastAsia" w:ascii="宋体" w:hAnsi="宋体"/>
          <w:bCs/>
          <w:color w:val="000000"/>
          <w:kern w:val="0"/>
          <w:sz w:val="36"/>
          <w:szCs w:val="36"/>
        </w:rPr>
        <w:t>运城市审计局行政权力清单和责任清单</w:t>
      </w:r>
    </w:p>
    <w:tbl>
      <w:tblPr>
        <w:tblStyle w:val="11"/>
        <w:tblW w:w="14578" w:type="dxa"/>
        <w:jc w:val="center"/>
        <w:tblCellSpacing w:w="0" w:type="dxa"/>
        <w:tblInd w:w="-3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68"/>
        <w:gridCol w:w="247"/>
        <w:gridCol w:w="283"/>
        <w:gridCol w:w="284"/>
        <w:gridCol w:w="283"/>
        <w:gridCol w:w="2977"/>
        <w:gridCol w:w="5245"/>
        <w:gridCol w:w="4678"/>
        <w:gridCol w:w="31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0" w:hRule="atLeast"/>
          <w:tblCellSpacing w:w="0" w:type="dxa"/>
          <w:jc w:val="center"/>
        </w:trPr>
        <w:tc>
          <w:tcPr>
            <w:tcW w:w="268" w:type="dxa"/>
            <w:vMerge w:val="restart"/>
            <w:tcBorders>
              <w:top w:val="outset" w:color="auto" w:sz="6" w:space="0"/>
              <w:left w:val="single" w:color="auto" w:sz="4"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序号</w:t>
            </w:r>
          </w:p>
        </w:tc>
        <w:tc>
          <w:tcPr>
            <w:tcW w:w="247"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w:t>
            </w:r>
            <w:r>
              <w:rPr>
                <w:rFonts w:hint="eastAsia" w:ascii="宋体" w:hAnsi="宋体" w:cs="微软雅黑"/>
                <w:color w:val="333333"/>
                <w:sz w:val="18"/>
                <w:szCs w:val="18"/>
              </w:rPr>
              <w:br w:type="textWrapping"/>
            </w:r>
            <w:r>
              <w:rPr>
                <w:rFonts w:hint="eastAsia" w:ascii="宋体" w:hAnsi="宋体" w:cs="微软雅黑"/>
                <w:color w:val="333333"/>
                <w:sz w:val="18"/>
                <w:szCs w:val="18"/>
              </w:rPr>
              <w:t>类型</w:t>
            </w:r>
          </w:p>
        </w:tc>
        <w:tc>
          <w:tcPr>
            <w:tcW w:w="283" w:type="dxa"/>
            <w:vMerge w:val="restart"/>
            <w:tcBorders>
              <w:top w:val="outset" w:color="auto" w:sz="6" w:space="0"/>
              <w:left w:val="outset" w:color="auto" w:sz="6" w:space="0"/>
              <w:bottom w:val="outset" w:color="auto" w:sz="6" w:space="0"/>
              <w:right w:val="outset" w:color="auto" w:sz="6" w:space="0"/>
            </w:tcBorders>
            <w:vAlign w:val="top"/>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w:t>
            </w:r>
          </w:p>
          <w:p>
            <w:pPr>
              <w:autoSpaceDN w:val="0"/>
              <w:jc w:val="center"/>
              <w:rPr>
                <w:rFonts w:ascii="宋体" w:hAnsi="宋体" w:cs="微软雅黑"/>
                <w:color w:val="333333"/>
                <w:sz w:val="18"/>
                <w:szCs w:val="18"/>
              </w:rPr>
            </w:pPr>
            <w:r>
              <w:rPr>
                <w:rFonts w:hint="eastAsia" w:ascii="宋体" w:hAnsi="宋体" w:cs="微软雅黑"/>
                <w:color w:val="333333"/>
                <w:sz w:val="18"/>
                <w:szCs w:val="18"/>
              </w:rPr>
              <w:t>编码</w:t>
            </w:r>
          </w:p>
        </w:tc>
        <w:tc>
          <w:tcPr>
            <w:tcW w:w="567" w:type="dxa"/>
            <w:gridSpan w:val="2"/>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职权名称</w:t>
            </w:r>
          </w:p>
        </w:tc>
        <w:tc>
          <w:tcPr>
            <w:tcW w:w="2977"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实施依据</w:t>
            </w:r>
          </w:p>
        </w:tc>
        <w:tc>
          <w:tcPr>
            <w:tcW w:w="5245"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责任事项</w:t>
            </w:r>
          </w:p>
        </w:tc>
        <w:tc>
          <w:tcPr>
            <w:tcW w:w="4678"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责任事项依据</w:t>
            </w:r>
          </w:p>
        </w:tc>
        <w:tc>
          <w:tcPr>
            <w:tcW w:w="313" w:type="dxa"/>
            <w:vMerge w:val="restart"/>
            <w:tcBorders>
              <w:top w:val="outset" w:color="auto" w:sz="6" w:space="0"/>
              <w:left w:val="outset" w:color="auto" w:sz="6" w:space="0"/>
              <w:bottom w:val="outset" w:color="auto" w:sz="6" w:space="0"/>
              <w:right w:val="nil"/>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3" w:hRule="atLeast"/>
          <w:tblCellSpacing w:w="0" w:type="dxa"/>
          <w:jc w:val="center"/>
        </w:trPr>
        <w:tc>
          <w:tcPr>
            <w:tcW w:w="268" w:type="dxa"/>
            <w:vMerge w:val="continue"/>
            <w:tcBorders>
              <w:top w:val="outset" w:color="auto" w:sz="6" w:space="0"/>
              <w:left w:val="single" w:color="auto" w:sz="4"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247"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283"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284"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项目</w:t>
            </w:r>
          </w:p>
        </w:tc>
        <w:tc>
          <w:tcPr>
            <w:tcW w:w="283"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子项</w:t>
            </w:r>
          </w:p>
        </w:tc>
        <w:tc>
          <w:tcPr>
            <w:tcW w:w="2977"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5245"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4678"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313" w:type="dxa"/>
            <w:vMerge w:val="continue"/>
            <w:tcBorders>
              <w:top w:val="outset" w:color="auto" w:sz="6" w:space="0"/>
              <w:left w:val="outset" w:color="auto" w:sz="6" w:space="0"/>
              <w:bottom w:val="outset" w:color="auto" w:sz="6" w:space="0"/>
              <w:right w:val="nil"/>
            </w:tcBorders>
            <w:vAlign w:val="center"/>
          </w:tcPr>
          <w:p>
            <w:pPr>
              <w:jc w:val="left"/>
              <w:rPr>
                <w:rFonts w:ascii="宋体" w:hAnsi="宋体" w:cs="微软雅黑"/>
                <w:color w:val="333333"/>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395" w:hRule="atLeast"/>
          <w:tblCellSpacing w:w="0" w:type="dxa"/>
          <w:jc w:val="center"/>
        </w:trPr>
        <w:tc>
          <w:tcPr>
            <w:tcW w:w="268" w:type="dxa"/>
            <w:tcBorders>
              <w:top w:val="outset" w:color="auto" w:sz="6" w:space="0"/>
              <w:left w:val="single" w:color="auto" w:sz="4" w:space="0"/>
              <w:bottom w:val="outset" w:color="auto" w:sz="6" w:space="0"/>
              <w:right w:val="outset" w:color="auto" w:sz="6" w:space="0"/>
            </w:tcBorders>
            <w:vAlign w:val="center"/>
          </w:tcPr>
          <w:p>
            <w:pPr>
              <w:autoSpaceDN w:val="0"/>
              <w:spacing w:line="400" w:lineRule="exact"/>
              <w:jc w:val="center"/>
              <w:rPr>
                <w:rFonts w:ascii="宋体" w:hAnsi="宋体" w:cs="微软雅黑"/>
                <w:color w:val="333333"/>
                <w:sz w:val="16"/>
                <w:szCs w:val="16"/>
              </w:rPr>
            </w:pPr>
            <w:r>
              <w:rPr>
                <w:rFonts w:hint="eastAsia" w:ascii="宋体" w:hAnsi="宋体" w:cs="微软雅黑"/>
                <w:color w:val="333333"/>
                <w:sz w:val="16"/>
                <w:szCs w:val="16"/>
              </w:rPr>
              <w:t>2</w:t>
            </w:r>
          </w:p>
        </w:tc>
        <w:tc>
          <w:tcPr>
            <w:tcW w:w="247" w:type="dxa"/>
            <w:tcBorders>
              <w:top w:val="outset" w:color="auto" w:sz="6" w:space="0"/>
              <w:left w:val="outset" w:color="auto" w:sz="6" w:space="0"/>
              <w:bottom w:val="outset" w:color="auto" w:sz="6" w:space="0"/>
              <w:right w:val="outset" w:color="auto" w:sz="6" w:space="0"/>
            </w:tcBorders>
            <w:vAlign w:val="center"/>
          </w:tcPr>
          <w:p>
            <w:pPr>
              <w:autoSpaceDN w:val="0"/>
              <w:spacing w:line="400" w:lineRule="exact"/>
              <w:jc w:val="center"/>
              <w:rPr>
                <w:rFonts w:ascii="宋体" w:hAnsi="宋体" w:cs="微软雅黑"/>
                <w:color w:val="333333"/>
                <w:sz w:val="16"/>
                <w:szCs w:val="16"/>
              </w:rPr>
            </w:pPr>
            <w:r>
              <w:rPr>
                <w:rFonts w:hint="eastAsia" w:ascii="宋体" w:hAnsi="宋体" w:cs="微软雅黑"/>
                <w:color w:val="333333"/>
                <w:sz w:val="16"/>
                <w:szCs w:val="16"/>
              </w:rPr>
              <w:t>其他</w:t>
            </w:r>
            <w:r>
              <w:rPr>
                <w:rFonts w:hint="eastAsia" w:ascii="宋体" w:hAnsi="宋体" w:cs="微软雅黑"/>
                <w:color w:val="333333"/>
                <w:sz w:val="16"/>
                <w:szCs w:val="16"/>
              </w:rPr>
              <w:br w:type="textWrapping"/>
            </w:r>
            <w:r>
              <w:rPr>
                <w:rFonts w:hint="eastAsia" w:ascii="宋体" w:hAnsi="宋体" w:cs="微软雅黑"/>
                <w:color w:val="333333"/>
                <w:sz w:val="16"/>
                <w:szCs w:val="16"/>
              </w:rPr>
              <w:t>类</w:t>
            </w:r>
          </w:p>
        </w:tc>
        <w:tc>
          <w:tcPr>
            <w:tcW w:w="283" w:type="dxa"/>
            <w:tcBorders>
              <w:top w:val="outset" w:color="auto" w:sz="6" w:space="0"/>
              <w:left w:val="outset" w:color="auto" w:sz="6" w:space="0"/>
              <w:bottom w:val="outset" w:color="auto" w:sz="6" w:space="0"/>
              <w:right w:val="outset" w:color="auto" w:sz="6" w:space="0"/>
            </w:tcBorders>
            <w:vAlign w:val="top"/>
          </w:tcPr>
          <w:p>
            <w:pPr>
              <w:autoSpaceDN w:val="0"/>
              <w:spacing w:line="400" w:lineRule="exact"/>
              <w:rPr>
                <w:rFonts w:ascii="宋体" w:hAnsi="宋体" w:cs="微软雅黑"/>
                <w:color w:val="333333"/>
                <w:sz w:val="16"/>
                <w:szCs w:val="16"/>
              </w:rPr>
            </w:pPr>
          </w:p>
        </w:tc>
        <w:tc>
          <w:tcPr>
            <w:tcW w:w="567" w:type="dxa"/>
            <w:gridSpan w:val="2"/>
            <w:tcBorders>
              <w:top w:val="outset" w:color="auto" w:sz="6" w:space="0"/>
              <w:left w:val="outset" w:color="auto" w:sz="6" w:space="0"/>
              <w:bottom w:val="outset" w:color="auto" w:sz="6" w:space="0"/>
              <w:right w:val="outset" w:color="auto" w:sz="6" w:space="0"/>
            </w:tcBorders>
            <w:vAlign w:val="center"/>
          </w:tcPr>
          <w:p>
            <w:pPr>
              <w:autoSpaceDN w:val="0"/>
              <w:spacing w:line="400" w:lineRule="exact"/>
              <w:rPr>
                <w:rFonts w:ascii="宋体" w:hAnsi="宋体" w:cs="微软雅黑"/>
                <w:color w:val="333333"/>
                <w:sz w:val="16"/>
                <w:szCs w:val="16"/>
              </w:rPr>
            </w:pPr>
            <w:r>
              <w:rPr>
                <w:rFonts w:hint="eastAsia" w:ascii="宋体" w:hAnsi="宋体" w:cs="微软雅黑"/>
                <w:color w:val="333333"/>
                <w:sz w:val="16"/>
                <w:szCs w:val="16"/>
              </w:rPr>
              <w:t>社会审计机构审计报告核查权</w:t>
            </w:r>
          </w:p>
        </w:tc>
        <w:tc>
          <w:tcPr>
            <w:tcW w:w="2977" w:type="dxa"/>
            <w:tcBorders>
              <w:top w:val="outset" w:color="auto" w:sz="6" w:space="0"/>
              <w:left w:val="outset" w:color="auto" w:sz="6" w:space="0"/>
              <w:bottom w:val="outset" w:color="auto" w:sz="6" w:space="0"/>
              <w:right w:val="outset" w:color="auto" w:sz="6" w:space="0"/>
            </w:tcBorders>
            <w:vAlign w:val="center"/>
          </w:tcPr>
          <w:p>
            <w:pPr>
              <w:autoSpaceDN w:val="0"/>
              <w:spacing w:line="400" w:lineRule="exact"/>
              <w:rPr>
                <w:rFonts w:ascii="宋体" w:hAnsi="宋体" w:cs="微软雅黑"/>
                <w:color w:val="333333"/>
                <w:sz w:val="16"/>
                <w:szCs w:val="16"/>
              </w:rPr>
            </w:pPr>
            <w:r>
              <w:rPr>
                <w:rFonts w:hint="eastAsia" w:ascii="宋体" w:hAnsi="宋体" w:cs="微软雅黑"/>
                <w:color w:val="333333"/>
                <w:sz w:val="16"/>
                <w:szCs w:val="16"/>
              </w:rPr>
              <w:t>【法律】</w:t>
            </w:r>
            <w:r>
              <w:rPr>
                <w:rFonts w:hint="eastAsia" w:ascii="宋体" w:hAnsi="宋体" w:cs="微软雅黑"/>
                <w:color w:val="333333"/>
                <w:sz w:val="16"/>
                <w:szCs w:val="16"/>
              </w:rPr>
              <w:br w:type="textWrapping"/>
            </w:r>
            <w:r>
              <w:rPr>
                <w:rFonts w:hint="eastAsia" w:ascii="宋体" w:hAnsi="宋体" w:cs="微软雅黑"/>
                <w:color w:val="333333"/>
                <w:sz w:val="16"/>
                <w:szCs w:val="16"/>
              </w:rPr>
              <w:t>《中华人民共和国审计法》第三十条　社会审计机构审计的单位依法属于审计机关审计监督对象的，审计机关按照国务院的规定，有权对该社会审计机构出具的相关审计报告进行核查。</w:t>
            </w:r>
          </w:p>
        </w:tc>
        <w:tc>
          <w:tcPr>
            <w:tcW w:w="5245" w:type="dxa"/>
            <w:tcBorders>
              <w:top w:val="outset" w:color="auto" w:sz="6" w:space="0"/>
              <w:left w:val="outset" w:color="auto" w:sz="6" w:space="0"/>
              <w:bottom w:val="outset" w:color="auto" w:sz="6" w:space="0"/>
              <w:right w:val="outset" w:color="auto" w:sz="6" w:space="0"/>
            </w:tcBorders>
            <w:vAlign w:val="center"/>
          </w:tcPr>
          <w:p>
            <w:pPr>
              <w:numPr>
                <w:ilvl w:val="0"/>
                <w:numId w:val="3"/>
              </w:numPr>
              <w:autoSpaceDN w:val="0"/>
              <w:spacing w:line="400" w:lineRule="exact"/>
              <w:rPr>
                <w:rFonts w:ascii="宋体" w:hAnsi="宋体" w:cs="微软雅黑"/>
                <w:color w:val="333333"/>
                <w:sz w:val="16"/>
                <w:szCs w:val="16"/>
              </w:rPr>
            </w:pPr>
            <w:r>
              <w:rPr>
                <w:rFonts w:hint="eastAsia" w:ascii="宋体" w:hAnsi="宋体" w:cs="微软雅黑"/>
                <w:color w:val="333333"/>
                <w:sz w:val="16"/>
                <w:szCs w:val="16"/>
              </w:rPr>
              <w:t xml:space="preserve">发现责任：审计实施过程中，根据实际情况对社会审计机构为被审计单位出具的相关审计报告进行核查并送达核查通知书。 </w:t>
            </w:r>
            <w:r>
              <w:rPr>
                <w:rFonts w:hint="eastAsia" w:ascii="宋体" w:hAnsi="宋体" w:cs="微软雅黑"/>
                <w:color w:val="333333"/>
                <w:sz w:val="16"/>
                <w:szCs w:val="16"/>
              </w:rPr>
              <w:br w:type="textWrapping"/>
            </w:r>
            <w:r>
              <w:rPr>
                <w:rFonts w:hint="eastAsia" w:ascii="宋体" w:hAnsi="宋体" w:cs="微软雅黑"/>
                <w:color w:val="333333"/>
                <w:sz w:val="16"/>
                <w:szCs w:val="16"/>
              </w:rPr>
              <w:t>2.核查取证责任：项目计划执行部门，安排项目审计人员或者相关专门人员按照国家法律、法规规章等规定，对社会审计机构出具的审计报告进行核查。依照法定程序对社会审计机构出具的相关报告是否符合法律、法规和执业准则等情况进行核实和检查，取得审计证据，作出审计记录并审核。审计组提出审计报告，就涉及反映核查情况和核查结果事项征求被核查社会审计机构的意见。</w:t>
            </w:r>
            <w:r>
              <w:rPr>
                <w:rFonts w:hint="eastAsia" w:ascii="宋体" w:hAnsi="宋体" w:cs="微软雅黑"/>
                <w:color w:val="333333"/>
                <w:sz w:val="16"/>
                <w:szCs w:val="16"/>
              </w:rPr>
              <w:br w:type="textWrapping"/>
            </w:r>
            <w:r>
              <w:rPr>
                <w:rFonts w:hint="eastAsia" w:ascii="宋体" w:hAnsi="宋体" w:cs="微软雅黑"/>
                <w:color w:val="333333"/>
                <w:sz w:val="16"/>
                <w:szCs w:val="16"/>
              </w:rPr>
              <w:t>3.审核和决定责任:按规定程序进行复核、审理，并提请审计机关业务会议审定后，出具审计报告。</w:t>
            </w:r>
          </w:p>
          <w:p>
            <w:pPr>
              <w:autoSpaceDN w:val="0"/>
              <w:spacing w:line="400" w:lineRule="exact"/>
              <w:rPr>
                <w:rFonts w:ascii="宋体" w:hAnsi="宋体" w:cs="微软雅黑"/>
                <w:color w:val="333333"/>
                <w:sz w:val="16"/>
                <w:szCs w:val="16"/>
              </w:rPr>
            </w:pPr>
            <w:r>
              <w:rPr>
                <w:rFonts w:hint="eastAsia" w:ascii="宋体" w:hAnsi="宋体" w:cs="微软雅黑"/>
                <w:color w:val="333333"/>
                <w:sz w:val="16"/>
                <w:szCs w:val="16"/>
              </w:rPr>
              <w:t xml:space="preserve">4.送达执行责任：对依法应当处理、处罚的，向被核查社会审计机构送达核查结果和处理决定并按照规定检查整改落实情况。对社会审计机构及其相关人员违法违规和执业准则等情况，按照问题类别、规定程序，分别向有关主管机关送达移送处理书。根据法律法规要求，向社会公布对社会审计机构相关审计报告核查结果。 </w:t>
            </w:r>
            <w:r>
              <w:rPr>
                <w:rFonts w:hint="eastAsia" w:ascii="宋体" w:hAnsi="宋体" w:cs="微软雅黑"/>
                <w:color w:val="333333"/>
                <w:sz w:val="16"/>
                <w:szCs w:val="16"/>
              </w:rPr>
              <w:br w:type="textWrapping"/>
            </w:r>
            <w:r>
              <w:rPr>
                <w:rFonts w:hint="eastAsia" w:ascii="宋体" w:hAnsi="宋体" w:cs="微软雅黑"/>
                <w:color w:val="333333"/>
                <w:sz w:val="16"/>
                <w:szCs w:val="16"/>
              </w:rPr>
              <w:t>5.其他：法律法规和规章规定应履行的责任。</w:t>
            </w:r>
          </w:p>
        </w:tc>
        <w:tc>
          <w:tcPr>
            <w:tcW w:w="4678" w:type="dxa"/>
            <w:tcBorders>
              <w:top w:val="outset" w:color="auto" w:sz="6" w:space="0"/>
              <w:left w:val="outset" w:color="auto" w:sz="6" w:space="0"/>
              <w:bottom w:val="outset" w:color="auto" w:sz="6" w:space="0"/>
              <w:right w:val="outset" w:color="auto" w:sz="6" w:space="0"/>
            </w:tcBorders>
            <w:vAlign w:val="center"/>
          </w:tcPr>
          <w:p>
            <w:pPr>
              <w:autoSpaceDN w:val="0"/>
              <w:spacing w:line="400" w:lineRule="exact"/>
              <w:rPr>
                <w:rFonts w:ascii="宋体" w:hAnsi="宋体" w:cs="微软雅黑"/>
                <w:color w:val="333333"/>
                <w:sz w:val="16"/>
                <w:szCs w:val="16"/>
              </w:rPr>
            </w:pPr>
            <w:r>
              <w:rPr>
                <w:rFonts w:hint="eastAsia" w:ascii="宋体" w:hAnsi="宋体" w:cs="微软雅黑"/>
                <w:color w:val="333333"/>
                <w:sz w:val="16"/>
                <w:szCs w:val="16"/>
              </w:rPr>
              <w:t xml:space="preserve">《审计法》第三十条　社会审计机构审计的单位依法属于审计机关审计监督对象的，审计机关按照国务院的规定，有权对该社会审计机构出具的相关审计报告进行核查。 </w:t>
            </w:r>
          </w:p>
          <w:p>
            <w:pPr>
              <w:autoSpaceDN w:val="0"/>
              <w:spacing w:line="400" w:lineRule="exact"/>
              <w:rPr>
                <w:rFonts w:ascii="宋体" w:hAnsi="宋体" w:cs="微软雅黑"/>
                <w:color w:val="333333"/>
                <w:sz w:val="16"/>
                <w:szCs w:val="16"/>
              </w:rPr>
            </w:pPr>
            <w:r>
              <w:rPr>
                <w:rFonts w:hint="eastAsia" w:ascii="宋体" w:hAnsi="宋体" w:cs="微软雅黑"/>
                <w:color w:val="333333"/>
                <w:sz w:val="16"/>
                <w:szCs w:val="16"/>
              </w:rPr>
              <w:t>第三十八条　审计机关根据审计项目计划确定的审计事项组成审计组，并应当在实施审计三日前，向被审计单位送达审计通知书；遇有特殊情况，经本级人民政府批准，审计机关可以直接持审计通知书实施审计。</w:t>
            </w:r>
            <w:r>
              <w:rPr>
                <w:rFonts w:hint="eastAsia" w:ascii="宋体" w:hAnsi="宋体" w:cs="微软雅黑"/>
                <w:color w:val="333333"/>
                <w:sz w:val="16"/>
                <w:szCs w:val="16"/>
              </w:rPr>
              <w:br w:type="textWrapping"/>
            </w:r>
            <w:r>
              <w:rPr>
                <w:rFonts w:hint="eastAsia" w:ascii="宋体" w:hAnsi="宋体" w:cs="微软雅黑"/>
                <w:color w:val="333333"/>
                <w:sz w:val="16"/>
                <w:szCs w:val="16"/>
              </w:rPr>
              <w:t>　被审计单位应当配合审计机关的工作，并提供必要的工作条件。</w:t>
            </w:r>
            <w:r>
              <w:rPr>
                <w:rFonts w:hint="eastAsia" w:ascii="宋体" w:hAnsi="宋体" w:cs="微软雅黑"/>
                <w:color w:val="333333"/>
                <w:sz w:val="16"/>
                <w:szCs w:val="16"/>
              </w:rPr>
              <w:br w:type="textWrapping"/>
            </w:r>
            <w:r>
              <w:rPr>
                <w:rFonts w:hint="eastAsia" w:ascii="宋体" w:hAnsi="宋体" w:cs="微软雅黑"/>
                <w:color w:val="333333"/>
                <w:sz w:val="16"/>
                <w:szCs w:val="16"/>
              </w:rPr>
              <w:t>　审计机关应当提高审计工作效率。</w:t>
            </w:r>
          </w:p>
          <w:p>
            <w:pPr>
              <w:autoSpaceDN w:val="0"/>
              <w:spacing w:line="400" w:lineRule="exact"/>
              <w:jc w:val="left"/>
              <w:rPr>
                <w:rFonts w:ascii="宋体" w:hAnsi="宋体" w:cs="微软雅黑"/>
                <w:color w:val="333333"/>
                <w:sz w:val="16"/>
                <w:szCs w:val="16"/>
              </w:rPr>
            </w:pPr>
            <w:r>
              <w:rPr>
                <w:rFonts w:hint="eastAsia" w:ascii="宋体" w:hAnsi="宋体" w:cs="微软雅黑"/>
                <w:color w:val="333333"/>
                <w:sz w:val="16"/>
                <w:szCs w:val="16"/>
              </w:rPr>
              <w:t>《审计法实施条例》（国务院第571号令）第二十七条　审计机关进行审计或者专项审计调查时，有权对社会审计机构出具的相关审计报告进行核查。</w:t>
            </w:r>
            <w:r>
              <w:rPr>
                <w:rFonts w:hint="eastAsia" w:ascii="宋体" w:hAnsi="宋体" w:cs="微软雅黑"/>
                <w:color w:val="333333"/>
                <w:sz w:val="16"/>
                <w:szCs w:val="16"/>
              </w:rPr>
              <w:br w:type="textWrapping"/>
            </w:r>
            <w:r>
              <w:rPr>
                <w:rFonts w:hint="eastAsia" w:ascii="宋体" w:hAnsi="宋体" w:cs="微软雅黑"/>
                <w:color w:val="333333"/>
                <w:sz w:val="16"/>
                <w:szCs w:val="16"/>
              </w:rPr>
              <w:t> 审计机关核查社会审计机构出具的相关审计报告时，发现社会审计机构存在违反法律、法规或者执业准则等情况的，应当移送有关主管机关依法追究责任。</w:t>
            </w:r>
          </w:p>
        </w:tc>
        <w:tc>
          <w:tcPr>
            <w:tcW w:w="313" w:type="dxa"/>
            <w:tcBorders>
              <w:top w:val="outset" w:color="auto" w:sz="6" w:space="0"/>
              <w:left w:val="outset" w:color="auto" w:sz="6" w:space="0"/>
              <w:bottom w:val="outset" w:color="auto" w:sz="6" w:space="0"/>
              <w:right w:val="nil"/>
            </w:tcBorders>
            <w:vAlign w:val="center"/>
          </w:tcPr>
          <w:p>
            <w:pPr>
              <w:autoSpaceDN w:val="0"/>
              <w:jc w:val="center"/>
              <w:rPr>
                <w:rFonts w:ascii="微软雅黑" w:hAnsi="微软雅黑" w:eastAsia="微软雅黑" w:cs="微软雅黑"/>
                <w:color w:val="333333"/>
                <w:sz w:val="18"/>
                <w:szCs w:val="18"/>
              </w:rPr>
            </w:pPr>
          </w:p>
        </w:tc>
      </w:tr>
    </w:tbl>
    <w:p>
      <w:pPr>
        <w:spacing w:line="280" w:lineRule="exact"/>
      </w:pPr>
    </w:p>
    <w:p>
      <w:pPr>
        <w:autoSpaceDN w:val="0"/>
        <w:jc w:val="center"/>
        <w:rPr>
          <w:rFonts w:ascii="宋体"/>
          <w:bCs/>
          <w:color w:val="333333"/>
          <w:sz w:val="36"/>
          <w:szCs w:val="36"/>
        </w:rPr>
      </w:pPr>
      <w:r>
        <w:rPr>
          <w:rFonts w:hint="eastAsia" w:ascii="宋体" w:hAnsi="宋体"/>
          <w:bCs/>
          <w:color w:val="000000"/>
          <w:kern w:val="0"/>
          <w:sz w:val="36"/>
          <w:szCs w:val="36"/>
        </w:rPr>
        <w:t>运城市审计局行政权力清单和责任清单</w:t>
      </w:r>
    </w:p>
    <w:tbl>
      <w:tblPr>
        <w:tblStyle w:val="11"/>
        <w:tblW w:w="14578" w:type="dxa"/>
        <w:jc w:val="center"/>
        <w:tblCellSpacing w:w="0" w:type="dxa"/>
        <w:tblInd w:w="-3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68"/>
        <w:gridCol w:w="247"/>
        <w:gridCol w:w="283"/>
        <w:gridCol w:w="284"/>
        <w:gridCol w:w="283"/>
        <w:gridCol w:w="2977"/>
        <w:gridCol w:w="5245"/>
        <w:gridCol w:w="4678"/>
        <w:gridCol w:w="31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0" w:hRule="atLeast"/>
          <w:tblCellSpacing w:w="0" w:type="dxa"/>
          <w:jc w:val="center"/>
        </w:trPr>
        <w:tc>
          <w:tcPr>
            <w:tcW w:w="268" w:type="dxa"/>
            <w:vMerge w:val="restart"/>
            <w:tcBorders>
              <w:top w:val="outset" w:color="auto" w:sz="6" w:space="0"/>
              <w:left w:val="single" w:color="auto" w:sz="4"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序号</w:t>
            </w:r>
          </w:p>
        </w:tc>
        <w:tc>
          <w:tcPr>
            <w:tcW w:w="247"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w:t>
            </w:r>
            <w:r>
              <w:rPr>
                <w:rFonts w:hint="eastAsia" w:ascii="宋体" w:hAnsi="宋体" w:cs="微软雅黑"/>
                <w:color w:val="333333"/>
                <w:sz w:val="18"/>
                <w:szCs w:val="18"/>
              </w:rPr>
              <w:br w:type="textWrapping"/>
            </w:r>
            <w:r>
              <w:rPr>
                <w:rFonts w:hint="eastAsia" w:ascii="宋体" w:hAnsi="宋体" w:cs="微软雅黑"/>
                <w:color w:val="333333"/>
                <w:sz w:val="18"/>
                <w:szCs w:val="18"/>
              </w:rPr>
              <w:t>类型</w:t>
            </w:r>
          </w:p>
        </w:tc>
        <w:tc>
          <w:tcPr>
            <w:tcW w:w="283" w:type="dxa"/>
            <w:vMerge w:val="restart"/>
            <w:tcBorders>
              <w:top w:val="outset" w:color="auto" w:sz="6" w:space="0"/>
              <w:left w:val="outset" w:color="auto" w:sz="6" w:space="0"/>
              <w:bottom w:val="outset" w:color="auto" w:sz="6" w:space="0"/>
              <w:right w:val="outset" w:color="auto" w:sz="6" w:space="0"/>
            </w:tcBorders>
            <w:vAlign w:val="top"/>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w:t>
            </w:r>
          </w:p>
          <w:p>
            <w:pPr>
              <w:autoSpaceDN w:val="0"/>
              <w:jc w:val="center"/>
              <w:rPr>
                <w:rFonts w:ascii="宋体" w:hAnsi="宋体" w:cs="微软雅黑"/>
                <w:color w:val="333333"/>
                <w:sz w:val="18"/>
                <w:szCs w:val="18"/>
              </w:rPr>
            </w:pPr>
            <w:r>
              <w:rPr>
                <w:rFonts w:hint="eastAsia" w:ascii="宋体" w:hAnsi="宋体" w:cs="微软雅黑"/>
                <w:color w:val="333333"/>
                <w:sz w:val="18"/>
                <w:szCs w:val="18"/>
              </w:rPr>
              <w:t>编码</w:t>
            </w:r>
          </w:p>
        </w:tc>
        <w:tc>
          <w:tcPr>
            <w:tcW w:w="567" w:type="dxa"/>
            <w:gridSpan w:val="2"/>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职权名称</w:t>
            </w:r>
          </w:p>
        </w:tc>
        <w:tc>
          <w:tcPr>
            <w:tcW w:w="2977"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实施依据</w:t>
            </w:r>
          </w:p>
        </w:tc>
        <w:tc>
          <w:tcPr>
            <w:tcW w:w="5245"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责任事项</w:t>
            </w:r>
          </w:p>
        </w:tc>
        <w:tc>
          <w:tcPr>
            <w:tcW w:w="4678"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责任事项依据</w:t>
            </w:r>
          </w:p>
        </w:tc>
        <w:tc>
          <w:tcPr>
            <w:tcW w:w="313" w:type="dxa"/>
            <w:vMerge w:val="restart"/>
            <w:tcBorders>
              <w:top w:val="outset" w:color="auto" w:sz="6" w:space="0"/>
              <w:left w:val="outset" w:color="auto" w:sz="6" w:space="0"/>
              <w:bottom w:val="outset" w:color="auto" w:sz="6" w:space="0"/>
              <w:right w:val="nil"/>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3" w:hRule="atLeast"/>
          <w:tblCellSpacing w:w="0" w:type="dxa"/>
          <w:jc w:val="center"/>
        </w:trPr>
        <w:tc>
          <w:tcPr>
            <w:tcW w:w="268" w:type="dxa"/>
            <w:vMerge w:val="continue"/>
            <w:tcBorders>
              <w:top w:val="outset" w:color="auto" w:sz="6" w:space="0"/>
              <w:left w:val="single" w:color="auto" w:sz="4"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247"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283"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284"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项目</w:t>
            </w:r>
          </w:p>
        </w:tc>
        <w:tc>
          <w:tcPr>
            <w:tcW w:w="283"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子项</w:t>
            </w:r>
          </w:p>
        </w:tc>
        <w:tc>
          <w:tcPr>
            <w:tcW w:w="2977"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5245"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4678"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313" w:type="dxa"/>
            <w:vMerge w:val="continue"/>
            <w:tcBorders>
              <w:top w:val="outset" w:color="auto" w:sz="6" w:space="0"/>
              <w:left w:val="outset" w:color="auto" w:sz="6" w:space="0"/>
              <w:bottom w:val="outset" w:color="auto" w:sz="6" w:space="0"/>
              <w:right w:val="nil"/>
            </w:tcBorders>
            <w:vAlign w:val="center"/>
          </w:tcPr>
          <w:p>
            <w:pPr>
              <w:jc w:val="left"/>
              <w:rPr>
                <w:rFonts w:ascii="宋体" w:hAnsi="宋体" w:cs="微软雅黑"/>
                <w:color w:val="333333"/>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396" w:hRule="atLeast"/>
          <w:tblCellSpacing w:w="0" w:type="dxa"/>
          <w:jc w:val="center"/>
        </w:trPr>
        <w:tc>
          <w:tcPr>
            <w:tcW w:w="268" w:type="dxa"/>
            <w:tcBorders>
              <w:top w:val="outset" w:color="auto" w:sz="6" w:space="0"/>
              <w:left w:val="single" w:color="auto" w:sz="4" w:space="0"/>
              <w:bottom w:val="outset" w:color="auto" w:sz="6" w:space="0"/>
              <w:right w:val="outset" w:color="auto" w:sz="6" w:space="0"/>
            </w:tcBorders>
            <w:vAlign w:val="center"/>
          </w:tcPr>
          <w:p>
            <w:pPr>
              <w:autoSpaceDN w:val="0"/>
              <w:jc w:val="center"/>
              <w:rPr>
                <w:rFonts w:ascii="宋体" w:hAnsi="宋体" w:cs="微软雅黑"/>
                <w:color w:val="333333"/>
                <w:sz w:val="16"/>
                <w:szCs w:val="16"/>
              </w:rPr>
            </w:pPr>
            <w:r>
              <w:rPr>
                <w:rFonts w:hint="eastAsia" w:ascii="宋体" w:hAnsi="宋体" w:cs="微软雅黑"/>
                <w:color w:val="333333"/>
                <w:sz w:val="16"/>
                <w:szCs w:val="16"/>
              </w:rPr>
              <w:t>3</w:t>
            </w:r>
          </w:p>
        </w:tc>
        <w:tc>
          <w:tcPr>
            <w:tcW w:w="247"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6"/>
                <w:szCs w:val="16"/>
              </w:rPr>
            </w:pPr>
            <w:r>
              <w:rPr>
                <w:rFonts w:hint="eastAsia" w:ascii="宋体" w:hAnsi="宋体" w:cs="微软雅黑"/>
                <w:color w:val="333333"/>
                <w:sz w:val="16"/>
                <w:szCs w:val="16"/>
              </w:rPr>
              <w:t>其他</w:t>
            </w:r>
            <w:r>
              <w:rPr>
                <w:rFonts w:hint="eastAsia" w:ascii="宋体" w:hAnsi="宋体" w:cs="微软雅黑"/>
                <w:color w:val="333333"/>
                <w:sz w:val="16"/>
                <w:szCs w:val="16"/>
              </w:rPr>
              <w:br w:type="textWrapping"/>
            </w:r>
            <w:r>
              <w:rPr>
                <w:rFonts w:hint="eastAsia" w:ascii="宋体" w:hAnsi="宋体" w:cs="微软雅黑"/>
                <w:color w:val="333333"/>
                <w:sz w:val="16"/>
                <w:szCs w:val="16"/>
              </w:rPr>
              <w:t>类</w:t>
            </w:r>
          </w:p>
        </w:tc>
        <w:tc>
          <w:tcPr>
            <w:tcW w:w="283" w:type="dxa"/>
            <w:tcBorders>
              <w:top w:val="outset" w:color="auto" w:sz="6" w:space="0"/>
              <w:left w:val="outset" w:color="auto" w:sz="6" w:space="0"/>
              <w:bottom w:val="outset" w:color="auto" w:sz="6" w:space="0"/>
              <w:right w:val="outset" w:color="auto" w:sz="6" w:space="0"/>
            </w:tcBorders>
            <w:vAlign w:val="top"/>
          </w:tcPr>
          <w:p>
            <w:pPr>
              <w:autoSpaceDN w:val="0"/>
              <w:rPr>
                <w:rFonts w:ascii="宋体" w:hAnsi="宋体" w:cs="微软雅黑"/>
                <w:color w:val="333333"/>
                <w:sz w:val="16"/>
                <w:szCs w:val="16"/>
              </w:rPr>
            </w:pPr>
          </w:p>
        </w:tc>
        <w:tc>
          <w:tcPr>
            <w:tcW w:w="567" w:type="dxa"/>
            <w:gridSpan w:val="2"/>
            <w:tcBorders>
              <w:top w:val="outset" w:color="auto" w:sz="6" w:space="0"/>
              <w:left w:val="outset" w:color="auto" w:sz="6" w:space="0"/>
              <w:bottom w:val="outset" w:color="auto" w:sz="6" w:space="0"/>
              <w:right w:val="outset" w:color="auto" w:sz="6" w:space="0"/>
            </w:tcBorders>
            <w:vAlign w:val="center"/>
          </w:tcPr>
          <w:p>
            <w:pPr>
              <w:autoSpaceDN w:val="0"/>
              <w:rPr>
                <w:rFonts w:ascii="宋体" w:hAnsi="宋体" w:cs="微软雅黑"/>
                <w:color w:val="333333"/>
                <w:sz w:val="16"/>
                <w:szCs w:val="16"/>
              </w:rPr>
            </w:pPr>
            <w:r>
              <w:rPr>
                <w:rFonts w:hint="eastAsia" w:ascii="宋体" w:hAnsi="宋体" w:cs="微软雅黑"/>
                <w:color w:val="333333"/>
                <w:sz w:val="16"/>
                <w:szCs w:val="16"/>
              </w:rPr>
              <w:t>内部审计工作指导监督权</w:t>
            </w:r>
          </w:p>
        </w:tc>
        <w:tc>
          <w:tcPr>
            <w:tcW w:w="2977" w:type="dxa"/>
            <w:tcBorders>
              <w:top w:val="outset" w:color="auto" w:sz="6" w:space="0"/>
              <w:left w:val="outset" w:color="auto" w:sz="6" w:space="0"/>
              <w:bottom w:val="outset" w:color="auto" w:sz="6" w:space="0"/>
              <w:right w:val="outset" w:color="auto" w:sz="6" w:space="0"/>
            </w:tcBorders>
            <w:vAlign w:val="center"/>
          </w:tcPr>
          <w:p>
            <w:pPr>
              <w:autoSpaceDN w:val="0"/>
              <w:rPr>
                <w:rFonts w:ascii="宋体" w:hAnsi="宋体" w:cs="微软雅黑"/>
                <w:color w:val="333333"/>
                <w:sz w:val="16"/>
                <w:szCs w:val="16"/>
              </w:rPr>
            </w:pPr>
            <w:r>
              <w:rPr>
                <w:rFonts w:hint="eastAsia" w:ascii="宋体" w:hAnsi="宋体" w:cs="微软雅黑"/>
                <w:color w:val="333333"/>
                <w:sz w:val="16"/>
                <w:szCs w:val="16"/>
              </w:rPr>
              <w:t>【法律】</w:t>
            </w:r>
            <w:r>
              <w:rPr>
                <w:rFonts w:hint="eastAsia" w:ascii="宋体" w:hAnsi="宋体" w:cs="微软雅黑"/>
                <w:color w:val="333333"/>
                <w:sz w:val="16"/>
                <w:szCs w:val="16"/>
              </w:rPr>
              <w:br w:type="textWrapping"/>
            </w:r>
            <w:r>
              <w:rPr>
                <w:rFonts w:hint="eastAsia" w:ascii="宋体" w:hAnsi="宋体" w:cs="微软雅黑"/>
                <w:color w:val="333333"/>
                <w:sz w:val="16"/>
                <w:szCs w:val="16"/>
              </w:rPr>
              <w:t>《中华人民共和国审计法》第二十九条　依法属于审计机关审计监督对象的单位，应当按照国家有关规定建立健全内部审计制度；其内部审计工作应当接受审计机关的业务指导和监督。</w:t>
            </w:r>
          </w:p>
        </w:tc>
        <w:tc>
          <w:tcPr>
            <w:tcW w:w="5245" w:type="dxa"/>
            <w:tcBorders>
              <w:top w:val="outset" w:color="auto" w:sz="6" w:space="0"/>
              <w:left w:val="outset" w:color="auto" w:sz="6" w:space="0"/>
              <w:bottom w:val="outset" w:color="auto" w:sz="6" w:space="0"/>
              <w:right w:val="outset" w:color="auto" w:sz="6" w:space="0"/>
            </w:tcBorders>
            <w:vAlign w:val="center"/>
          </w:tcPr>
          <w:p>
            <w:pPr>
              <w:autoSpaceDN w:val="0"/>
              <w:rPr>
                <w:rFonts w:ascii="宋体" w:hAnsi="宋体" w:cs="微软雅黑"/>
                <w:color w:val="333333"/>
                <w:sz w:val="16"/>
                <w:szCs w:val="16"/>
              </w:rPr>
            </w:pPr>
            <w:r>
              <w:rPr>
                <w:rFonts w:hint="eastAsia" w:ascii="宋体" w:hAnsi="宋体" w:cs="微软雅黑"/>
                <w:color w:val="333333"/>
                <w:sz w:val="16"/>
                <w:szCs w:val="16"/>
              </w:rPr>
              <w:t xml:space="preserve">1.计划责任：根据年度审计工作安排，制定指导和监督内部审计检查计划。 </w:t>
            </w:r>
            <w:r>
              <w:rPr>
                <w:rFonts w:hint="eastAsia" w:ascii="宋体" w:hAnsi="宋体" w:cs="微软雅黑"/>
                <w:color w:val="333333"/>
                <w:sz w:val="16"/>
                <w:szCs w:val="16"/>
              </w:rPr>
              <w:br w:type="textWrapping"/>
            </w:r>
            <w:r>
              <w:rPr>
                <w:rFonts w:hint="eastAsia" w:ascii="宋体" w:hAnsi="宋体" w:cs="微软雅黑"/>
                <w:color w:val="333333"/>
                <w:sz w:val="16"/>
                <w:szCs w:val="16"/>
              </w:rPr>
              <w:t xml:space="preserve">2.指导监督责任：审计机关根据计划安排，起草或者制定有关内部审计工作的法规、规章和制度。组织制定内部审计工作发展规划，推动建立健全内部审计制度。监督、检查内部审计职责履行情况并进行管理；授权内部审计自律组织开展工作等。 </w:t>
            </w:r>
            <w:r>
              <w:rPr>
                <w:rFonts w:hint="eastAsia" w:ascii="宋体" w:hAnsi="宋体" w:cs="微软雅黑"/>
                <w:color w:val="333333"/>
                <w:sz w:val="16"/>
                <w:szCs w:val="16"/>
              </w:rPr>
              <w:br w:type="textWrapping"/>
            </w:r>
            <w:r>
              <w:rPr>
                <w:rFonts w:hint="eastAsia" w:ascii="宋体" w:hAnsi="宋体" w:cs="微软雅黑"/>
                <w:color w:val="333333"/>
                <w:sz w:val="16"/>
                <w:szCs w:val="16"/>
              </w:rPr>
              <w:t xml:space="preserve">3.处理责任：对检查发现的问题，监督被检查单位整改。 </w:t>
            </w:r>
            <w:r>
              <w:rPr>
                <w:rFonts w:hint="eastAsia" w:ascii="宋体" w:hAnsi="宋体" w:cs="微软雅黑"/>
                <w:color w:val="333333"/>
                <w:sz w:val="16"/>
                <w:szCs w:val="16"/>
              </w:rPr>
              <w:br w:type="textWrapping"/>
            </w:r>
            <w:r>
              <w:rPr>
                <w:rFonts w:hint="eastAsia" w:ascii="宋体" w:hAnsi="宋体" w:cs="微软雅黑"/>
                <w:color w:val="333333"/>
                <w:sz w:val="16"/>
                <w:szCs w:val="16"/>
              </w:rPr>
              <w:t>4.其他：法律法规和规章规定应履行的责任。</w:t>
            </w:r>
          </w:p>
        </w:tc>
        <w:tc>
          <w:tcPr>
            <w:tcW w:w="467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firstLine="0" w:firstLineChars="0"/>
              <w:jc w:val="both"/>
              <w:textAlignment w:val="auto"/>
              <w:outlineLvl w:val="9"/>
              <w:rPr>
                <w:rFonts w:ascii="宋体" w:hAnsi="宋体" w:cs="微软雅黑"/>
                <w:color w:val="333333"/>
                <w:sz w:val="16"/>
                <w:szCs w:val="16"/>
              </w:rPr>
            </w:pPr>
            <w:r>
              <w:rPr>
                <w:rFonts w:hint="eastAsia" w:ascii="宋体" w:hAnsi="宋体" w:cs="微软雅黑"/>
                <w:color w:val="333333"/>
                <w:sz w:val="16"/>
                <w:szCs w:val="16"/>
              </w:rPr>
              <w:t xml:space="preserve"> 《审计法》第二十九条　依法属于审计机关审计监督对象的单位，应当按照国家有关规定建立健全内部审计制度；其内部审计工作应当接受审计机关的业务指导和监督。</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firstLine="0" w:firstLineChars="0"/>
              <w:jc w:val="both"/>
              <w:textAlignment w:val="auto"/>
              <w:outlineLvl w:val="9"/>
              <w:rPr>
                <w:rFonts w:ascii="宋体" w:hAnsi="宋体" w:cs="微软雅黑"/>
                <w:color w:val="333333"/>
                <w:sz w:val="16"/>
                <w:szCs w:val="16"/>
              </w:rPr>
            </w:pPr>
            <w:r>
              <w:rPr>
                <w:rFonts w:hint="eastAsia" w:ascii="宋体" w:hAnsi="宋体" w:cs="微软雅黑"/>
                <w:color w:val="333333"/>
                <w:sz w:val="16"/>
                <w:szCs w:val="16"/>
              </w:rPr>
              <w:t>第五十四条　本法自1995年1月1日起施行。1988年11月30日国务院发布的《中华人民共和国审计条例》同时废止。</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firstLine="0" w:firstLineChars="0"/>
              <w:jc w:val="both"/>
              <w:textAlignment w:val="auto"/>
              <w:outlineLvl w:val="9"/>
              <w:rPr>
                <w:rFonts w:ascii="宋体" w:hAnsi="宋体" w:cs="微软雅黑"/>
                <w:color w:val="333333"/>
                <w:sz w:val="16"/>
                <w:szCs w:val="16"/>
              </w:rPr>
            </w:pPr>
            <w:r>
              <w:rPr>
                <w:rFonts w:hint="eastAsia" w:ascii="宋体" w:hAnsi="宋体" w:cs="微软雅黑"/>
                <w:color w:val="333333"/>
                <w:sz w:val="16"/>
                <w:szCs w:val="16"/>
              </w:rPr>
              <w:t>《国家审计准则》（2010年国家审计署令第8号）第二十六条  审计机关应当根据法定的审计职责和审计管辖范围，编制年度审计项目计划。</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firstLine="0" w:firstLineChars="0"/>
              <w:jc w:val="both"/>
              <w:textAlignment w:val="auto"/>
              <w:outlineLvl w:val="9"/>
              <w:rPr>
                <w:rFonts w:ascii="宋体" w:hAnsi="宋体" w:cs="微软雅黑"/>
                <w:color w:val="333333"/>
                <w:sz w:val="16"/>
                <w:szCs w:val="16"/>
              </w:rPr>
            </w:pPr>
            <w:r>
              <w:rPr>
                <w:rFonts w:hint="eastAsia" w:ascii="宋体" w:hAnsi="宋体" w:cs="微软雅黑"/>
                <w:color w:val="333333"/>
                <w:sz w:val="16"/>
                <w:szCs w:val="16"/>
              </w:rPr>
              <w:t>  编制年度审计项目计划应当服务大局，围绕政府工作中心，突出审计工作重点，合理安排审计资源，防止不必要的重复审计。</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firstLine="0" w:firstLineChars="0"/>
              <w:jc w:val="both"/>
              <w:textAlignment w:val="auto"/>
              <w:outlineLvl w:val="9"/>
              <w:rPr>
                <w:rFonts w:hint="eastAsia" w:ascii="宋体" w:hAnsi="宋体" w:cs="微软雅黑"/>
                <w:color w:val="333333"/>
                <w:sz w:val="16"/>
                <w:szCs w:val="16"/>
              </w:rPr>
            </w:pPr>
            <w:r>
              <w:rPr>
                <w:rFonts w:hint="eastAsia" w:ascii="宋体" w:hAnsi="宋体" w:cs="微软雅黑"/>
                <w:color w:val="333333"/>
                <w:sz w:val="16"/>
                <w:szCs w:val="16"/>
              </w:rPr>
              <w:t>《审计法实施条例》（国务院令第571号）第二十六条　依法属于审计机关审计监督对象的单位的内部审计工作，应当接受审计机关的业务指导和监督。</w:t>
            </w:r>
            <w:r>
              <w:rPr>
                <w:rFonts w:hint="eastAsia" w:ascii="宋体" w:hAnsi="宋体" w:cs="微软雅黑"/>
                <w:color w:val="333333"/>
                <w:sz w:val="16"/>
                <w:szCs w:val="16"/>
              </w:rPr>
              <w:br w:type="textWrapping"/>
            </w:r>
            <w:r>
              <w:rPr>
                <w:rFonts w:hint="eastAsia" w:ascii="宋体" w:hAnsi="宋体" w:cs="微软雅黑"/>
                <w:color w:val="333333"/>
                <w:sz w:val="16"/>
                <w:szCs w:val="16"/>
              </w:rPr>
              <w:t>  依法属于审计机关审计监督对象的单位，可以根据内部审计工作的需要，参加依法成立的内部审计自律组织。审计机关可以通过内部审计自律组织，加强对内部审计工作的业务指导和监督。</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firstLine="0" w:firstLineChars="0"/>
              <w:jc w:val="both"/>
              <w:textAlignment w:val="auto"/>
              <w:outlineLvl w:val="9"/>
              <w:rPr>
                <w:rFonts w:hint="default" w:ascii="宋体" w:hAnsi="宋体" w:cs="微软雅黑"/>
                <w:color w:val="F79646" w:themeColor="accent6"/>
                <w:sz w:val="16"/>
                <w:szCs w:val="16"/>
                <w:lang w:val="en-US" w:eastAsia="zh-CN"/>
                <w14:textFill>
                  <w14:solidFill>
                    <w14:schemeClr w14:val="accent6"/>
                  </w14:solidFill>
                </w14:textFill>
              </w:rPr>
            </w:pPr>
            <w:r>
              <w:rPr>
                <w:rFonts w:hint="eastAsia" w:ascii="宋体" w:hAnsi="宋体" w:cs="微软雅黑"/>
                <w:color w:val="auto"/>
                <w:sz w:val="16"/>
                <w:szCs w:val="16"/>
              </w:rPr>
              <w:t>《审计署关于内部审计工作的规定》</w:t>
            </w:r>
            <w:r>
              <w:rPr>
                <w:rFonts w:hint="eastAsia" w:ascii="宋体" w:hAnsi="宋体" w:cs="微软雅黑"/>
                <w:color w:val="auto"/>
                <w:sz w:val="16"/>
                <w:szCs w:val="16"/>
                <w:lang w:val="en-US" w:eastAsia="zh-CN"/>
              </w:rPr>
              <w:t>(审计署第11号令）</w:t>
            </w:r>
            <w:r>
              <w:rPr>
                <w:rFonts w:hint="default" w:ascii="宋体" w:hAnsi="宋体" w:cs="微软雅黑"/>
                <w:color w:val="auto"/>
                <w:sz w:val="16"/>
                <w:szCs w:val="16"/>
                <w:lang w:val="en-US" w:eastAsia="zh-CN"/>
              </w:rPr>
              <w:t xml:space="preserve">第二十六条  审计机关可以采取日常监督、结合审计项目监督、专项检查等方式，对单位的内部审计制度建立健全情况、内部审计工作质量情况等进行指导和监督。 </w:t>
            </w:r>
          </w:p>
        </w:tc>
        <w:tc>
          <w:tcPr>
            <w:tcW w:w="313" w:type="dxa"/>
            <w:tcBorders>
              <w:top w:val="outset" w:color="auto" w:sz="6" w:space="0"/>
              <w:left w:val="outset" w:color="auto" w:sz="6" w:space="0"/>
              <w:bottom w:val="outset" w:color="auto" w:sz="6" w:space="0"/>
              <w:right w:val="nil"/>
            </w:tcBorders>
            <w:vAlign w:val="center"/>
          </w:tcPr>
          <w:p>
            <w:pPr>
              <w:autoSpaceDN w:val="0"/>
              <w:jc w:val="center"/>
              <w:rPr>
                <w:rFonts w:ascii="微软雅黑" w:hAnsi="微软雅黑" w:eastAsia="微软雅黑" w:cs="微软雅黑"/>
                <w:color w:val="333333"/>
                <w:sz w:val="18"/>
                <w:szCs w:val="18"/>
              </w:rPr>
            </w:pPr>
          </w:p>
        </w:tc>
      </w:tr>
    </w:tbl>
    <w:p>
      <w:pPr>
        <w:autoSpaceDN w:val="0"/>
        <w:jc w:val="center"/>
        <w:rPr>
          <w:rFonts w:ascii="宋体"/>
          <w:bCs/>
          <w:color w:val="333333"/>
          <w:sz w:val="36"/>
          <w:szCs w:val="36"/>
        </w:rPr>
      </w:pPr>
      <w:r>
        <w:rPr>
          <w:rFonts w:hint="eastAsia" w:ascii="宋体" w:hAnsi="宋体"/>
          <w:bCs/>
          <w:color w:val="000000"/>
          <w:kern w:val="0"/>
          <w:sz w:val="36"/>
          <w:szCs w:val="36"/>
        </w:rPr>
        <w:t>运城市审计局行政权力清单和责任清单</w:t>
      </w:r>
    </w:p>
    <w:tbl>
      <w:tblPr>
        <w:tblStyle w:val="11"/>
        <w:tblW w:w="14578" w:type="dxa"/>
        <w:jc w:val="center"/>
        <w:tblCellSpacing w:w="0" w:type="dxa"/>
        <w:tblInd w:w="-3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68"/>
        <w:gridCol w:w="247"/>
        <w:gridCol w:w="283"/>
        <w:gridCol w:w="284"/>
        <w:gridCol w:w="283"/>
        <w:gridCol w:w="2977"/>
        <w:gridCol w:w="2552"/>
        <w:gridCol w:w="7371"/>
        <w:gridCol w:w="31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0" w:hRule="atLeast"/>
          <w:tblCellSpacing w:w="0" w:type="dxa"/>
          <w:jc w:val="center"/>
        </w:trPr>
        <w:tc>
          <w:tcPr>
            <w:tcW w:w="268" w:type="dxa"/>
            <w:vMerge w:val="restart"/>
            <w:tcBorders>
              <w:top w:val="outset" w:color="auto" w:sz="6" w:space="0"/>
              <w:left w:val="single" w:color="auto" w:sz="4"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序号</w:t>
            </w:r>
          </w:p>
        </w:tc>
        <w:tc>
          <w:tcPr>
            <w:tcW w:w="247"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w:t>
            </w:r>
            <w:r>
              <w:rPr>
                <w:rFonts w:hint="eastAsia" w:ascii="宋体" w:hAnsi="宋体" w:cs="微软雅黑"/>
                <w:color w:val="333333"/>
                <w:sz w:val="18"/>
                <w:szCs w:val="18"/>
              </w:rPr>
              <w:br w:type="textWrapping"/>
            </w:r>
            <w:r>
              <w:rPr>
                <w:rFonts w:hint="eastAsia" w:ascii="宋体" w:hAnsi="宋体" w:cs="微软雅黑"/>
                <w:color w:val="333333"/>
                <w:sz w:val="18"/>
                <w:szCs w:val="18"/>
              </w:rPr>
              <w:t>类型</w:t>
            </w:r>
          </w:p>
        </w:tc>
        <w:tc>
          <w:tcPr>
            <w:tcW w:w="283" w:type="dxa"/>
            <w:vMerge w:val="restart"/>
            <w:tcBorders>
              <w:top w:val="outset" w:color="auto" w:sz="6" w:space="0"/>
              <w:left w:val="outset" w:color="auto" w:sz="6" w:space="0"/>
              <w:bottom w:val="outset" w:color="auto" w:sz="6" w:space="0"/>
              <w:right w:val="outset" w:color="auto" w:sz="6" w:space="0"/>
            </w:tcBorders>
            <w:vAlign w:val="top"/>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w:t>
            </w:r>
          </w:p>
          <w:p>
            <w:pPr>
              <w:autoSpaceDN w:val="0"/>
              <w:jc w:val="center"/>
              <w:rPr>
                <w:rFonts w:ascii="宋体" w:hAnsi="宋体" w:cs="微软雅黑"/>
                <w:color w:val="333333"/>
                <w:sz w:val="18"/>
                <w:szCs w:val="18"/>
              </w:rPr>
            </w:pPr>
            <w:r>
              <w:rPr>
                <w:rFonts w:hint="eastAsia" w:ascii="宋体" w:hAnsi="宋体" w:cs="微软雅黑"/>
                <w:color w:val="333333"/>
                <w:sz w:val="18"/>
                <w:szCs w:val="18"/>
              </w:rPr>
              <w:t>编码</w:t>
            </w:r>
          </w:p>
        </w:tc>
        <w:tc>
          <w:tcPr>
            <w:tcW w:w="567" w:type="dxa"/>
            <w:gridSpan w:val="2"/>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职权名称</w:t>
            </w:r>
          </w:p>
        </w:tc>
        <w:tc>
          <w:tcPr>
            <w:tcW w:w="2977"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实施依据</w:t>
            </w:r>
          </w:p>
        </w:tc>
        <w:tc>
          <w:tcPr>
            <w:tcW w:w="2552"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责任事项</w:t>
            </w:r>
          </w:p>
        </w:tc>
        <w:tc>
          <w:tcPr>
            <w:tcW w:w="7371"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责任事项依据</w:t>
            </w:r>
          </w:p>
        </w:tc>
        <w:tc>
          <w:tcPr>
            <w:tcW w:w="313" w:type="dxa"/>
            <w:vMerge w:val="restart"/>
            <w:tcBorders>
              <w:top w:val="outset" w:color="auto" w:sz="6" w:space="0"/>
              <w:left w:val="outset" w:color="auto" w:sz="6" w:space="0"/>
              <w:bottom w:val="outset" w:color="auto" w:sz="6" w:space="0"/>
              <w:right w:val="nil"/>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3" w:hRule="atLeast"/>
          <w:tblCellSpacing w:w="0" w:type="dxa"/>
          <w:jc w:val="center"/>
        </w:trPr>
        <w:tc>
          <w:tcPr>
            <w:tcW w:w="268" w:type="dxa"/>
            <w:vMerge w:val="continue"/>
            <w:tcBorders>
              <w:top w:val="outset" w:color="auto" w:sz="6" w:space="0"/>
              <w:left w:val="single" w:color="auto" w:sz="4"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247"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283"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284"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项目</w:t>
            </w:r>
          </w:p>
        </w:tc>
        <w:tc>
          <w:tcPr>
            <w:tcW w:w="283"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子项</w:t>
            </w:r>
          </w:p>
        </w:tc>
        <w:tc>
          <w:tcPr>
            <w:tcW w:w="2977"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2552"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7371"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313" w:type="dxa"/>
            <w:vMerge w:val="continue"/>
            <w:tcBorders>
              <w:top w:val="outset" w:color="auto" w:sz="6" w:space="0"/>
              <w:left w:val="outset" w:color="auto" w:sz="6" w:space="0"/>
              <w:bottom w:val="outset" w:color="auto" w:sz="6" w:space="0"/>
              <w:right w:val="nil"/>
            </w:tcBorders>
            <w:vAlign w:val="center"/>
          </w:tcPr>
          <w:p>
            <w:pPr>
              <w:jc w:val="left"/>
              <w:rPr>
                <w:rFonts w:ascii="宋体" w:hAnsi="宋体" w:cs="微软雅黑"/>
                <w:color w:val="333333"/>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395" w:hRule="atLeast"/>
          <w:tblCellSpacing w:w="0" w:type="dxa"/>
          <w:jc w:val="center"/>
        </w:trPr>
        <w:tc>
          <w:tcPr>
            <w:tcW w:w="268" w:type="dxa"/>
            <w:tcBorders>
              <w:top w:val="outset" w:color="auto" w:sz="6" w:space="0"/>
              <w:left w:val="single" w:color="auto" w:sz="4" w:space="0"/>
              <w:bottom w:val="outset" w:color="auto" w:sz="6" w:space="0"/>
              <w:right w:val="outset" w:color="auto" w:sz="6" w:space="0"/>
            </w:tcBorders>
            <w:vAlign w:val="center"/>
          </w:tcPr>
          <w:p>
            <w:pPr>
              <w:autoSpaceDN w:val="0"/>
              <w:jc w:val="center"/>
              <w:rPr>
                <w:rFonts w:ascii="宋体" w:hAnsi="宋体" w:cs="微软雅黑"/>
                <w:color w:val="333333"/>
                <w:sz w:val="16"/>
                <w:szCs w:val="16"/>
              </w:rPr>
            </w:pPr>
            <w:r>
              <w:rPr>
                <w:rFonts w:hint="eastAsia" w:ascii="宋体" w:hAnsi="宋体" w:cs="微软雅黑"/>
                <w:color w:val="333333"/>
                <w:sz w:val="16"/>
                <w:szCs w:val="16"/>
              </w:rPr>
              <w:t>4</w:t>
            </w:r>
          </w:p>
        </w:tc>
        <w:tc>
          <w:tcPr>
            <w:tcW w:w="247"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6"/>
                <w:szCs w:val="16"/>
              </w:rPr>
            </w:pPr>
            <w:r>
              <w:rPr>
                <w:rFonts w:hint="eastAsia" w:ascii="宋体" w:hAnsi="宋体" w:cs="微软雅黑"/>
                <w:color w:val="333333"/>
                <w:sz w:val="16"/>
                <w:szCs w:val="16"/>
              </w:rPr>
              <w:t>其他</w:t>
            </w:r>
            <w:r>
              <w:rPr>
                <w:rFonts w:hint="eastAsia" w:ascii="宋体" w:hAnsi="宋体" w:cs="微软雅黑"/>
                <w:color w:val="333333"/>
                <w:sz w:val="16"/>
                <w:szCs w:val="16"/>
              </w:rPr>
              <w:br w:type="textWrapping"/>
            </w:r>
            <w:r>
              <w:rPr>
                <w:rFonts w:hint="eastAsia" w:ascii="宋体" w:hAnsi="宋体" w:cs="微软雅黑"/>
                <w:color w:val="333333"/>
                <w:sz w:val="16"/>
                <w:szCs w:val="16"/>
              </w:rPr>
              <w:t>类</w:t>
            </w:r>
          </w:p>
        </w:tc>
        <w:tc>
          <w:tcPr>
            <w:tcW w:w="283" w:type="dxa"/>
            <w:tcBorders>
              <w:top w:val="outset" w:color="auto" w:sz="6" w:space="0"/>
              <w:left w:val="outset" w:color="auto" w:sz="6" w:space="0"/>
              <w:bottom w:val="outset" w:color="auto" w:sz="6" w:space="0"/>
              <w:right w:val="outset" w:color="auto" w:sz="6" w:space="0"/>
            </w:tcBorders>
            <w:vAlign w:val="top"/>
          </w:tcPr>
          <w:p>
            <w:pPr>
              <w:autoSpaceDN w:val="0"/>
              <w:rPr>
                <w:rFonts w:ascii="宋体" w:hAnsi="宋体" w:cs="微软雅黑"/>
                <w:color w:val="333333"/>
                <w:sz w:val="16"/>
                <w:szCs w:val="16"/>
              </w:rPr>
            </w:pPr>
          </w:p>
        </w:tc>
        <w:tc>
          <w:tcPr>
            <w:tcW w:w="567" w:type="dxa"/>
            <w:gridSpan w:val="2"/>
            <w:tcBorders>
              <w:top w:val="outset" w:color="auto" w:sz="6" w:space="0"/>
              <w:left w:val="outset" w:color="auto" w:sz="6" w:space="0"/>
              <w:bottom w:val="outset" w:color="auto" w:sz="6" w:space="0"/>
              <w:right w:val="outset" w:color="auto" w:sz="6" w:space="0"/>
            </w:tcBorders>
            <w:vAlign w:val="center"/>
          </w:tcPr>
          <w:p>
            <w:pPr>
              <w:autoSpaceDN w:val="0"/>
              <w:rPr>
                <w:rFonts w:ascii="宋体" w:hAnsi="宋体" w:cs="微软雅黑"/>
                <w:color w:val="333333"/>
                <w:sz w:val="16"/>
                <w:szCs w:val="16"/>
              </w:rPr>
            </w:pPr>
            <w:r>
              <w:rPr>
                <w:rFonts w:hint="eastAsia" w:ascii="宋体" w:hAnsi="宋体" w:cs="微软雅黑"/>
                <w:color w:val="333333"/>
                <w:sz w:val="16"/>
                <w:szCs w:val="16"/>
              </w:rPr>
              <w:t>审计处理权</w:t>
            </w:r>
          </w:p>
        </w:tc>
        <w:tc>
          <w:tcPr>
            <w:tcW w:w="2977" w:type="dxa"/>
            <w:tcBorders>
              <w:top w:val="outset" w:color="auto" w:sz="6" w:space="0"/>
              <w:left w:val="outset" w:color="auto" w:sz="6" w:space="0"/>
              <w:bottom w:val="outset" w:color="auto" w:sz="6" w:space="0"/>
              <w:right w:val="outset" w:color="auto" w:sz="6" w:space="0"/>
            </w:tcBorders>
            <w:vAlign w:val="center"/>
          </w:tcPr>
          <w:p>
            <w:pPr>
              <w:autoSpaceDN w:val="0"/>
              <w:spacing w:line="240" w:lineRule="exact"/>
              <w:rPr>
                <w:rFonts w:ascii="宋体" w:hAnsi="宋体" w:cs="微软雅黑"/>
                <w:color w:val="333333"/>
                <w:sz w:val="16"/>
                <w:szCs w:val="16"/>
              </w:rPr>
            </w:pPr>
            <w:r>
              <w:rPr>
                <w:rFonts w:hint="eastAsia" w:ascii="宋体" w:hAnsi="宋体" w:cs="微软雅黑"/>
                <w:color w:val="333333"/>
                <w:sz w:val="16"/>
                <w:szCs w:val="16"/>
              </w:rPr>
              <w:t>【法律】</w:t>
            </w:r>
            <w:r>
              <w:rPr>
                <w:rFonts w:hint="eastAsia" w:ascii="宋体" w:hAnsi="宋体" w:cs="微软雅黑"/>
                <w:color w:val="333333"/>
                <w:sz w:val="16"/>
                <w:szCs w:val="16"/>
              </w:rPr>
              <w:br w:type="textWrapping"/>
            </w:r>
            <w:r>
              <w:rPr>
                <w:rFonts w:hint="eastAsia" w:ascii="宋体" w:hAnsi="宋体" w:cs="微软雅黑"/>
                <w:color w:val="333333"/>
                <w:sz w:val="16"/>
                <w:szCs w:val="16"/>
              </w:rPr>
              <w:t>《中华人民共和国审计法》第四十五条　对本级各部门（含直属单位）和下级政府违反预算的行为或者其他违反国家规定的财政收支行为，审计机关、人民政府或者有关主管部门在法定职权范围内，依照法律、行政法规的规定，区别情况采取下列处理措施：</w:t>
            </w:r>
            <w:r>
              <w:rPr>
                <w:rFonts w:hint="eastAsia" w:ascii="宋体" w:hAnsi="宋体" w:cs="微软雅黑"/>
                <w:color w:val="333333"/>
                <w:sz w:val="16"/>
                <w:szCs w:val="16"/>
              </w:rPr>
              <w:br w:type="textWrapping"/>
            </w:r>
            <w:r>
              <w:rPr>
                <w:rFonts w:hint="eastAsia" w:ascii="宋体" w:hAnsi="宋体" w:cs="微软雅黑"/>
                <w:color w:val="333333"/>
                <w:sz w:val="16"/>
                <w:szCs w:val="16"/>
              </w:rPr>
              <w:t>　　（一）责令限期缴纳应当上缴的款项；</w:t>
            </w:r>
            <w:r>
              <w:rPr>
                <w:rFonts w:hint="eastAsia" w:ascii="宋体" w:hAnsi="宋体" w:cs="微软雅黑"/>
                <w:color w:val="333333"/>
                <w:sz w:val="16"/>
                <w:szCs w:val="16"/>
              </w:rPr>
              <w:br w:type="textWrapping"/>
            </w:r>
            <w:r>
              <w:rPr>
                <w:rFonts w:hint="eastAsia" w:ascii="宋体" w:hAnsi="宋体" w:cs="微软雅黑"/>
                <w:color w:val="333333"/>
                <w:sz w:val="16"/>
                <w:szCs w:val="16"/>
              </w:rPr>
              <w:t>　 　（二）责令限期退还被侵占的国有资产；</w:t>
            </w:r>
            <w:r>
              <w:rPr>
                <w:rFonts w:hint="eastAsia" w:ascii="宋体" w:hAnsi="宋体" w:cs="微软雅黑"/>
                <w:color w:val="333333"/>
                <w:sz w:val="16"/>
                <w:szCs w:val="16"/>
              </w:rPr>
              <w:br w:type="textWrapping"/>
            </w:r>
            <w:r>
              <w:rPr>
                <w:rFonts w:hint="eastAsia" w:ascii="宋体" w:hAnsi="宋体" w:cs="微软雅黑"/>
                <w:color w:val="333333"/>
                <w:sz w:val="16"/>
                <w:szCs w:val="16"/>
              </w:rPr>
              <w:t>　　（三）责令限期退还违法所得；</w:t>
            </w:r>
            <w:r>
              <w:rPr>
                <w:rFonts w:hint="eastAsia" w:ascii="宋体" w:hAnsi="宋体" w:cs="微软雅黑"/>
                <w:color w:val="333333"/>
                <w:sz w:val="16"/>
                <w:szCs w:val="16"/>
              </w:rPr>
              <w:br w:type="textWrapping"/>
            </w:r>
            <w:r>
              <w:rPr>
                <w:rFonts w:hint="eastAsia" w:ascii="宋体" w:hAnsi="宋体" w:cs="微软雅黑"/>
                <w:color w:val="333333"/>
                <w:sz w:val="16"/>
                <w:szCs w:val="16"/>
              </w:rPr>
              <w:t>　　（四）责令按照国家统一的会计制度的有关规定进行处理；</w:t>
            </w:r>
            <w:r>
              <w:rPr>
                <w:rFonts w:hint="eastAsia" w:ascii="宋体" w:hAnsi="宋体" w:cs="微软雅黑"/>
                <w:color w:val="333333"/>
                <w:sz w:val="16"/>
                <w:szCs w:val="16"/>
              </w:rPr>
              <w:br w:type="textWrapping"/>
            </w:r>
            <w:r>
              <w:rPr>
                <w:rFonts w:hint="eastAsia" w:ascii="宋体" w:hAnsi="宋体" w:cs="微软雅黑"/>
                <w:color w:val="333333"/>
                <w:sz w:val="16"/>
                <w:szCs w:val="16"/>
              </w:rPr>
              <w:t>　　（五）其他处理措施。</w:t>
            </w:r>
            <w:r>
              <w:rPr>
                <w:rFonts w:hint="eastAsia" w:ascii="宋体" w:hAnsi="宋体" w:cs="微软雅黑"/>
                <w:color w:val="333333"/>
                <w:sz w:val="16"/>
                <w:szCs w:val="16"/>
              </w:rPr>
              <w:br w:type="textWrapping"/>
            </w:r>
            <w:r>
              <w:rPr>
                <w:rFonts w:hint="eastAsia" w:ascii="宋体" w:hAnsi="宋体" w:cs="微软雅黑"/>
                <w:color w:val="333333"/>
                <w:sz w:val="16"/>
                <w:szCs w:val="16"/>
              </w:rPr>
              <w:t>　　第四十六条　对被审计单位违反国家规定的财务收支行为，审计机关、人民政府或者有关主管部门在法定职权范围内，依照法律、行政法规的规定，区别情况采取前条规定的处理措施，并可以依法给予处罚。</w:t>
            </w:r>
          </w:p>
          <w:p>
            <w:pPr>
              <w:autoSpaceDN w:val="0"/>
              <w:spacing w:line="240" w:lineRule="exact"/>
              <w:rPr>
                <w:rFonts w:ascii="宋体" w:hAnsi="宋体" w:cs="微软雅黑"/>
                <w:color w:val="333333"/>
                <w:sz w:val="16"/>
                <w:szCs w:val="16"/>
              </w:rPr>
            </w:pPr>
            <w:r>
              <w:rPr>
                <w:rFonts w:hint="eastAsia" w:ascii="宋体" w:hAnsi="宋体" w:cs="微软雅黑"/>
                <w:color w:val="333333"/>
                <w:sz w:val="16"/>
                <w:szCs w:val="16"/>
              </w:rPr>
              <w:t>第五十条　被审计单位的财政收支、财务收支违反法律、行政法规的规定，构成犯罪的，依法追究刑事责任。</w:t>
            </w:r>
          </w:p>
          <w:p>
            <w:pPr>
              <w:autoSpaceDN w:val="0"/>
              <w:spacing w:line="240" w:lineRule="exact"/>
              <w:rPr>
                <w:rFonts w:ascii="宋体" w:hAnsi="宋体" w:cs="微软雅黑"/>
                <w:color w:val="333333"/>
                <w:sz w:val="16"/>
                <w:szCs w:val="16"/>
              </w:rPr>
            </w:pPr>
            <w:r>
              <w:rPr>
                <w:rFonts w:hint="eastAsia" w:ascii="宋体" w:hAnsi="宋体" w:cs="微软雅黑"/>
                <w:color w:val="333333"/>
                <w:sz w:val="16"/>
                <w:szCs w:val="16"/>
              </w:rPr>
              <w:t>第四十二条：上级审计机关认为下级审计机关作出的审计决定违反国家有关规定的，可以责成下级审计机关予以变更或者</w:t>
            </w:r>
          </w:p>
        </w:tc>
        <w:tc>
          <w:tcPr>
            <w:tcW w:w="2552" w:type="dxa"/>
            <w:tcBorders>
              <w:top w:val="outset" w:color="auto" w:sz="6" w:space="0"/>
              <w:left w:val="outset" w:color="auto" w:sz="6" w:space="0"/>
              <w:bottom w:val="outset" w:color="auto" w:sz="6" w:space="0"/>
              <w:right w:val="outset" w:color="auto" w:sz="6" w:space="0"/>
            </w:tcBorders>
            <w:vAlign w:val="center"/>
          </w:tcPr>
          <w:p>
            <w:pPr>
              <w:autoSpaceDN w:val="0"/>
              <w:spacing w:line="240" w:lineRule="exact"/>
              <w:ind w:firstLine="160" w:firstLineChars="100"/>
              <w:rPr>
                <w:rFonts w:ascii="宋体" w:hAnsi="宋体" w:cs="微软雅黑"/>
                <w:color w:val="333333"/>
                <w:sz w:val="16"/>
                <w:szCs w:val="16"/>
              </w:rPr>
            </w:pPr>
            <w:r>
              <w:rPr>
                <w:rFonts w:hint="eastAsia" w:ascii="宋体" w:hAnsi="宋体" w:cs="微软雅黑"/>
                <w:color w:val="333333"/>
                <w:sz w:val="16"/>
                <w:szCs w:val="16"/>
              </w:rPr>
              <w:t>1.发现取证责任：审计机关派出审计组在审计实施过程中，发现被审计单位违反国家规定的财政、财务收支行为，应当取得适当、充分的审计证据，编制审计记录</w:t>
            </w:r>
            <w:r>
              <w:rPr>
                <w:rFonts w:hint="eastAsia" w:ascii="宋体" w:hAnsi="宋体" w:cs="微软雅黑"/>
                <w:color w:val="333333"/>
                <w:sz w:val="16"/>
                <w:szCs w:val="16"/>
              </w:rPr>
              <w:br w:type="textWrapping"/>
            </w:r>
            <w:r>
              <w:rPr>
                <w:rFonts w:hint="eastAsia" w:ascii="宋体" w:hAnsi="宋体" w:cs="微软雅黑"/>
                <w:color w:val="333333"/>
                <w:sz w:val="16"/>
                <w:szCs w:val="16"/>
              </w:rPr>
              <w:t xml:space="preserve">2.审核责任：审计现场结束后，审计机关派出审计组应当审核审计证据的适当性、充分性，提出对审计发现问题的处理意见,并写入审计报告，征求被审计单位意见。审计组应当认真研究、讨论被审计单位反馈意见，提出采纳或不采纳意见，并作出说明，同时起草审计决定书。项目计划执行部门应当对审计组起草的审计报告、审计决定书等进行复核；审理部门应当在复核的基础上，对审计组起草的审计报告、审计决定书等进行审理。 </w:t>
            </w:r>
            <w:r>
              <w:rPr>
                <w:rFonts w:hint="eastAsia" w:ascii="宋体" w:hAnsi="宋体" w:cs="微软雅黑"/>
                <w:color w:val="333333"/>
                <w:sz w:val="16"/>
                <w:szCs w:val="16"/>
              </w:rPr>
              <w:br w:type="textWrapping"/>
            </w:r>
            <w:r>
              <w:rPr>
                <w:rFonts w:hint="eastAsia" w:ascii="宋体" w:hAnsi="宋体" w:cs="微软雅黑"/>
                <w:color w:val="333333"/>
                <w:sz w:val="16"/>
                <w:szCs w:val="16"/>
              </w:rPr>
              <w:t>3.决定责任：审计机关根据审核、复核、审理情况，召开审计业务会议审定审计组代拟的审计报告、决定、移送处理书；特殊情况下，经审计机关主要负责人授权，可以由审计机关其他负责人审定。对被审计单位违反国家规定的财政、财务收支行为，在法定职权范围内采取处理措施；对被审计单位所执行的上级主管部门有关</w:t>
            </w:r>
          </w:p>
        </w:tc>
        <w:tc>
          <w:tcPr>
            <w:tcW w:w="7371" w:type="dxa"/>
            <w:tcBorders>
              <w:top w:val="outset" w:color="auto" w:sz="6" w:space="0"/>
              <w:left w:val="outset" w:color="auto" w:sz="6" w:space="0"/>
              <w:bottom w:val="outset" w:color="auto" w:sz="6" w:space="0"/>
              <w:right w:val="outset" w:color="auto" w:sz="6" w:space="0"/>
            </w:tcBorders>
            <w:vAlign w:val="center"/>
          </w:tcPr>
          <w:p>
            <w:pPr>
              <w:autoSpaceDN w:val="0"/>
              <w:spacing w:line="240" w:lineRule="exact"/>
              <w:ind w:firstLine="360"/>
              <w:rPr>
                <w:rFonts w:ascii="宋体" w:hAnsi="宋体" w:cs="微软雅黑"/>
                <w:color w:val="333333"/>
                <w:sz w:val="16"/>
                <w:szCs w:val="16"/>
              </w:rPr>
            </w:pPr>
            <w:r>
              <w:rPr>
                <w:rFonts w:hint="eastAsia" w:ascii="宋体" w:hAnsi="宋体" w:cs="微软雅黑"/>
                <w:color w:val="333333"/>
                <w:sz w:val="16"/>
                <w:szCs w:val="16"/>
              </w:rPr>
              <w:t>《审计法》第三十五条　审计机关认为被审计单位所执行的上级主管部门有关财政收支、财务收支的规定与法律、行政法规相抵触的，应当建议有关主管部门纠正；有关主管部门不予纠正的，审计机关应当提请有权处理的机关依法处理。</w:t>
            </w:r>
            <w:r>
              <w:rPr>
                <w:rFonts w:hint="eastAsia" w:ascii="宋体" w:hAnsi="宋体" w:cs="微软雅黑"/>
                <w:color w:val="333333"/>
                <w:sz w:val="16"/>
                <w:szCs w:val="16"/>
              </w:rPr>
              <w:br w:type="textWrapping"/>
            </w:r>
            <w:r>
              <w:rPr>
                <w:rFonts w:hint="eastAsia" w:ascii="宋体" w:hAnsi="宋体" w:cs="微软雅黑"/>
                <w:color w:val="333333"/>
                <w:sz w:val="16"/>
                <w:szCs w:val="16"/>
              </w:rPr>
              <w:t>　第三十九条　审计人员通过审查会计凭证、会计账簿、财务会计报告，查阅与审计事项有关的文件、资料，检查现金、实物、有价证券，向有关单位和个人调查等方式进行审计，并取得证明材料。</w:t>
            </w:r>
            <w:r>
              <w:rPr>
                <w:rFonts w:hint="eastAsia" w:ascii="宋体" w:hAnsi="宋体" w:cs="微软雅黑"/>
                <w:color w:val="333333"/>
                <w:sz w:val="16"/>
                <w:szCs w:val="16"/>
              </w:rPr>
              <w:br w:type="textWrapping"/>
            </w:r>
            <w:r>
              <w:rPr>
                <w:rFonts w:hint="eastAsia" w:ascii="宋体" w:hAnsi="宋体" w:cs="微软雅黑"/>
                <w:color w:val="333333"/>
                <w:sz w:val="16"/>
                <w:szCs w:val="16"/>
              </w:rPr>
              <w:t>　　审计人员向有关单位和个人进行调查时，应当出示审计人员的工作证件和审计通知书副本。</w:t>
            </w:r>
          </w:p>
          <w:p>
            <w:pPr>
              <w:autoSpaceDN w:val="0"/>
              <w:spacing w:line="240" w:lineRule="exact"/>
              <w:ind w:firstLine="360"/>
              <w:rPr>
                <w:rFonts w:ascii="宋体" w:hAnsi="宋体" w:cs="微软雅黑"/>
                <w:color w:val="333333"/>
                <w:sz w:val="16"/>
                <w:szCs w:val="16"/>
              </w:rPr>
            </w:pPr>
            <w:r>
              <w:rPr>
                <w:rFonts w:hint="eastAsia" w:ascii="宋体" w:hAnsi="宋体" w:cs="微软雅黑"/>
                <w:color w:val="333333"/>
                <w:sz w:val="16"/>
                <w:szCs w:val="16"/>
              </w:rPr>
              <w:t>第四十一条　审计机关按照审计署规定的程序对审计组的审计报告进行审议，并对被审计对象对审计组的审计报告提出的意见一并研究后，提出审计机关的审计报告；对违反国家规定的财政收支、财务收支行为，依法应当给予处理、处罚的，在法定职权范围内作出审计决定或者向有关主管机关提出处理、处罚的意见。</w:t>
            </w:r>
            <w:r>
              <w:rPr>
                <w:rFonts w:hint="eastAsia" w:ascii="宋体" w:hAnsi="宋体" w:cs="微软雅黑"/>
                <w:color w:val="333333"/>
                <w:sz w:val="16"/>
                <w:szCs w:val="16"/>
              </w:rPr>
              <w:br w:type="textWrapping"/>
            </w:r>
            <w:r>
              <w:rPr>
                <w:rFonts w:hint="eastAsia" w:ascii="宋体" w:hAnsi="宋体" w:cs="微软雅黑"/>
                <w:color w:val="333333"/>
                <w:sz w:val="16"/>
                <w:szCs w:val="16"/>
              </w:rPr>
              <w:t>　　审计机关应当将审计机关的审计报告和审计决定送达被审计单位和有关主管机关、单位。审计决定自送达之日起生效。</w:t>
            </w:r>
          </w:p>
          <w:p>
            <w:pPr>
              <w:autoSpaceDN w:val="0"/>
              <w:spacing w:line="240" w:lineRule="exact"/>
              <w:ind w:firstLine="360"/>
              <w:rPr>
                <w:rFonts w:ascii="宋体" w:hAnsi="宋体" w:cs="微软雅黑"/>
                <w:color w:val="333333"/>
                <w:sz w:val="16"/>
                <w:szCs w:val="16"/>
              </w:rPr>
            </w:pPr>
            <w:r>
              <w:rPr>
                <w:rFonts w:hint="eastAsia" w:ascii="宋体" w:hAnsi="宋体" w:cs="微软雅黑"/>
                <w:color w:val="333333"/>
                <w:sz w:val="16"/>
                <w:szCs w:val="16"/>
              </w:rPr>
              <w:t>第四十九条　被审计单位的财政收支、财务收支违反国家规定，审计机关认为对直接负责的主管人员和其他直接责任人员依法应当给予处分的，应当提出给予处分的建议，被审计单位或者其上级机关、监察机关应当依法及时作出决定，并将结果书面通知审计机关。</w:t>
            </w:r>
          </w:p>
          <w:p>
            <w:pPr>
              <w:autoSpaceDN w:val="0"/>
              <w:spacing w:line="240" w:lineRule="exact"/>
              <w:rPr>
                <w:rFonts w:ascii="宋体" w:hAnsi="宋体" w:cs="微软雅黑"/>
                <w:color w:val="333333"/>
                <w:sz w:val="16"/>
                <w:szCs w:val="16"/>
              </w:rPr>
            </w:pPr>
            <w:r>
              <w:rPr>
                <w:rFonts w:hint="eastAsia" w:ascii="宋体" w:hAnsi="宋体" w:cs="微软雅黑"/>
                <w:color w:val="333333"/>
                <w:sz w:val="16"/>
                <w:szCs w:val="16"/>
              </w:rPr>
              <w:t>第五十条　被审计单位的财政收支、财务收支违反法律、行政法规的规定，构成犯罪的，依法追究刑事责任。《国家审计准则》（2010年国家审计署令第8号）第八十三条  审计人员应当依照法定权限和程序获取审计证据。</w:t>
            </w:r>
          </w:p>
          <w:p>
            <w:pPr>
              <w:autoSpaceDN w:val="0"/>
              <w:spacing w:line="240" w:lineRule="exact"/>
              <w:ind w:firstLine="320" w:firstLineChars="200"/>
              <w:rPr>
                <w:rFonts w:ascii="宋体" w:hAnsi="宋体" w:cs="微软雅黑"/>
                <w:color w:val="333333"/>
                <w:sz w:val="16"/>
                <w:szCs w:val="16"/>
              </w:rPr>
            </w:pPr>
            <w:r>
              <w:rPr>
                <w:rFonts w:hint="eastAsia" w:ascii="宋体" w:hAnsi="宋体" w:cs="微软雅黑"/>
                <w:color w:val="333333"/>
                <w:sz w:val="16"/>
                <w:szCs w:val="16"/>
              </w:rPr>
              <w:t>第八十四条  审计人员获取的审计证据，应当具有适当性和充分性。</w:t>
            </w:r>
          </w:p>
          <w:p>
            <w:pPr>
              <w:autoSpaceDN w:val="0"/>
              <w:spacing w:line="240" w:lineRule="exact"/>
              <w:rPr>
                <w:rFonts w:ascii="宋体" w:hAnsi="宋体" w:cs="微软雅黑"/>
                <w:color w:val="333333"/>
                <w:sz w:val="16"/>
                <w:szCs w:val="16"/>
              </w:rPr>
            </w:pPr>
            <w:r>
              <w:rPr>
                <w:rFonts w:hint="eastAsia" w:ascii="宋体" w:hAnsi="宋体" w:cs="微软雅黑"/>
                <w:color w:val="333333"/>
                <w:sz w:val="16"/>
                <w:szCs w:val="16"/>
              </w:rPr>
              <w:t>  适当性是对审计证据质量的衡量，即审计证据在支持审计结论方面具有的相关性和可靠性。相关性是指审计证据与审计事项及其具体审计目标之间具有实质性联系。可靠性是指审计证据真实、可信。</w:t>
            </w:r>
          </w:p>
          <w:p>
            <w:pPr>
              <w:autoSpaceDN w:val="0"/>
              <w:spacing w:line="240" w:lineRule="exact"/>
              <w:rPr>
                <w:rFonts w:ascii="宋体" w:hAnsi="宋体" w:cs="微软雅黑"/>
                <w:color w:val="333333"/>
                <w:sz w:val="16"/>
                <w:szCs w:val="16"/>
              </w:rPr>
            </w:pPr>
            <w:r>
              <w:rPr>
                <w:rFonts w:hint="eastAsia" w:ascii="宋体" w:hAnsi="宋体" w:cs="微软雅黑"/>
                <w:color w:val="333333"/>
                <w:sz w:val="16"/>
                <w:szCs w:val="16"/>
              </w:rPr>
              <w:t>  充分性是对审计证据数量的衡量。审计人员在评估存在重要问题的可能性和审计证据质量的基础上，决定应当获取审计证据的数量。</w:t>
            </w:r>
          </w:p>
          <w:p>
            <w:pPr>
              <w:autoSpaceDN w:val="0"/>
              <w:spacing w:line="240" w:lineRule="exact"/>
              <w:ind w:firstLine="320" w:firstLineChars="200"/>
              <w:rPr>
                <w:rFonts w:ascii="宋体" w:hAnsi="宋体" w:cs="微软雅黑"/>
                <w:color w:val="333333"/>
                <w:sz w:val="16"/>
                <w:szCs w:val="16"/>
              </w:rPr>
            </w:pPr>
            <w:r>
              <w:rPr>
                <w:rFonts w:hint="eastAsia" w:ascii="宋体" w:hAnsi="宋体" w:cs="微软雅黑"/>
                <w:color w:val="333333"/>
                <w:sz w:val="16"/>
                <w:szCs w:val="16"/>
              </w:rPr>
              <w:t>第一百三十二条  审计组组长应当确认审计工作底稿和审计证据已经审核，并从总体上评价审计证据的适当性和充分性。</w:t>
            </w:r>
          </w:p>
          <w:p>
            <w:pPr>
              <w:autoSpaceDN w:val="0"/>
              <w:spacing w:line="240" w:lineRule="exact"/>
              <w:ind w:firstLine="320" w:firstLineChars="200"/>
              <w:rPr>
                <w:rFonts w:ascii="宋体" w:hAnsi="宋体" w:cs="微软雅黑"/>
                <w:color w:val="333333"/>
                <w:sz w:val="16"/>
                <w:szCs w:val="16"/>
              </w:rPr>
            </w:pPr>
            <w:r>
              <w:rPr>
                <w:rFonts w:hint="eastAsia" w:ascii="宋体" w:hAnsi="宋体" w:cs="微软雅黑"/>
                <w:color w:val="333333"/>
                <w:sz w:val="16"/>
                <w:szCs w:val="16"/>
              </w:rPr>
              <w:t>第一百三十七条  审计组实施审计或者专项审计调查后，应当提出审计报告，按照审计机关规定的程序审批后，以审计机关的名义征求被审计单位、被调查单位和拟处罚的有关责任人员的意见。</w:t>
            </w:r>
          </w:p>
        </w:tc>
        <w:tc>
          <w:tcPr>
            <w:tcW w:w="313" w:type="dxa"/>
            <w:tcBorders>
              <w:top w:val="outset" w:color="auto" w:sz="6" w:space="0"/>
              <w:left w:val="outset" w:color="auto" w:sz="6" w:space="0"/>
              <w:bottom w:val="outset" w:color="auto" w:sz="6" w:space="0"/>
              <w:right w:val="nil"/>
            </w:tcBorders>
            <w:vAlign w:val="center"/>
          </w:tcPr>
          <w:p>
            <w:pPr>
              <w:autoSpaceDN w:val="0"/>
              <w:jc w:val="center"/>
              <w:rPr>
                <w:rFonts w:ascii="微软雅黑" w:hAnsi="微软雅黑" w:eastAsia="微软雅黑" w:cs="微软雅黑"/>
                <w:color w:val="333333"/>
                <w:sz w:val="18"/>
                <w:szCs w:val="18"/>
              </w:rPr>
            </w:pPr>
          </w:p>
        </w:tc>
      </w:tr>
    </w:tbl>
    <w:p>
      <w:pPr>
        <w:autoSpaceDN w:val="0"/>
        <w:jc w:val="center"/>
        <w:rPr>
          <w:rFonts w:ascii="宋体"/>
          <w:bCs/>
          <w:color w:val="333333"/>
          <w:sz w:val="36"/>
          <w:szCs w:val="36"/>
        </w:rPr>
      </w:pPr>
      <w:r>
        <w:rPr>
          <w:rFonts w:hint="eastAsia" w:ascii="宋体" w:hAnsi="宋体"/>
          <w:bCs/>
          <w:color w:val="000000"/>
          <w:kern w:val="0"/>
          <w:sz w:val="36"/>
          <w:szCs w:val="36"/>
        </w:rPr>
        <w:t>运城市审计局行政权力清单和责任清单</w:t>
      </w:r>
    </w:p>
    <w:tbl>
      <w:tblPr>
        <w:tblStyle w:val="11"/>
        <w:tblW w:w="14578" w:type="dxa"/>
        <w:jc w:val="center"/>
        <w:tblCellSpacing w:w="0" w:type="dxa"/>
        <w:tblInd w:w="-3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68"/>
        <w:gridCol w:w="247"/>
        <w:gridCol w:w="283"/>
        <w:gridCol w:w="284"/>
        <w:gridCol w:w="283"/>
        <w:gridCol w:w="2977"/>
        <w:gridCol w:w="2552"/>
        <w:gridCol w:w="7371"/>
        <w:gridCol w:w="31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0" w:hRule="atLeast"/>
          <w:tblCellSpacing w:w="0" w:type="dxa"/>
          <w:jc w:val="center"/>
        </w:trPr>
        <w:tc>
          <w:tcPr>
            <w:tcW w:w="268" w:type="dxa"/>
            <w:vMerge w:val="restart"/>
            <w:tcBorders>
              <w:top w:val="outset" w:color="auto" w:sz="6" w:space="0"/>
              <w:left w:val="single" w:color="auto" w:sz="4"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序号</w:t>
            </w:r>
          </w:p>
        </w:tc>
        <w:tc>
          <w:tcPr>
            <w:tcW w:w="247"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w:t>
            </w:r>
            <w:r>
              <w:rPr>
                <w:rFonts w:hint="eastAsia" w:ascii="宋体" w:hAnsi="宋体" w:cs="微软雅黑"/>
                <w:color w:val="333333"/>
                <w:sz w:val="18"/>
                <w:szCs w:val="18"/>
              </w:rPr>
              <w:br w:type="textWrapping"/>
            </w:r>
            <w:r>
              <w:rPr>
                <w:rFonts w:hint="eastAsia" w:ascii="宋体" w:hAnsi="宋体" w:cs="微软雅黑"/>
                <w:color w:val="333333"/>
                <w:sz w:val="18"/>
                <w:szCs w:val="18"/>
              </w:rPr>
              <w:t>类型</w:t>
            </w:r>
          </w:p>
        </w:tc>
        <w:tc>
          <w:tcPr>
            <w:tcW w:w="283" w:type="dxa"/>
            <w:vMerge w:val="restart"/>
            <w:tcBorders>
              <w:top w:val="outset" w:color="auto" w:sz="6" w:space="0"/>
              <w:left w:val="outset" w:color="auto" w:sz="6" w:space="0"/>
              <w:bottom w:val="outset" w:color="auto" w:sz="6" w:space="0"/>
              <w:right w:val="outset" w:color="auto" w:sz="6" w:space="0"/>
            </w:tcBorders>
            <w:vAlign w:val="top"/>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w:t>
            </w:r>
          </w:p>
          <w:p>
            <w:pPr>
              <w:autoSpaceDN w:val="0"/>
              <w:jc w:val="center"/>
              <w:rPr>
                <w:rFonts w:ascii="宋体" w:hAnsi="宋体" w:cs="微软雅黑"/>
                <w:color w:val="333333"/>
                <w:sz w:val="18"/>
                <w:szCs w:val="18"/>
              </w:rPr>
            </w:pPr>
            <w:r>
              <w:rPr>
                <w:rFonts w:hint="eastAsia" w:ascii="宋体" w:hAnsi="宋体" w:cs="微软雅黑"/>
                <w:color w:val="333333"/>
                <w:sz w:val="18"/>
                <w:szCs w:val="18"/>
              </w:rPr>
              <w:t>编码</w:t>
            </w:r>
          </w:p>
        </w:tc>
        <w:tc>
          <w:tcPr>
            <w:tcW w:w="567" w:type="dxa"/>
            <w:gridSpan w:val="2"/>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职权名称</w:t>
            </w:r>
          </w:p>
        </w:tc>
        <w:tc>
          <w:tcPr>
            <w:tcW w:w="2977"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实施依据</w:t>
            </w:r>
          </w:p>
        </w:tc>
        <w:tc>
          <w:tcPr>
            <w:tcW w:w="2552"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责任事项</w:t>
            </w:r>
          </w:p>
        </w:tc>
        <w:tc>
          <w:tcPr>
            <w:tcW w:w="7371"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责任事项依据</w:t>
            </w:r>
          </w:p>
        </w:tc>
        <w:tc>
          <w:tcPr>
            <w:tcW w:w="313" w:type="dxa"/>
            <w:vMerge w:val="restart"/>
            <w:tcBorders>
              <w:top w:val="outset" w:color="auto" w:sz="6" w:space="0"/>
              <w:left w:val="outset" w:color="auto" w:sz="6" w:space="0"/>
              <w:bottom w:val="outset" w:color="auto" w:sz="6" w:space="0"/>
              <w:right w:val="nil"/>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3" w:hRule="atLeast"/>
          <w:tblCellSpacing w:w="0" w:type="dxa"/>
          <w:jc w:val="center"/>
        </w:trPr>
        <w:tc>
          <w:tcPr>
            <w:tcW w:w="268" w:type="dxa"/>
            <w:vMerge w:val="continue"/>
            <w:tcBorders>
              <w:top w:val="outset" w:color="auto" w:sz="6" w:space="0"/>
              <w:left w:val="single" w:color="auto" w:sz="4"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247"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283"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284"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项目</w:t>
            </w:r>
          </w:p>
        </w:tc>
        <w:tc>
          <w:tcPr>
            <w:tcW w:w="283"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子项</w:t>
            </w:r>
          </w:p>
        </w:tc>
        <w:tc>
          <w:tcPr>
            <w:tcW w:w="2977"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2552"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7371"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313" w:type="dxa"/>
            <w:vMerge w:val="continue"/>
            <w:tcBorders>
              <w:top w:val="outset" w:color="auto" w:sz="6" w:space="0"/>
              <w:left w:val="outset" w:color="auto" w:sz="6" w:space="0"/>
              <w:bottom w:val="outset" w:color="auto" w:sz="6" w:space="0"/>
              <w:right w:val="nil"/>
            </w:tcBorders>
            <w:vAlign w:val="center"/>
          </w:tcPr>
          <w:p>
            <w:pPr>
              <w:jc w:val="left"/>
              <w:rPr>
                <w:rFonts w:ascii="宋体" w:hAnsi="宋体" w:cs="微软雅黑"/>
                <w:color w:val="333333"/>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395" w:hRule="atLeast"/>
          <w:tblCellSpacing w:w="0" w:type="dxa"/>
          <w:jc w:val="center"/>
        </w:trPr>
        <w:tc>
          <w:tcPr>
            <w:tcW w:w="268" w:type="dxa"/>
            <w:tcBorders>
              <w:top w:val="outset" w:color="auto" w:sz="6" w:space="0"/>
              <w:left w:val="single" w:color="auto" w:sz="4" w:space="0"/>
              <w:bottom w:val="outset" w:color="auto" w:sz="6" w:space="0"/>
              <w:right w:val="outset" w:color="auto" w:sz="6" w:space="0"/>
            </w:tcBorders>
            <w:vAlign w:val="center"/>
          </w:tcPr>
          <w:p>
            <w:pPr>
              <w:autoSpaceDN w:val="0"/>
              <w:jc w:val="center"/>
              <w:rPr>
                <w:rFonts w:ascii="宋体" w:hAnsi="宋体" w:cs="微软雅黑"/>
                <w:color w:val="333333"/>
                <w:sz w:val="16"/>
                <w:szCs w:val="16"/>
              </w:rPr>
            </w:pPr>
            <w:r>
              <w:rPr>
                <w:rFonts w:hint="eastAsia" w:ascii="宋体" w:hAnsi="宋体" w:cs="微软雅黑"/>
                <w:color w:val="333333"/>
                <w:sz w:val="16"/>
                <w:szCs w:val="16"/>
              </w:rPr>
              <w:t>4</w:t>
            </w:r>
          </w:p>
        </w:tc>
        <w:tc>
          <w:tcPr>
            <w:tcW w:w="247"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6"/>
                <w:szCs w:val="16"/>
              </w:rPr>
            </w:pPr>
            <w:r>
              <w:rPr>
                <w:rFonts w:hint="eastAsia" w:ascii="宋体" w:hAnsi="宋体" w:cs="微软雅黑"/>
                <w:color w:val="333333"/>
                <w:sz w:val="16"/>
                <w:szCs w:val="16"/>
              </w:rPr>
              <w:t>其他</w:t>
            </w:r>
            <w:r>
              <w:rPr>
                <w:rFonts w:hint="eastAsia" w:ascii="宋体" w:hAnsi="宋体" w:cs="微软雅黑"/>
                <w:color w:val="333333"/>
                <w:sz w:val="16"/>
                <w:szCs w:val="16"/>
              </w:rPr>
              <w:br w:type="textWrapping"/>
            </w:r>
            <w:r>
              <w:rPr>
                <w:rFonts w:hint="eastAsia" w:ascii="宋体" w:hAnsi="宋体" w:cs="微软雅黑"/>
                <w:color w:val="333333"/>
                <w:sz w:val="16"/>
                <w:szCs w:val="16"/>
              </w:rPr>
              <w:t>类</w:t>
            </w:r>
          </w:p>
        </w:tc>
        <w:tc>
          <w:tcPr>
            <w:tcW w:w="283" w:type="dxa"/>
            <w:tcBorders>
              <w:top w:val="outset" w:color="auto" w:sz="6" w:space="0"/>
              <w:left w:val="outset" w:color="auto" w:sz="6" w:space="0"/>
              <w:bottom w:val="outset" w:color="auto" w:sz="6" w:space="0"/>
              <w:right w:val="outset" w:color="auto" w:sz="6" w:space="0"/>
            </w:tcBorders>
            <w:vAlign w:val="top"/>
          </w:tcPr>
          <w:p>
            <w:pPr>
              <w:autoSpaceDN w:val="0"/>
              <w:rPr>
                <w:rFonts w:ascii="宋体" w:hAnsi="宋体" w:cs="微软雅黑"/>
                <w:color w:val="333333"/>
                <w:sz w:val="16"/>
                <w:szCs w:val="16"/>
              </w:rPr>
            </w:pPr>
          </w:p>
        </w:tc>
        <w:tc>
          <w:tcPr>
            <w:tcW w:w="567" w:type="dxa"/>
            <w:gridSpan w:val="2"/>
            <w:tcBorders>
              <w:top w:val="outset" w:color="auto" w:sz="6" w:space="0"/>
              <w:left w:val="outset" w:color="auto" w:sz="6" w:space="0"/>
              <w:bottom w:val="outset" w:color="auto" w:sz="6" w:space="0"/>
              <w:right w:val="outset" w:color="auto" w:sz="6" w:space="0"/>
            </w:tcBorders>
            <w:vAlign w:val="center"/>
          </w:tcPr>
          <w:p>
            <w:pPr>
              <w:autoSpaceDN w:val="0"/>
              <w:rPr>
                <w:rFonts w:ascii="宋体" w:hAnsi="宋体" w:cs="微软雅黑"/>
                <w:color w:val="333333"/>
                <w:sz w:val="16"/>
                <w:szCs w:val="16"/>
              </w:rPr>
            </w:pPr>
            <w:r>
              <w:rPr>
                <w:rFonts w:hint="eastAsia" w:ascii="宋体" w:hAnsi="宋体" w:cs="微软雅黑"/>
                <w:color w:val="333333"/>
                <w:sz w:val="16"/>
                <w:szCs w:val="16"/>
              </w:rPr>
              <w:t>审计处理权</w:t>
            </w:r>
          </w:p>
        </w:tc>
        <w:tc>
          <w:tcPr>
            <w:tcW w:w="2977" w:type="dxa"/>
            <w:tcBorders>
              <w:top w:val="outset" w:color="auto" w:sz="6" w:space="0"/>
              <w:left w:val="outset" w:color="auto" w:sz="6" w:space="0"/>
              <w:bottom w:val="outset" w:color="auto" w:sz="6" w:space="0"/>
              <w:right w:val="outset" w:color="auto" w:sz="6" w:space="0"/>
            </w:tcBorders>
            <w:vAlign w:val="top"/>
          </w:tcPr>
          <w:p>
            <w:pPr>
              <w:autoSpaceDN w:val="0"/>
              <w:spacing w:line="260" w:lineRule="exact"/>
              <w:rPr>
                <w:rFonts w:ascii="宋体" w:hAnsi="宋体" w:cs="微软雅黑"/>
                <w:color w:val="333333"/>
                <w:sz w:val="16"/>
                <w:szCs w:val="16"/>
              </w:rPr>
            </w:pPr>
            <w:r>
              <w:rPr>
                <w:rFonts w:hint="eastAsia" w:ascii="宋体" w:hAnsi="宋体" w:cs="微软雅黑"/>
                <w:color w:val="333333"/>
                <w:sz w:val="16"/>
                <w:szCs w:val="16"/>
              </w:rPr>
              <w:t>撤销，必要时也可以直接作出变更或者撤销的决定。</w:t>
            </w:r>
          </w:p>
          <w:p>
            <w:pPr>
              <w:autoSpaceDN w:val="0"/>
              <w:spacing w:line="260" w:lineRule="exact"/>
              <w:rPr>
                <w:rFonts w:ascii="宋体" w:hAnsi="宋体" w:cs="微软雅黑"/>
                <w:color w:val="333333"/>
                <w:sz w:val="16"/>
                <w:szCs w:val="16"/>
              </w:rPr>
            </w:pPr>
            <w:r>
              <w:rPr>
                <w:rFonts w:hint="eastAsia" w:ascii="宋体" w:hAnsi="宋体" w:cs="微软雅黑"/>
                <w:color w:val="333333"/>
                <w:sz w:val="16"/>
                <w:szCs w:val="16"/>
              </w:rPr>
              <w:t>【行政法规】</w:t>
            </w:r>
          </w:p>
          <w:p>
            <w:pPr>
              <w:autoSpaceDN w:val="0"/>
              <w:spacing w:line="260" w:lineRule="exact"/>
              <w:rPr>
                <w:rFonts w:ascii="宋体" w:hAnsi="宋体" w:cs="微软雅黑"/>
                <w:color w:val="333333"/>
                <w:sz w:val="16"/>
                <w:szCs w:val="16"/>
              </w:rPr>
            </w:pPr>
            <w:r>
              <w:rPr>
                <w:rFonts w:hint="eastAsia" w:ascii="宋体" w:hAnsi="宋体" w:cs="微软雅黑"/>
                <w:color w:val="333333"/>
                <w:sz w:val="16"/>
                <w:szCs w:val="16"/>
              </w:rPr>
              <w:t>《审计法实施条例》（国务院令第571号）第四十条　审计机关有关业务机构和专门机构或者人员对审计组的审计报告以及相关审计事项进行复核、审理后，由审计机关按照下列规定办理：</w:t>
            </w:r>
            <w:r>
              <w:rPr>
                <w:rFonts w:hint="eastAsia" w:ascii="宋体" w:hAnsi="宋体" w:cs="微软雅黑"/>
                <w:color w:val="333333"/>
                <w:sz w:val="16"/>
                <w:szCs w:val="16"/>
              </w:rPr>
              <w:br w:type="textWrapping"/>
            </w:r>
            <w:r>
              <w:rPr>
                <w:rFonts w:hint="eastAsia" w:ascii="宋体" w:hAnsi="宋体" w:cs="微软雅黑"/>
                <w:color w:val="333333"/>
                <w:sz w:val="16"/>
                <w:szCs w:val="16"/>
              </w:rPr>
              <w:t>  （一）提出审计机关的审计报告，内容包括：对审计事项的审计评价，对违反国家规定的财政收支、财务收支行为提出的处理、处罚意见，移送有关主管机关、单位的意见，改进财政收支、财务收支管理工作的意见；</w:t>
            </w:r>
            <w:r>
              <w:rPr>
                <w:rFonts w:hint="eastAsia" w:ascii="宋体" w:hAnsi="宋体" w:cs="微软雅黑"/>
                <w:color w:val="333333"/>
                <w:sz w:val="16"/>
                <w:szCs w:val="16"/>
              </w:rPr>
              <w:br w:type="textWrapping"/>
            </w:r>
            <w:r>
              <w:rPr>
                <w:rFonts w:hint="eastAsia" w:ascii="宋体" w:hAnsi="宋体" w:cs="微软雅黑"/>
                <w:color w:val="333333"/>
                <w:sz w:val="16"/>
                <w:szCs w:val="16"/>
              </w:rPr>
              <w:t>  （二）对违反国家规定的财政收支、财务收支行为，依法应当给予处理、处罚的，在法定职权范围内作出处理、处罚的审计决定；</w:t>
            </w:r>
            <w:r>
              <w:rPr>
                <w:rFonts w:hint="eastAsia" w:ascii="宋体" w:hAnsi="宋体" w:cs="微软雅黑"/>
                <w:color w:val="333333"/>
                <w:sz w:val="16"/>
                <w:szCs w:val="16"/>
              </w:rPr>
              <w:br w:type="textWrapping"/>
            </w:r>
            <w:r>
              <w:rPr>
                <w:rFonts w:hint="eastAsia" w:ascii="宋体" w:hAnsi="宋体" w:cs="微软雅黑"/>
                <w:color w:val="333333"/>
                <w:sz w:val="16"/>
                <w:szCs w:val="16"/>
              </w:rPr>
              <w:t>  （三）对依法应当追究有关人员责任的，向有关主管机关、单位提出给予处分的建议；对依法应当由有关主管机关处理、处罚的，移送有关主管机关；涉嫌犯罪的，移送司法机关。</w:t>
            </w:r>
          </w:p>
        </w:tc>
        <w:tc>
          <w:tcPr>
            <w:tcW w:w="2552" w:type="dxa"/>
            <w:tcBorders>
              <w:top w:val="outset" w:color="auto" w:sz="6" w:space="0"/>
              <w:left w:val="outset" w:color="auto" w:sz="6" w:space="0"/>
              <w:bottom w:val="outset" w:color="auto" w:sz="6" w:space="0"/>
              <w:right w:val="outset" w:color="auto" w:sz="6" w:space="0"/>
            </w:tcBorders>
            <w:vAlign w:val="top"/>
          </w:tcPr>
          <w:p>
            <w:pPr>
              <w:autoSpaceDN w:val="0"/>
              <w:spacing w:line="260" w:lineRule="exact"/>
              <w:rPr>
                <w:rFonts w:ascii="宋体" w:hAnsi="宋体" w:cs="微软雅黑"/>
                <w:color w:val="333333"/>
                <w:sz w:val="16"/>
                <w:szCs w:val="16"/>
              </w:rPr>
            </w:pPr>
            <w:r>
              <w:rPr>
                <w:rFonts w:hint="eastAsia" w:ascii="宋体" w:hAnsi="宋体" w:cs="微软雅黑"/>
                <w:color w:val="333333"/>
                <w:sz w:val="16"/>
                <w:szCs w:val="16"/>
              </w:rPr>
              <w:t xml:space="preserve">财政收支、财务收支的规定与法律、行政法规相抵触的，向有关主管部门提出纠正建议；对依法应当追究有关人员责任的，向有关主管机关、单位提出给予处分的建议；对依法应当由有关主管机关处理、处罚的，移送有关主管机关；涉嫌犯罪的，移送司法机关。 </w:t>
            </w:r>
            <w:r>
              <w:rPr>
                <w:rFonts w:hint="eastAsia" w:ascii="宋体" w:hAnsi="宋体" w:cs="微软雅黑"/>
                <w:color w:val="333333"/>
                <w:sz w:val="16"/>
                <w:szCs w:val="16"/>
              </w:rPr>
              <w:br w:type="textWrapping"/>
            </w:r>
            <w:r>
              <w:rPr>
                <w:rFonts w:hint="eastAsia" w:ascii="宋体" w:hAnsi="宋体" w:cs="微软雅黑"/>
                <w:color w:val="333333"/>
                <w:sz w:val="16"/>
                <w:szCs w:val="16"/>
              </w:rPr>
              <w:t xml:space="preserve">4.送达责任：按规定时间和程序送达审计报告、审计决定、审计移送处理书。 </w:t>
            </w:r>
            <w:r>
              <w:rPr>
                <w:rFonts w:hint="eastAsia" w:ascii="宋体" w:hAnsi="宋体" w:cs="微软雅黑"/>
                <w:color w:val="333333"/>
                <w:sz w:val="16"/>
                <w:szCs w:val="16"/>
              </w:rPr>
              <w:br w:type="textWrapping"/>
            </w:r>
            <w:r>
              <w:rPr>
                <w:rFonts w:hint="eastAsia" w:ascii="宋体" w:hAnsi="宋体" w:cs="微软雅黑"/>
                <w:color w:val="333333"/>
                <w:sz w:val="16"/>
                <w:szCs w:val="16"/>
              </w:rPr>
              <w:t xml:space="preserve">5.执行和整改责任：审计机关应当在3个月内，检查审计决定等执行情况；被审计单位不执行审计决定的，审计机关应当责令限期执行；逾期仍不执行的，审计机关可以申请人民法院强制执行，建议有关主管机关、单位对直接负责的主管人员和其他直接责任人员给予处分。 </w:t>
            </w:r>
            <w:r>
              <w:rPr>
                <w:rFonts w:hint="eastAsia" w:ascii="宋体" w:hAnsi="宋体" w:cs="微软雅黑"/>
                <w:color w:val="333333"/>
                <w:sz w:val="16"/>
                <w:szCs w:val="16"/>
              </w:rPr>
              <w:br w:type="textWrapping"/>
            </w:r>
            <w:r>
              <w:rPr>
                <w:rFonts w:hint="eastAsia" w:ascii="宋体" w:hAnsi="宋体" w:cs="微软雅黑"/>
                <w:color w:val="333333"/>
                <w:sz w:val="16"/>
                <w:szCs w:val="16"/>
              </w:rPr>
              <w:t>6.其他：法律法规规章规定应履行的责任。</w:t>
            </w:r>
          </w:p>
        </w:tc>
        <w:tc>
          <w:tcPr>
            <w:tcW w:w="7371" w:type="dxa"/>
            <w:tcBorders>
              <w:top w:val="outset" w:color="auto" w:sz="6" w:space="0"/>
              <w:left w:val="outset" w:color="auto" w:sz="6" w:space="0"/>
              <w:bottom w:val="outset" w:color="auto" w:sz="6" w:space="0"/>
              <w:right w:val="outset" w:color="auto" w:sz="6" w:space="0"/>
            </w:tcBorders>
            <w:vAlign w:val="top"/>
          </w:tcPr>
          <w:p>
            <w:pPr>
              <w:autoSpaceDN w:val="0"/>
              <w:spacing w:line="260" w:lineRule="exact"/>
              <w:rPr>
                <w:rFonts w:ascii="宋体" w:hAnsi="宋体" w:cs="微软雅黑"/>
                <w:color w:val="333333"/>
                <w:sz w:val="16"/>
                <w:szCs w:val="16"/>
              </w:rPr>
            </w:pPr>
            <w:r>
              <w:rPr>
                <w:rFonts w:hint="eastAsia" w:ascii="宋体" w:hAnsi="宋体" w:cs="微软雅黑"/>
                <w:color w:val="333333"/>
                <w:sz w:val="16"/>
                <w:szCs w:val="16"/>
              </w:rPr>
              <w:t xml:space="preserve"> 经济责任审计报告还应当征求被审计人员的意见；必要时，征求有关干部监督管理部门的意见。</w:t>
            </w:r>
          </w:p>
          <w:p>
            <w:pPr>
              <w:autoSpaceDN w:val="0"/>
              <w:spacing w:line="260" w:lineRule="exact"/>
              <w:rPr>
                <w:rFonts w:ascii="宋体" w:hAnsi="宋体" w:cs="微软雅黑"/>
                <w:color w:val="333333"/>
                <w:sz w:val="16"/>
                <w:szCs w:val="16"/>
              </w:rPr>
            </w:pPr>
            <w:r>
              <w:rPr>
                <w:rFonts w:hint="eastAsia" w:ascii="宋体" w:hAnsi="宋体" w:cs="微软雅黑"/>
                <w:color w:val="333333"/>
                <w:sz w:val="16"/>
                <w:szCs w:val="16"/>
              </w:rPr>
              <w:t>  审计报告中涉及的重大经济案件调查等特殊事项，经审计机关主要负责人批准，可以不征求被审计单位或者被审计人员的意见。</w:t>
            </w:r>
          </w:p>
          <w:p>
            <w:pPr>
              <w:autoSpaceDN w:val="0"/>
              <w:spacing w:line="260" w:lineRule="exact"/>
              <w:rPr>
                <w:rFonts w:ascii="宋体" w:hAnsi="宋体" w:cs="微软雅黑"/>
                <w:color w:val="333333"/>
                <w:sz w:val="16"/>
                <w:szCs w:val="16"/>
              </w:rPr>
            </w:pPr>
            <w:r>
              <w:rPr>
                <w:rFonts w:hint="eastAsia" w:ascii="宋体" w:hAnsi="宋体" w:cs="微软雅黑"/>
                <w:color w:val="333333"/>
                <w:sz w:val="16"/>
                <w:szCs w:val="16"/>
              </w:rPr>
              <w:t>第一百三十九条  对被审计单位或者被调查单位违反国家规定的财政收支、财务收支行为，依法应当由审计机关进行处理处罚的，审计组应当起草审计决定书。</w:t>
            </w:r>
          </w:p>
          <w:p>
            <w:pPr>
              <w:autoSpaceDN w:val="0"/>
              <w:spacing w:line="260" w:lineRule="exact"/>
              <w:rPr>
                <w:rFonts w:ascii="宋体" w:hAnsi="宋体" w:cs="微软雅黑"/>
                <w:color w:val="333333"/>
                <w:sz w:val="16"/>
                <w:szCs w:val="16"/>
              </w:rPr>
            </w:pPr>
            <w:r>
              <w:rPr>
                <w:rFonts w:hint="eastAsia" w:ascii="宋体" w:hAnsi="宋体" w:cs="微软雅黑"/>
                <w:color w:val="333333"/>
                <w:sz w:val="16"/>
                <w:szCs w:val="16"/>
              </w:rPr>
              <w:t>  对依法应当由其他有关部门纠正、处理处罚或者追究有关责任人员责任的事项，审计组应当起草审计移送处理书。</w:t>
            </w:r>
          </w:p>
          <w:p>
            <w:pPr>
              <w:autoSpaceDN w:val="0"/>
              <w:spacing w:line="260" w:lineRule="exact"/>
              <w:rPr>
                <w:rFonts w:ascii="宋体" w:hAnsi="宋体" w:cs="微软雅黑"/>
                <w:color w:val="333333"/>
                <w:sz w:val="16"/>
                <w:szCs w:val="16"/>
              </w:rPr>
            </w:pPr>
            <w:r>
              <w:rPr>
                <w:rFonts w:hint="eastAsia" w:ascii="宋体" w:hAnsi="宋体" w:cs="微软雅黑"/>
                <w:color w:val="333333"/>
                <w:sz w:val="16"/>
                <w:szCs w:val="16"/>
              </w:rPr>
              <w:t>第一百四十二条  审计机关业务部门应当将复核修改后的审计报告、审计决定书等审计项目材料连同书面复核意见，报送审理机构审理。</w:t>
            </w:r>
          </w:p>
          <w:p>
            <w:pPr>
              <w:autoSpaceDN w:val="0"/>
              <w:spacing w:line="260" w:lineRule="exact"/>
              <w:rPr>
                <w:rFonts w:ascii="宋体" w:hAnsi="宋体" w:cs="微软雅黑"/>
                <w:color w:val="333333"/>
                <w:sz w:val="16"/>
                <w:szCs w:val="16"/>
              </w:rPr>
            </w:pPr>
            <w:r>
              <w:rPr>
                <w:rFonts w:hint="eastAsia" w:ascii="宋体" w:hAnsi="宋体" w:cs="微软雅黑"/>
                <w:color w:val="333333"/>
                <w:sz w:val="16"/>
                <w:szCs w:val="16"/>
              </w:rPr>
              <w:t>第一百四十四条  审理机构审理时，应当就有关事项与审计组及相关业务部门进行沟通。</w:t>
            </w:r>
          </w:p>
          <w:p>
            <w:pPr>
              <w:autoSpaceDN w:val="0"/>
              <w:spacing w:line="260" w:lineRule="exact"/>
              <w:rPr>
                <w:rFonts w:ascii="宋体" w:hAnsi="宋体" w:cs="微软雅黑"/>
                <w:color w:val="333333"/>
                <w:sz w:val="16"/>
                <w:szCs w:val="16"/>
              </w:rPr>
            </w:pPr>
            <w:r>
              <w:rPr>
                <w:rFonts w:hint="eastAsia" w:ascii="宋体" w:hAnsi="宋体" w:cs="微软雅黑"/>
                <w:color w:val="333333"/>
                <w:sz w:val="16"/>
                <w:szCs w:val="16"/>
              </w:rPr>
              <w:t>  必要时，审理机构可以参加审计组与被审计单位交换意见的会议，或者向被审计单位和有关人员了解相关情况。</w:t>
            </w:r>
          </w:p>
          <w:p>
            <w:pPr>
              <w:autoSpaceDN w:val="0"/>
              <w:spacing w:line="260" w:lineRule="exact"/>
              <w:rPr>
                <w:rFonts w:ascii="宋体" w:hAnsi="宋体" w:cs="微软雅黑"/>
                <w:color w:val="333333"/>
                <w:sz w:val="16"/>
                <w:szCs w:val="16"/>
              </w:rPr>
            </w:pPr>
            <w:r>
              <w:rPr>
                <w:rFonts w:hint="eastAsia" w:ascii="宋体" w:hAnsi="宋体" w:cs="微软雅黑"/>
                <w:color w:val="333333"/>
                <w:sz w:val="16"/>
                <w:szCs w:val="16"/>
              </w:rPr>
              <w:t>第一百四十六条  审理机构将审理后的审计报告、审计决定书连同审理意见书报送审计机关负责人。</w:t>
            </w:r>
          </w:p>
          <w:p>
            <w:pPr>
              <w:autoSpaceDN w:val="0"/>
              <w:spacing w:line="260" w:lineRule="exact"/>
              <w:rPr>
                <w:rFonts w:ascii="宋体" w:hAnsi="宋体" w:cs="微软雅黑"/>
                <w:color w:val="333333"/>
                <w:sz w:val="16"/>
                <w:szCs w:val="16"/>
              </w:rPr>
            </w:pPr>
            <w:r>
              <w:rPr>
                <w:rFonts w:hint="eastAsia" w:ascii="宋体" w:hAnsi="宋体" w:cs="微软雅黑"/>
                <w:color w:val="333333"/>
                <w:sz w:val="16"/>
                <w:szCs w:val="16"/>
              </w:rPr>
              <w:t>第一百四十七条  审计报告、审计决定书原则上应当由审计机关审计业务会议审定；特殊情况下，经审计机关主要负责人授权，可以由审计机关其他负责人审定。</w:t>
            </w:r>
          </w:p>
          <w:p>
            <w:pPr>
              <w:autoSpaceDN w:val="0"/>
              <w:spacing w:line="260" w:lineRule="exact"/>
              <w:rPr>
                <w:rFonts w:ascii="宋体" w:hAnsi="宋体" w:cs="微软雅黑"/>
                <w:color w:val="333333"/>
                <w:sz w:val="16"/>
                <w:szCs w:val="16"/>
              </w:rPr>
            </w:pPr>
            <w:r>
              <w:rPr>
                <w:rFonts w:hint="eastAsia" w:ascii="宋体" w:hAnsi="宋体" w:cs="微软雅黑"/>
                <w:color w:val="333333"/>
                <w:sz w:val="16"/>
                <w:szCs w:val="16"/>
              </w:rPr>
              <w:t>第一百四十八条  审计决定书经审定，处罚的事实、理由、依据、决定与审计组征求意见的审计报告不一致并且加重处罚的，审计机关应当依照有关法律法规的规定及时告知被审计单位、被调查单位和有关责任人员，并听取其陈述和申辩。</w:t>
            </w:r>
          </w:p>
          <w:p>
            <w:pPr>
              <w:autoSpaceDN w:val="0"/>
              <w:spacing w:line="260" w:lineRule="exact"/>
              <w:rPr>
                <w:rFonts w:ascii="宋体" w:hAnsi="宋体" w:cs="微软雅黑"/>
                <w:color w:val="333333"/>
                <w:sz w:val="16"/>
                <w:szCs w:val="16"/>
              </w:rPr>
            </w:pPr>
            <w:r>
              <w:rPr>
                <w:rFonts w:hint="eastAsia" w:ascii="宋体" w:hAnsi="宋体" w:cs="微软雅黑"/>
                <w:color w:val="333333"/>
                <w:sz w:val="16"/>
                <w:szCs w:val="16"/>
              </w:rPr>
              <w:t>第一百五十条  审计报告、审计决定书经审计机关负责人签发后，按照下列要求办理：</w:t>
            </w:r>
          </w:p>
          <w:p>
            <w:pPr>
              <w:autoSpaceDN w:val="0"/>
              <w:spacing w:line="260" w:lineRule="exact"/>
              <w:rPr>
                <w:rFonts w:ascii="宋体" w:hAnsi="宋体" w:cs="微软雅黑"/>
                <w:color w:val="333333"/>
                <w:sz w:val="16"/>
                <w:szCs w:val="16"/>
              </w:rPr>
            </w:pPr>
            <w:r>
              <w:rPr>
                <w:rFonts w:hint="eastAsia" w:ascii="宋体" w:hAnsi="宋体" w:cs="微软雅黑"/>
                <w:color w:val="333333"/>
                <w:sz w:val="16"/>
                <w:szCs w:val="16"/>
              </w:rPr>
              <w:t>  （一）审计报告送达被审计单位、被调查单位；</w:t>
            </w:r>
          </w:p>
          <w:p>
            <w:pPr>
              <w:autoSpaceDN w:val="0"/>
              <w:spacing w:line="260" w:lineRule="exact"/>
              <w:rPr>
                <w:rFonts w:ascii="宋体" w:hAnsi="宋体" w:cs="微软雅黑"/>
                <w:color w:val="333333"/>
                <w:sz w:val="16"/>
                <w:szCs w:val="16"/>
              </w:rPr>
            </w:pPr>
            <w:r>
              <w:rPr>
                <w:rFonts w:hint="eastAsia" w:ascii="宋体" w:hAnsi="宋体" w:cs="微软雅黑"/>
                <w:color w:val="333333"/>
                <w:sz w:val="16"/>
                <w:szCs w:val="16"/>
              </w:rPr>
              <w:t>  （二）经济责任审计报告送达被审计单位和被审计人员；</w:t>
            </w:r>
          </w:p>
          <w:p>
            <w:pPr>
              <w:autoSpaceDN w:val="0"/>
              <w:spacing w:line="260" w:lineRule="exact"/>
              <w:rPr>
                <w:rFonts w:ascii="宋体" w:hAnsi="宋体" w:cs="微软雅黑"/>
                <w:color w:val="333333"/>
                <w:sz w:val="16"/>
                <w:szCs w:val="16"/>
              </w:rPr>
            </w:pPr>
            <w:r>
              <w:rPr>
                <w:rFonts w:hint="eastAsia" w:ascii="宋体" w:hAnsi="宋体" w:cs="微软雅黑"/>
                <w:color w:val="333333"/>
                <w:sz w:val="16"/>
                <w:szCs w:val="16"/>
              </w:rPr>
              <w:t>  （三）审计决定书送达被审计单位、被调查单位、被处罚的有关责任人员。</w:t>
            </w:r>
          </w:p>
          <w:p>
            <w:pPr>
              <w:autoSpaceDN w:val="0"/>
              <w:spacing w:line="260" w:lineRule="exact"/>
              <w:rPr>
                <w:rFonts w:ascii="宋体" w:hAnsi="宋体" w:cs="微软雅黑"/>
                <w:color w:val="333333"/>
                <w:sz w:val="16"/>
                <w:szCs w:val="16"/>
              </w:rPr>
            </w:pPr>
            <w:r>
              <w:rPr>
                <w:rFonts w:hint="eastAsia" w:ascii="宋体" w:hAnsi="宋体" w:cs="微软雅黑"/>
                <w:color w:val="333333"/>
                <w:sz w:val="16"/>
                <w:szCs w:val="16"/>
              </w:rPr>
              <w:t>第一百六十五条  审计组在审计实施过程中，应当及时督促被审计单位整改审计发现的问题。</w:t>
            </w:r>
          </w:p>
          <w:p>
            <w:pPr>
              <w:autoSpaceDN w:val="0"/>
              <w:spacing w:line="260" w:lineRule="exact"/>
              <w:rPr>
                <w:rFonts w:ascii="宋体" w:hAnsi="宋体" w:cs="微软雅黑"/>
                <w:color w:val="333333"/>
                <w:sz w:val="16"/>
                <w:szCs w:val="16"/>
              </w:rPr>
            </w:pPr>
            <w:r>
              <w:rPr>
                <w:rFonts w:hint="eastAsia" w:ascii="宋体" w:hAnsi="宋体" w:cs="微软雅黑"/>
                <w:color w:val="333333"/>
                <w:sz w:val="16"/>
                <w:szCs w:val="16"/>
              </w:rPr>
              <w:t>  审计机关在出具审计报告、作出审计决定后，应当在规定的时间内检查或者了解被审计单位和其他有关单位的整改情况。</w:t>
            </w:r>
          </w:p>
        </w:tc>
        <w:tc>
          <w:tcPr>
            <w:tcW w:w="313" w:type="dxa"/>
            <w:tcBorders>
              <w:top w:val="outset" w:color="auto" w:sz="6" w:space="0"/>
              <w:left w:val="outset" w:color="auto" w:sz="6" w:space="0"/>
              <w:bottom w:val="outset" w:color="auto" w:sz="6" w:space="0"/>
              <w:right w:val="nil"/>
            </w:tcBorders>
            <w:vAlign w:val="center"/>
          </w:tcPr>
          <w:p>
            <w:pPr>
              <w:autoSpaceDN w:val="0"/>
              <w:jc w:val="center"/>
              <w:rPr>
                <w:rFonts w:ascii="微软雅黑" w:hAnsi="微软雅黑" w:eastAsia="微软雅黑" w:cs="微软雅黑"/>
                <w:color w:val="333333"/>
                <w:sz w:val="18"/>
                <w:szCs w:val="18"/>
              </w:rPr>
            </w:pPr>
          </w:p>
        </w:tc>
      </w:tr>
    </w:tbl>
    <w:p>
      <w:pPr>
        <w:autoSpaceDN w:val="0"/>
        <w:jc w:val="center"/>
        <w:rPr>
          <w:rFonts w:ascii="宋体"/>
          <w:bCs/>
          <w:color w:val="333333"/>
          <w:sz w:val="36"/>
          <w:szCs w:val="36"/>
        </w:rPr>
      </w:pPr>
      <w:r>
        <w:rPr>
          <w:rFonts w:hint="eastAsia" w:ascii="宋体" w:hAnsi="宋体"/>
          <w:bCs/>
          <w:color w:val="000000"/>
          <w:kern w:val="0"/>
          <w:sz w:val="36"/>
          <w:szCs w:val="36"/>
        </w:rPr>
        <w:t>运城市审计局行政权力清单和责任清单</w:t>
      </w:r>
    </w:p>
    <w:tbl>
      <w:tblPr>
        <w:tblStyle w:val="11"/>
        <w:tblW w:w="14828" w:type="dxa"/>
        <w:jc w:val="center"/>
        <w:tblCellSpacing w:w="0" w:type="dxa"/>
        <w:tblInd w:w="-11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7"/>
        <w:gridCol w:w="322"/>
        <w:gridCol w:w="247"/>
        <w:gridCol w:w="283"/>
        <w:gridCol w:w="284"/>
        <w:gridCol w:w="283"/>
        <w:gridCol w:w="2551"/>
        <w:gridCol w:w="1984"/>
        <w:gridCol w:w="8505"/>
        <w:gridCol w:w="34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gridBefore w:val="1"/>
          <w:wBefore w:w="27" w:type="dxa"/>
          <w:trHeight w:val="330" w:hRule="atLeast"/>
          <w:tblCellSpacing w:w="0" w:type="dxa"/>
          <w:jc w:val="center"/>
        </w:trPr>
        <w:tc>
          <w:tcPr>
            <w:tcW w:w="322" w:type="dxa"/>
            <w:vMerge w:val="restart"/>
            <w:tcBorders>
              <w:top w:val="outset" w:color="auto" w:sz="6" w:space="0"/>
              <w:left w:val="single" w:color="auto" w:sz="4"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序号</w:t>
            </w:r>
          </w:p>
        </w:tc>
        <w:tc>
          <w:tcPr>
            <w:tcW w:w="247"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w:t>
            </w:r>
            <w:r>
              <w:rPr>
                <w:rFonts w:hint="eastAsia" w:ascii="宋体" w:hAnsi="宋体" w:cs="微软雅黑"/>
                <w:color w:val="333333"/>
                <w:sz w:val="18"/>
                <w:szCs w:val="18"/>
              </w:rPr>
              <w:br w:type="textWrapping"/>
            </w:r>
            <w:r>
              <w:rPr>
                <w:rFonts w:hint="eastAsia" w:ascii="宋体" w:hAnsi="宋体" w:cs="微软雅黑"/>
                <w:color w:val="333333"/>
                <w:sz w:val="18"/>
                <w:szCs w:val="18"/>
              </w:rPr>
              <w:t>类型</w:t>
            </w:r>
          </w:p>
        </w:tc>
        <w:tc>
          <w:tcPr>
            <w:tcW w:w="283" w:type="dxa"/>
            <w:vMerge w:val="restart"/>
            <w:tcBorders>
              <w:top w:val="outset" w:color="auto" w:sz="6" w:space="0"/>
              <w:left w:val="outset" w:color="auto" w:sz="6" w:space="0"/>
              <w:bottom w:val="outset" w:color="auto" w:sz="6" w:space="0"/>
              <w:right w:val="outset" w:color="auto" w:sz="6" w:space="0"/>
            </w:tcBorders>
            <w:vAlign w:val="top"/>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w:t>
            </w:r>
          </w:p>
          <w:p>
            <w:pPr>
              <w:autoSpaceDN w:val="0"/>
              <w:jc w:val="center"/>
              <w:rPr>
                <w:rFonts w:ascii="宋体" w:hAnsi="宋体" w:cs="微软雅黑"/>
                <w:color w:val="333333"/>
                <w:sz w:val="18"/>
                <w:szCs w:val="18"/>
              </w:rPr>
            </w:pPr>
            <w:r>
              <w:rPr>
                <w:rFonts w:hint="eastAsia" w:ascii="宋体" w:hAnsi="宋体" w:cs="微软雅黑"/>
                <w:color w:val="333333"/>
                <w:sz w:val="18"/>
                <w:szCs w:val="18"/>
              </w:rPr>
              <w:t>编码</w:t>
            </w:r>
          </w:p>
        </w:tc>
        <w:tc>
          <w:tcPr>
            <w:tcW w:w="567" w:type="dxa"/>
            <w:gridSpan w:val="2"/>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职权名称</w:t>
            </w:r>
          </w:p>
        </w:tc>
        <w:tc>
          <w:tcPr>
            <w:tcW w:w="2551"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实施依据</w:t>
            </w:r>
          </w:p>
        </w:tc>
        <w:tc>
          <w:tcPr>
            <w:tcW w:w="1984"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责任事项</w:t>
            </w:r>
          </w:p>
        </w:tc>
        <w:tc>
          <w:tcPr>
            <w:tcW w:w="8505" w:type="dxa"/>
            <w:vMerge w:val="restart"/>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责任事项依据</w:t>
            </w:r>
          </w:p>
        </w:tc>
        <w:tc>
          <w:tcPr>
            <w:tcW w:w="342" w:type="dxa"/>
            <w:vMerge w:val="restart"/>
            <w:tcBorders>
              <w:top w:val="outset" w:color="auto" w:sz="6" w:space="0"/>
              <w:left w:val="outset" w:color="auto" w:sz="6" w:space="0"/>
              <w:bottom w:val="outset" w:color="auto" w:sz="6" w:space="0"/>
              <w:right w:val="nil"/>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gridBefore w:val="1"/>
          <w:wBefore w:w="27" w:type="dxa"/>
          <w:trHeight w:val="273" w:hRule="atLeast"/>
          <w:tblCellSpacing w:w="0" w:type="dxa"/>
          <w:jc w:val="center"/>
        </w:trPr>
        <w:tc>
          <w:tcPr>
            <w:tcW w:w="322" w:type="dxa"/>
            <w:vMerge w:val="continue"/>
            <w:tcBorders>
              <w:top w:val="outset" w:color="auto" w:sz="6" w:space="0"/>
              <w:left w:val="single" w:color="auto" w:sz="4"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247"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283"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284"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项目</w:t>
            </w:r>
          </w:p>
        </w:tc>
        <w:tc>
          <w:tcPr>
            <w:tcW w:w="283"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8"/>
                <w:szCs w:val="18"/>
              </w:rPr>
            </w:pPr>
            <w:r>
              <w:rPr>
                <w:rFonts w:hint="eastAsia" w:ascii="宋体" w:hAnsi="宋体" w:cs="微软雅黑"/>
                <w:color w:val="333333"/>
                <w:sz w:val="18"/>
                <w:szCs w:val="18"/>
              </w:rPr>
              <w:t>子项</w:t>
            </w:r>
          </w:p>
        </w:tc>
        <w:tc>
          <w:tcPr>
            <w:tcW w:w="2551"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1984"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8505"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宋体" w:cs="微软雅黑"/>
                <w:color w:val="333333"/>
                <w:sz w:val="18"/>
                <w:szCs w:val="18"/>
              </w:rPr>
            </w:pPr>
          </w:p>
        </w:tc>
        <w:tc>
          <w:tcPr>
            <w:tcW w:w="342" w:type="dxa"/>
            <w:vMerge w:val="continue"/>
            <w:tcBorders>
              <w:top w:val="outset" w:color="auto" w:sz="6" w:space="0"/>
              <w:left w:val="outset" w:color="auto" w:sz="6" w:space="0"/>
              <w:bottom w:val="outset" w:color="auto" w:sz="6" w:space="0"/>
              <w:right w:val="nil"/>
            </w:tcBorders>
            <w:vAlign w:val="center"/>
          </w:tcPr>
          <w:p>
            <w:pPr>
              <w:jc w:val="left"/>
              <w:rPr>
                <w:rFonts w:ascii="宋体" w:hAnsi="宋体" w:cs="微软雅黑"/>
                <w:color w:val="333333"/>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395" w:hRule="atLeast"/>
          <w:tblCellSpacing w:w="0" w:type="dxa"/>
          <w:jc w:val="center"/>
        </w:trPr>
        <w:tc>
          <w:tcPr>
            <w:tcW w:w="349" w:type="dxa"/>
            <w:gridSpan w:val="2"/>
            <w:tcBorders>
              <w:top w:val="outset" w:color="auto" w:sz="6" w:space="0"/>
              <w:left w:val="single" w:color="auto" w:sz="4" w:space="0"/>
              <w:bottom w:val="outset" w:color="auto" w:sz="6" w:space="0"/>
              <w:right w:val="outset" w:color="auto" w:sz="6" w:space="0"/>
            </w:tcBorders>
            <w:vAlign w:val="center"/>
          </w:tcPr>
          <w:p>
            <w:pPr>
              <w:autoSpaceDN w:val="0"/>
              <w:jc w:val="center"/>
              <w:rPr>
                <w:rFonts w:ascii="宋体" w:hAnsi="宋体" w:cs="微软雅黑"/>
                <w:color w:val="333333"/>
                <w:sz w:val="16"/>
                <w:szCs w:val="16"/>
              </w:rPr>
            </w:pPr>
            <w:r>
              <w:rPr>
                <w:rFonts w:hint="eastAsia" w:ascii="宋体" w:hAnsi="宋体" w:cs="微软雅黑"/>
                <w:color w:val="333333"/>
                <w:sz w:val="16"/>
                <w:szCs w:val="16"/>
              </w:rPr>
              <w:t>5</w:t>
            </w:r>
          </w:p>
        </w:tc>
        <w:tc>
          <w:tcPr>
            <w:tcW w:w="247" w:type="dxa"/>
            <w:tcBorders>
              <w:top w:val="outset" w:color="auto" w:sz="6" w:space="0"/>
              <w:left w:val="outset" w:color="auto" w:sz="6" w:space="0"/>
              <w:bottom w:val="outset" w:color="auto" w:sz="6" w:space="0"/>
              <w:right w:val="outset" w:color="auto" w:sz="6" w:space="0"/>
            </w:tcBorders>
            <w:vAlign w:val="center"/>
          </w:tcPr>
          <w:p>
            <w:pPr>
              <w:autoSpaceDN w:val="0"/>
              <w:jc w:val="center"/>
              <w:rPr>
                <w:rFonts w:ascii="宋体" w:hAnsi="宋体" w:cs="微软雅黑"/>
                <w:color w:val="333333"/>
                <w:sz w:val="16"/>
                <w:szCs w:val="16"/>
              </w:rPr>
            </w:pPr>
            <w:r>
              <w:rPr>
                <w:rFonts w:hint="eastAsia" w:ascii="宋体" w:hAnsi="宋体" w:cs="微软雅黑"/>
                <w:color w:val="333333"/>
                <w:sz w:val="16"/>
                <w:szCs w:val="16"/>
              </w:rPr>
              <w:t>其他</w:t>
            </w:r>
            <w:r>
              <w:rPr>
                <w:rFonts w:hint="eastAsia" w:ascii="宋体" w:hAnsi="宋体" w:cs="微软雅黑"/>
                <w:color w:val="333333"/>
                <w:sz w:val="16"/>
                <w:szCs w:val="16"/>
              </w:rPr>
              <w:br w:type="textWrapping"/>
            </w:r>
            <w:r>
              <w:rPr>
                <w:rFonts w:hint="eastAsia" w:ascii="宋体" w:hAnsi="宋体" w:cs="微软雅黑"/>
                <w:color w:val="333333"/>
                <w:sz w:val="16"/>
                <w:szCs w:val="16"/>
              </w:rPr>
              <w:t>类</w:t>
            </w:r>
          </w:p>
        </w:tc>
        <w:tc>
          <w:tcPr>
            <w:tcW w:w="283" w:type="dxa"/>
            <w:tcBorders>
              <w:top w:val="outset" w:color="auto" w:sz="6" w:space="0"/>
              <w:left w:val="outset" w:color="auto" w:sz="6" w:space="0"/>
              <w:bottom w:val="outset" w:color="auto" w:sz="6" w:space="0"/>
              <w:right w:val="outset" w:color="auto" w:sz="6" w:space="0"/>
            </w:tcBorders>
            <w:vAlign w:val="top"/>
          </w:tcPr>
          <w:p>
            <w:pPr>
              <w:autoSpaceDN w:val="0"/>
              <w:rPr>
                <w:rFonts w:ascii="宋体" w:hAnsi="宋体" w:cs="微软雅黑"/>
                <w:color w:val="333333"/>
                <w:sz w:val="16"/>
                <w:szCs w:val="16"/>
              </w:rPr>
            </w:pPr>
          </w:p>
        </w:tc>
        <w:tc>
          <w:tcPr>
            <w:tcW w:w="567" w:type="dxa"/>
            <w:gridSpan w:val="2"/>
            <w:tcBorders>
              <w:top w:val="outset" w:color="auto" w:sz="6" w:space="0"/>
              <w:left w:val="outset" w:color="auto" w:sz="6" w:space="0"/>
              <w:bottom w:val="outset" w:color="auto" w:sz="6" w:space="0"/>
              <w:right w:val="outset" w:color="auto" w:sz="6" w:space="0"/>
            </w:tcBorders>
            <w:vAlign w:val="center"/>
          </w:tcPr>
          <w:p>
            <w:pPr>
              <w:autoSpaceDN w:val="0"/>
              <w:rPr>
                <w:rFonts w:ascii="宋体" w:hAnsi="宋体" w:cs="微软雅黑"/>
                <w:color w:val="333333"/>
                <w:sz w:val="16"/>
                <w:szCs w:val="16"/>
              </w:rPr>
            </w:pPr>
            <w:r>
              <w:rPr>
                <w:rFonts w:hint="eastAsia" w:ascii="宋体" w:hAnsi="宋体" w:cs="微软雅黑"/>
                <w:color w:val="333333"/>
                <w:sz w:val="16"/>
                <w:szCs w:val="16"/>
              </w:rPr>
              <w:t>查询被审计单位及被审计单位以个人名义在金融机构的账户存款权</w:t>
            </w:r>
          </w:p>
        </w:tc>
        <w:tc>
          <w:tcPr>
            <w:tcW w:w="2551" w:type="dxa"/>
            <w:tcBorders>
              <w:top w:val="outset" w:color="auto" w:sz="6" w:space="0"/>
              <w:left w:val="outset" w:color="auto" w:sz="6" w:space="0"/>
              <w:bottom w:val="outset" w:color="auto" w:sz="6" w:space="0"/>
              <w:right w:val="outset" w:color="auto" w:sz="6" w:space="0"/>
            </w:tcBorders>
            <w:vAlign w:val="center"/>
          </w:tcPr>
          <w:p>
            <w:pPr>
              <w:autoSpaceDN w:val="0"/>
              <w:spacing w:line="220" w:lineRule="exact"/>
              <w:rPr>
                <w:rFonts w:ascii="宋体" w:hAnsi="宋体" w:cs="微软雅黑"/>
                <w:color w:val="333333"/>
                <w:sz w:val="16"/>
                <w:szCs w:val="16"/>
              </w:rPr>
            </w:pPr>
            <w:r>
              <w:rPr>
                <w:rFonts w:hint="eastAsia" w:ascii="宋体" w:hAnsi="宋体" w:cs="微软雅黑"/>
                <w:color w:val="333333"/>
                <w:sz w:val="16"/>
                <w:szCs w:val="16"/>
              </w:rPr>
              <w:t>【法律】</w:t>
            </w:r>
            <w:r>
              <w:rPr>
                <w:rFonts w:hint="eastAsia" w:ascii="宋体" w:hAnsi="宋体" w:cs="微软雅黑"/>
                <w:color w:val="333333"/>
                <w:sz w:val="16"/>
                <w:szCs w:val="16"/>
              </w:rPr>
              <w:br w:type="textWrapping"/>
            </w:r>
            <w:r>
              <w:rPr>
                <w:rFonts w:hint="eastAsia" w:ascii="宋体" w:hAnsi="宋体" w:cs="微软雅黑"/>
                <w:color w:val="333333"/>
                <w:sz w:val="16"/>
                <w:szCs w:val="16"/>
              </w:rPr>
              <w:t>《中华人民共和国审计法》第三十三条　审计机关进行审计时，有权就审计事项的有关问题向有关单位和个人进行调查，并取得有关证明材料。有关单位和个人应当支持、协助审计机关工作，如实向审计机关反映情况，提供有关证明材料。</w:t>
            </w:r>
            <w:r>
              <w:rPr>
                <w:rFonts w:hint="eastAsia" w:ascii="宋体" w:hAnsi="宋体" w:cs="微软雅黑"/>
                <w:color w:val="333333"/>
                <w:sz w:val="16"/>
                <w:szCs w:val="16"/>
              </w:rPr>
              <w:br w:type="textWrapping"/>
            </w:r>
            <w:r>
              <w:rPr>
                <w:rFonts w:hint="eastAsia" w:ascii="宋体" w:hAnsi="宋体" w:cs="微软雅黑"/>
                <w:color w:val="333333"/>
                <w:sz w:val="16"/>
                <w:szCs w:val="16"/>
              </w:rPr>
              <w:t>　　审计机关经县级以上人民政府审计机关负责人批准，有权查询被审计单位在金融机构的账户。</w:t>
            </w:r>
            <w:r>
              <w:rPr>
                <w:rFonts w:hint="eastAsia" w:ascii="宋体" w:hAnsi="宋体" w:cs="微软雅黑"/>
                <w:color w:val="333333"/>
                <w:sz w:val="16"/>
                <w:szCs w:val="16"/>
              </w:rPr>
              <w:br w:type="textWrapping"/>
            </w:r>
            <w:r>
              <w:rPr>
                <w:rFonts w:hint="eastAsia" w:ascii="宋体" w:hAnsi="宋体" w:cs="微软雅黑"/>
                <w:color w:val="333333"/>
                <w:sz w:val="16"/>
                <w:szCs w:val="16"/>
              </w:rPr>
              <w:t>　　审计机关有证据证明被审计单位以个人名义存储公款的，经县级以上人民政府审计机关主要负责人批准，有权查询被审计单位以个人名义在金融机构的存款。</w:t>
            </w:r>
            <w:r>
              <w:rPr>
                <w:rFonts w:hint="eastAsia" w:ascii="宋体" w:hAnsi="宋体" w:cs="微软雅黑"/>
                <w:color w:val="333333"/>
                <w:sz w:val="16"/>
                <w:szCs w:val="16"/>
              </w:rPr>
              <w:br w:type="textWrapping"/>
            </w:r>
            <w:r>
              <w:rPr>
                <w:rFonts w:hint="eastAsia" w:ascii="宋体" w:hAnsi="宋体" w:cs="微软雅黑"/>
                <w:color w:val="333333"/>
                <w:sz w:val="16"/>
                <w:szCs w:val="16"/>
              </w:rPr>
              <w:t>【行政法规】</w:t>
            </w:r>
            <w:r>
              <w:rPr>
                <w:rFonts w:hint="eastAsia" w:ascii="宋体" w:hAnsi="宋体" w:cs="微软雅黑"/>
                <w:color w:val="333333"/>
                <w:sz w:val="16"/>
                <w:szCs w:val="16"/>
              </w:rPr>
              <w:br w:type="textWrapping"/>
            </w:r>
            <w:r>
              <w:rPr>
                <w:rFonts w:hint="eastAsia" w:ascii="宋体" w:hAnsi="宋体" w:cs="微软雅黑"/>
                <w:color w:val="333333"/>
                <w:sz w:val="16"/>
                <w:szCs w:val="16"/>
              </w:rPr>
              <w:t>《审计法实施条例》（国务院令第571号）第三十条　审计机关依照审计法第三十三条规定查询被审计单位在金融机构的账户的，应当持县级以上人民政府审计机关负责人签发的协助查询单位账户通知书；查询被审计单位以个人名义在金融机构的存款的，应当持县级以上人民政府审计机关主要负责人签发的协助查询个人存款通知书。有关金融机构应当予以协助，并提供证明材料，审计机关和审计人员负有保密义务。</w:t>
            </w:r>
          </w:p>
        </w:tc>
        <w:tc>
          <w:tcPr>
            <w:tcW w:w="1984" w:type="dxa"/>
            <w:tcBorders>
              <w:top w:val="outset" w:color="auto" w:sz="6" w:space="0"/>
              <w:left w:val="outset" w:color="auto" w:sz="6" w:space="0"/>
              <w:bottom w:val="outset" w:color="auto" w:sz="6" w:space="0"/>
              <w:right w:val="outset" w:color="auto" w:sz="6" w:space="0"/>
            </w:tcBorders>
            <w:vAlign w:val="center"/>
          </w:tcPr>
          <w:p>
            <w:pPr>
              <w:autoSpaceDN w:val="0"/>
              <w:spacing w:line="220" w:lineRule="exact"/>
              <w:rPr>
                <w:rFonts w:ascii="宋体" w:hAnsi="宋体" w:cs="微软雅黑"/>
                <w:color w:val="333333"/>
                <w:sz w:val="16"/>
                <w:szCs w:val="16"/>
              </w:rPr>
            </w:pPr>
            <w:r>
              <w:rPr>
                <w:rFonts w:hint="eastAsia" w:ascii="宋体" w:hAnsi="宋体" w:cs="微软雅黑"/>
                <w:color w:val="333333"/>
                <w:sz w:val="16"/>
                <w:szCs w:val="16"/>
              </w:rPr>
              <w:br w:type="textWrapping"/>
            </w:r>
            <w:r>
              <w:rPr>
                <w:rFonts w:hint="eastAsia" w:ascii="宋体" w:hAnsi="宋体" w:cs="微软雅黑"/>
                <w:color w:val="333333"/>
                <w:sz w:val="16"/>
                <w:szCs w:val="16"/>
              </w:rPr>
              <w:t>1.发现和受理责任:审计监督过程中或接到举报，需要查询被审计单位在金融机构的账户，或者有证据证明被审计单位以个人名义存储公款的，审计机关予以审查,决定进一步核查。</w:t>
            </w:r>
            <w:r>
              <w:rPr>
                <w:rFonts w:hint="eastAsia" w:ascii="宋体" w:hAnsi="宋体" w:cs="微软雅黑"/>
                <w:color w:val="333333"/>
                <w:sz w:val="16"/>
                <w:szCs w:val="16"/>
              </w:rPr>
              <w:br w:type="textWrapping"/>
            </w:r>
            <w:r>
              <w:rPr>
                <w:rFonts w:hint="eastAsia" w:ascii="宋体" w:hAnsi="宋体" w:cs="微软雅黑"/>
                <w:color w:val="333333"/>
                <w:sz w:val="16"/>
                <w:szCs w:val="16"/>
              </w:rPr>
              <w:t xml:space="preserve">2.查询责任：制作协助查询单位账户通知书或者协助查询个人存款通知书。查询被审计单位账户的，按照审批流程报请审计机关负责人批准签发；查询个人账户的，按照审批流程报请审计机关主要负责人批准签发。审计机关派出两人以上的审计调查组到银行查询情况。 </w:t>
            </w:r>
            <w:r>
              <w:rPr>
                <w:rFonts w:hint="eastAsia" w:ascii="宋体" w:hAnsi="宋体" w:cs="微软雅黑"/>
                <w:color w:val="333333"/>
                <w:sz w:val="16"/>
                <w:szCs w:val="16"/>
              </w:rPr>
              <w:br w:type="textWrapping"/>
            </w:r>
            <w:r>
              <w:rPr>
                <w:rFonts w:hint="eastAsia" w:ascii="宋体" w:hAnsi="宋体" w:cs="微软雅黑"/>
                <w:color w:val="333333"/>
                <w:sz w:val="16"/>
                <w:szCs w:val="16"/>
              </w:rPr>
              <w:t xml:space="preserve">3.协查单位责任：审计人员持协查通知书实施查询，对相关资料进行抄录、复印、照相，但不得带走原件。取得有关证明材料且注明来源，并由相关金融机构盖章。对上述接收的资料涉密的，要严格按照保密管理规定进行管理。 </w:t>
            </w:r>
            <w:r>
              <w:rPr>
                <w:rFonts w:hint="eastAsia" w:ascii="宋体" w:hAnsi="宋体" w:cs="微软雅黑"/>
                <w:color w:val="333333"/>
                <w:sz w:val="16"/>
                <w:szCs w:val="16"/>
              </w:rPr>
              <w:br w:type="textWrapping"/>
            </w:r>
            <w:r>
              <w:rPr>
                <w:rFonts w:hint="eastAsia" w:ascii="宋体" w:hAnsi="宋体" w:cs="微软雅黑"/>
                <w:color w:val="333333"/>
                <w:sz w:val="16"/>
                <w:szCs w:val="16"/>
              </w:rPr>
              <w:t>4.其他：法律法规和规章规定应履行的责任。</w:t>
            </w:r>
          </w:p>
        </w:tc>
        <w:tc>
          <w:tcPr>
            <w:tcW w:w="8505" w:type="dxa"/>
            <w:tcBorders>
              <w:top w:val="outset" w:color="auto" w:sz="6" w:space="0"/>
              <w:left w:val="outset" w:color="auto" w:sz="6" w:space="0"/>
              <w:bottom w:val="outset" w:color="auto" w:sz="6" w:space="0"/>
              <w:right w:val="outset" w:color="auto" w:sz="6" w:space="0"/>
            </w:tcBorders>
            <w:vAlign w:val="center"/>
          </w:tcPr>
          <w:p>
            <w:pPr>
              <w:autoSpaceDN w:val="0"/>
              <w:spacing w:line="220" w:lineRule="exact"/>
              <w:rPr>
                <w:rFonts w:ascii="宋体" w:hAnsi="宋体" w:cs="微软雅黑"/>
                <w:color w:val="333333"/>
                <w:sz w:val="16"/>
                <w:szCs w:val="16"/>
              </w:rPr>
            </w:pPr>
            <w:r>
              <w:rPr>
                <w:rFonts w:hint="eastAsia" w:ascii="宋体" w:hAnsi="宋体" w:cs="微软雅黑"/>
                <w:color w:val="333333"/>
                <w:sz w:val="16"/>
                <w:szCs w:val="16"/>
              </w:rPr>
              <w:t xml:space="preserve"> 《行政处罚法》第三十七条　行政机关在调查或者进行检查时，执法人员不得少于两人，并应当向当事人或者有关人员出示证件。当事人或者有关人员应当如实回答询问，并协助调查或者检查，不得阻挠。询问或者检查应当制作笔录。</w:t>
            </w:r>
          </w:p>
          <w:p>
            <w:pPr>
              <w:autoSpaceDN w:val="0"/>
              <w:spacing w:line="220" w:lineRule="exact"/>
              <w:rPr>
                <w:rFonts w:ascii="宋体" w:hAnsi="宋体" w:cs="微软雅黑"/>
                <w:color w:val="333333"/>
                <w:sz w:val="16"/>
                <w:szCs w:val="16"/>
              </w:rPr>
            </w:pPr>
            <w:r>
              <w:rPr>
                <w:rFonts w:hint="eastAsia" w:ascii="宋体" w:hAnsi="宋体" w:cs="微软雅黑"/>
                <w:color w:val="333333"/>
                <w:sz w:val="16"/>
                <w:szCs w:val="16"/>
              </w:rPr>
              <w:t>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utoSpaceDN w:val="0"/>
              <w:spacing w:line="220" w:lineRule="exact"/>
              <w:rPr>
                <w:rFonts w:ascii="宋体" w:hAnsi="宋体" w:cs="微软雅黑"/>
                <w:color w:val="333333"/>
                <w:sz w:val="16"/>
                <w:szCs w:val="16"/>
              </w:rPr>
            </w:pPr>
            <w:r>
              <w:rPr>
                <w:rFonts w:hint="eastAsia" w:ascii="宋体" w:hAnsi="宋体" w:cs="微软雅黑"/>
                <w:color w:val="333333"/>
                <w:sz w:val="16"/>
                <w:szCs w:val="16"/>
              </w:rPr>
              <w:t>　　执法人员与当事人有直接利害关系的，应当回避。</w:t>
            </w:r>
            <w:r>
              <w:rPr>
                <w:rFonts w:hint="eastAsia" w:ascii="宋体" w:hAnsi="宋体" w:cs="微软雅黑"/>
                <w:color w:val="333333"/>
                <w:sz w:val="16"/>
                <w:szCs w:val="16"/>
              </w:rPr>
              <w:br w:type="textWrapping"/>
            </w:r>
            <w:r>
              <w:rPr>
                <w:rFonts w:hint="eastAsia" w:ascii="宋体" w:hAnsi="宋体" w:cs="微软雅黑"/>
                <w:color w:val="333333"/>
                <w:sz w:val="16"/>
                <w:szCs w:val="16"/>
              </w:rPr>
              <w:t>《财政违法行为处罚处分条例》（国务院令第427号）</w:t>
            </w:r>
            <w:r>
              <w:rPr>
                <w:rFonts w:hint="eastAsia" w:ascii="宋体" w:hAnsi="宋体" w:cs="微软雅黑"/>
                <w:b/>
                <w:bCs/>
                <w:color w:val="333333"/>
                <w:sz w:val="16"/>
                <w:szCs w:val="16"/>
              </w:rPr>
              <w:t>第二十二条</w:t>
            </w:r>
            <w:r>
              <w:rPr>
                <w:rFonts w:hint="eastAsia" w:ascii="宋体" w:hAnsi="宋体" w:cs="微软雅黑"/>
                <w:color w:val="333333"/>
                <w:sz w:val="16"/>
                <w:szCs w:val="16"/>
              </w:rPr>
              <w:t xml:space="preserve"> 财政部门、审计机关、监察机关依法进行调查或者检查时，经县级以上人民政府财政部门、审计机关、监察机关的负责人批准，可以向与被调查、检查单位有经济业务往来的单位查询有关情况，可以向金融机构查询被调查、检查单位的存款，有关单位和金融机构应当配合。</w:t>
            </w:r>
          </w:p>
          <w:p>
            <w:pPr>
              <w:autoSpaceDN w:val="0"/>
              <w:spacing w:line="220" w:lineRule="exact"/>
              <w:rPr>
                <w:rFonts w:ascii="宋体" w:hAnsi="宋体" w:cs="微软雅黑"/>
                <w:color w:val="333333"/>
                <w:sz w:val="16"/>
                <w:szCs w:val="16"/>
              </w:rPr>
            </w:pPr>
            <w:r>
              <w:rPr>
                <w:rFonts w:hint="eastAsia" w:ascii="宋体" w:hAnsi="宋体" w:cs="微软雅黑"/>
                <w:color w:val="333333"/>
                <w:sz w:val="16"/>
                <w:szCs w:val="16"/>
              </w:rPr>
              <w:t>财政部门、审计机关、监察机关在依法进行调查或者检查时，执法人员不得少于2人，并应当向当事人或者有关人员出示证件;查询存款时，还应当持有县级以上人民政府财政部门、审计机关、监察机关签发的查询存款通知书，并负有保密义务。</w:t>
            </w:r>
            <w:r>
              <w:rPr>
                <w:rFonts w:hint="eastAsia" w:ascii="宋体" w:hAnsi="宋体" w:cs="微软雅黑"/>
                <w:color w:val="333333"/>
                <w:sz w:val="16"/>
                <w:szCs w:val="16"/>
              </w:rPr>
              <w:br w:type="textWrapping"/>
            </w:r>
            <w:r>
              <w:rPr>
                <w:rFonts w:hint="eastAsia" w:ascii="宋体" w:hAnsi="宋体" w:cs="微软雅黑"/>
                <w:color w:val="333333"/>
                <w:sz w:val="16"/>
                <w:szCs w:val="16"/>
              </w:rPr>
              <w:t>《审计法实施条例》（国务院令第571号）</w:t>
            </w:r>
            <w:r>
              <w:rPr>
                <w:rFonts w:hint="eastAsia" w:ascii="宋体" w:hAnsi="宋体" w:cs="微软雅黑"/>
                <w:b/>
                <w:bCs/>
                <w:color w:val="333333"/>
                <w:sz w:val="16"/>
                <w:szCs w:val="16"/>
              </w:rPr>
              <w:t>第三十条</w:t>
            </w:r>
            <w:r>
              <w:rPr>
                <w:rFonts w:hint="eastAsia" w:ascii="宋体" w:hAnsi="宋体" w:cs="微软雅黑"/>
                <w:color w:val="333333"/>
                <w:sz w:val="16"/>
                <w:szCs w:val="16"/>
              </w:rPr>
              <w:t>　审计机关依照审计法第三十三条规定查询被审计单位在金融机构的账户的，应当持县级以上人民政府审计机关负责人签发的协助查询单位账户通知书；查询被审计单位以个人名义在金融机构的存款的，应当持县级以上人民政府审计机关主要负责人签发的协助查询个人存款通知书。有关金融机构应当予以协助，并提供证明材料，审计机关和审计人员负有保密义务。</w:t>
            </w:r>
            <w:r>
              <w:rPr>
                <w:rFonts w:hint="eastAsia" w:ascii="宋体" w:hAnsi="宋体" w:cs="微软雅黑"/>
                <w:color w:val="333333"/>
                <w:sz w:val="16"/>
                <w:szCs w:val="16"/>
              </w:rPr>
              <w:br w:type="textWrapping"/>
            </w:r>
            <w:r>
              <w:rPr>
                <w:rFonts w:hint="eastAsia" w:ascii="宋体" w:hAnsi="宋体" w:cs="微软雅黑"/>
                <w:color w:val="333333"/>
                <w:sz w:val="16"/>
                <w:szCs w:val="16"/>
              </w:rPr>
              <w:t>《关于审计机关查询被审计单位在金融机构账户和存款有关问题的通知》（审法发〔2006〕67号）二、审计机关查询单位账户或者个人存款应当严格履行审批程序。查询单位账户应当经县级以上人民政府审计机关（含省级以上人民政府审计机关派出机构，下同）负责人批准，签发《协助查询单位账户通知书》；查询个人存款应当取得相关的证明材料（主要涉及个人与被审计单位之间的关系、款项的来源、款项使用情况、相关当事人确认的以个人名义存储公款的调查记录等），以此认定被审计单位以个人名义存储公款，并经县级以上人民政府审计机关主要负责人批准，签发《协助查询个人存款通知书》。三、审计机关查询单位账户或者个人存款时，应当向有关金融机构送达《协助查询单位账户通知书》或者《协助查询个人存款通知书》。审计人员具体执行查询任务时，应当由两名以上审计人员参加，并出示审计人员的工作证件和审计通知书。四、审计机关查询单位账户，应当向有关金融机构提供被审计单位的账户名称及账号。对因群众举报等原因，审计机关无法提供被审计单位准确的账户名称或者账号的，应当向有关金融机构做出说明，由金融机构协助查询。查询个人存款应当向有关金融机构提供存款人的姓名、账号或者身份证件号码。</w:t>
            </w:r>
          </w:p>
          <w:p>
            <w:pPr>
              <w:autoSpaceDN w:val="0"/>
              <w:spacing w:line="220" w:lineRule="exact"/>
              <w:rPr>
                <w:rFonts w:ascii="宋体" w:hAnsi="宋体" w:cs="微软雅黑"/>
                <w:color w:val="333333"/>
                <w:sz w:val="16"/>
                <w:szCs w:val="16"/>
              </w:rPr>
            </w:pPr>
            <w:r>
              <w:rPr>
                <w:rFonts w:hint="eastAsia" w:ascii="宋体" w:hAnsi="宋体" w:cs="微软雅黑"/>
                <w:color w:val="333333"/>
                <w:sz w:val="16"/>
                <w:szCs w:val="16"/>
              </w:rPr>
              <w:t>六、审计机关查询单位账户或者个人存款时，可以对相关资料进行抄录、复印、照相，但不得带走原件。取得有关证明材料后，应当注明来源，并由提供证明材料的金融机构盖章。对金融机构提供的有关资料，审计机关及其审计人员应当保密。七、金融机构应当依法协助审计机关办理查询工作，如实提供相关资料，不得隐匿。金融机构协助复制存款资料等支付了成本费用的，可以按照相关规定向审计机关收取工本费。对审计机关查询单位账户或者个人存款的情况和内容，有关金融机构及其有关工作人员应当保密，不得告知被审计单位或者存款人。</w:t>
            </w:r>
          </w:p>
        </w:tc>
        <w:tc>
          <w:tcPr>
            <w:tcW w:w="342" w:type="dxa"/>
            <w:tcBorders>
              <w:top w:val="outset" w:color="auto" w:sz="6" w:space="0"/>
              <w:left w:val="outset" w:color="auto" w:sz="6" w:space="0"/>
              <w:bottom w:val="outset" w:color="auto" w:sz="6" w:space="0"/>
              <w:right w:val="nil"/>
            </w:tcBorders>
            <w:vAlign w:val="center"/>
          </w:tcPr>
          <w:p>
            <w:pPr>
              <w:autoSpaceDN w:val="0"/>
              <w:jc w:val="center"/>
              <w:rPr>
                <w:rFonts w:ascii="微软雅黑" w:hAnsi="微软雅黑" w:eastAsia="微软雅黑" w:cs="微软雅黑"/>
                <w:color w:val="333333"/>
                <w:sz w:val="18"/>
                <w:szCs w:val="18"/>
              </w:rPr>
            </w:pPr>
          </w:p>
        </w:tc>
      </w:tr>
    </w:tbl>
    <w:p>
      <w:pPr>
        <w:spacing w:line="280" w:lineRule="exact"/>
      </w:pPr>
      <w:bookmarkStart w:id="0" w:name="_GoBack"/>
      <w:bookmarkEnd w:id="0"/>
    </w:p>
    <w:sectPr>
      <w:pgSz w:w="16838" w:h="11906" w:orient="landscape"/>
      <w:pgMar w:top="1701" w:right="1304" w:bottom="1361"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C9447"/>
    <w:multiLevelType w:val="multilevel"/>
    <w:tmpl w:val="567C9447"/>
    <w:lvl w:ilvl="0" w:tentative="0">
      <w:start w:val="1"/>
      <w:numFmt w:val="decimal"/>
      <w:suff w:val="nothing"/>
      <w:lvlText w:val="%1."/>
      <w:lvlJc w:val="left"/>
      <w:pPr>
        <w:ind w:left="0" w:firstLine="0"/>
      </w:pPr>
      <w:rPr>
        <w:u w:val="none" w:color="000000"/>
      </w:rPr>
    </w:lvl>
    <w:lvl w:ilvl="1" w:tentative="0">
      <w:start w:val="1"/>
      <w:numFmt w:val="decimal"/>
      <w:lvlText w:val=""/>
      <w:lvlJc w:val="left"/>
      <w:pPr>
        <w:ind w:left="0" w:firstLine="0"/>
      </w:pPr>
      <w:rPr>
        <w:u w:val="none" w:color="000000"/>
      </w:rPr>
    </w:lvl>
    <w:lvl w:ilvl="2" w:tentative="0">
      <w:start w:val="1"/>
      <w:numFmt w:val="decimal"/>
      <w:lvlText w:val=""/>
      <w:lvlJc w:val="left"/>
      <w:pPr>
        <w:ind w:left="0" w:firstLine="0"/>
      </w:pPr>
      <w:rPr>
        <w:u w:val="none" w:color="000000"/>
      </w:rPr>
    </w:lvl>
    <w:lvl w:ilvl="3" w:tentative="0">
      <w:start w:val="1"/>
      <w:numFmt w:val="decimal"/>
      <w:lvlText w:val=""/>
      <w:lvlJc w:val="left"/>
      <w:pPr>
        <w:ind w:left="0" w:firstLine="0"/>
      </w:pPr>
      <w:rPr>
        <w:u w:val="none" w:color="000000"/>
      </w:rPr>
    </w:lvl>
    <w:lvl w:ilvl="4" w:tentative="0">
      <w:start w:val="1"/>
      <w:numFmt w:val="decimal"/>
      <w:lvlText w:val=""/>
      <w:lvlJc w:val="left"/>
      <w:pPr>
        <w:ind w:left="0" w:firstLine="0"/>
      </w:pPr>
      <w:rPr>
        <w:u w:val="none" w:color="000000"/>
      </w:rPr>
    </w:lvl>
    <w:lvl w:ilvl="5" w:tentative="0">
      <w:start w:val="1"/>
      <w:numFmt w:val="decimal"/>
      <w:lvlText w:val=""/>
      <w:lvlJc w:val="left"/>
      <w:pPr>
        <w:ind w:left="0" w:firstLine="0"/>
      </w:pPr>
      <w:rPr>
        <w:u w:val="none" w:color="000000"/>
      </w:rPr>
    </w:lvl>
    <w:lvl w:ilvl="6" w:tentative="0">
      <w:start w:val="1"/>
      <w:numFmt w:val="decimal"/>
      <w:lvlText w:val=""/>
      <w:lvlJc w:val="left"/>
      <w:pPr>
        <w:ind w:left="0" w:firstLine="0"/>
      </w:pPr>
      <w:rPr>
        <w:u w:val="none" w:color="000000"/>
      </w:rPr>
    </w:lvl>
    <w:lvl w:ilvl="7" w:tentative="0">
      <w:start w:val="1"/>
      <w:numFmt w:val="decimal"/>
      <w:lvlText w:val=""/>
      <w:lvlJc w:val="left"/>
      <w:pPr>
        <w:ind w:left="0" w:firstLine="0"/>
      </w:pPr>
      <w:rPr>
        <w:u w:val="none" w:color="000000"/>
      </w:rPr>
    </w:lvl>
    <w:lvl w:ilvl="8" w:tentative="0">
      <w:start w:val="1"/>
      <w:numFmt w:val="decimal"/>
      <w:lvlText w:val=""/>
      <w:lvlJc w:val="left"/>
      <w:pPr>
        <w:ind w:left="0" w:firstLine="0"/>
      </w:pPr>
      <w:rPr>
        <w:u w:val="none" w:color="000000"/>
      </w:rPr>
    </w:lvl>
  </w:abstractNum>
  <w:abstractNum w:abstractNumId="1">
    <w:nsid w:val="567C9A77"/>
    <w:multiLevelType w:val="multilevel"/>
    <w:tmpl w:val="567C9A77"/>
    <w:lvl w:ilvl="0" w:tentative="0">
      <w:start w:val="1"/>
      <w:numFmt w:val="decimal"/>
      <w:suff w:val="nothing"/>
      <w:lvlText w:val="%1."/>
      <w:lvlJc w:val="left"/>
      <w:pPr>
        <w:ind w:left="0" w:firstLine="0"/>
      </w:pPr>
      <w:rPr>
        <w:u w:val="none" w:color="000000"/>
      </w:rPr>
    </w:lvl>
    <w:lvl w:ilvl="1" w:tentative="0">
      <w:start w:val="1"/>
      <w:numFmt w:val="decimal"/>
      <w:lvlText w:val=""/>
      <w:lvlJc w:val="left"/>
      <w:pPr>
        <w:ind w:left="0" w:firstLine="0"/>
      </w:pPr>
      <w:rPr>
        <w:u w:val="none" w:color="000000"/>
      </w:rPr>
    </w:lvl>
    <w:lvl w:ilvl="2" w:tentative="0">
      <w:start w:val="1"/>
      <w:numFmt w:val="decimal"/>
      <w:lvlText w:val=""/>
      <w:lvlJc w:val="left"/>
      <w:pPr>
        <w:ind w:left="0" w:firstLine="0"/>
      </w:pPr>
      <w:rPr>
        <w:u w:val="none" w:color="000000"/>
      </w:rPr>
    </w:lvl>
    <w:lvl w:ilvl="3" w:tentative="0">
      <w:start w:val="1"/>
      <w:numFmt w:val="decimal"/>
      <w:lvlText w:val=""/>
      <w:lvlJc w:val="left"/>
      <w:pPr>
        <w:ind w:left="0" w:firstLine="0"/>
      </w:pPr>
      <w:rPr>
        <w:u w:val="none" w:color="000000"/>
      </w:rPr>
    </w:lvl>
    <w:lvl w:ilvl="4" w:tentative="0">
      <w:start w:val="1"/>
      <w:numFmt w:val="decimal"/>
      <w:lvlText w:val=""/>
      <w:lvlJc w:val="left"/>
      <w:pPr>
        <w:ind w:left="0" w:firstLine="0"/>
      </w:pPr>
      <w:rPr>
        <w:u w:val="none" w:color="000000"/>
      </w:rPr>
    </w:lvl>
    <w:lvl w:ilvl="5" w:tentative="0">
      <w:start w:val="1"/>
      <w:numFmt w:val="decimal"/>
      <w:lvlText w:val=""/>
      <w:lvlJc w:val="left"/>
      <w:pPr>
        <w:ind w:left="0" w:firstLine="0"/>
      </w:pPr>
      <w:rPr>
        <w:u w:val="none" w:color="000000"/>
      </w:rPr>
    </w:lvl>
    <w:lvl w:ilvl="6" w:tentative="0">
      <w:start w:val="1"/>
      <w:numFmt w:val="decimal"/>
      <w:lvlText w:val=""/>
      <w:lvlJc w:val="left"/>
      <w:pPr>
        <w:ind w:left="0" w:firstLine="0"/>
      </w:pPr>
      <w:rPr>
        <w:u w:val="none" w:color="000000"/>
      </w:rPr>
    </w:lvl>
    <w:lvl w:ilvl="7" w:tentative="0">
      <w:start w:val="1"/>
      <w:numFmt w:val="decimal"/>
      <w:lvlText w:val=""/>
      <w:lvlJc w:val="left"/>
      <w:pPr>
        <w:ind w:left="0" w:firstLine="0"/>
      </w:pPr>
      <w:rPr>
        <w:u w:val="none" w:color="000000"/>
      </w:rPr>
    </w:lvl>
    <w:lvl w:ilvl="8" w:tentative="0">
      <w:start w:val="1"/>
      <w:numFmt w:val="decimal"/>
      <w:lvlText w:val=""/>
      <w:lvlJc w:val="left"/>
      <w:pPr>
        <w:ind w:left="0" w:firstLine="0"/>
      </w:pPr>
      <w:rPr>
        <w:u w:val="none" w:color="000000"/>
      </w:rPr>
    </w:lvl>
  </w:abstractNum>
  <w:abstractNum w:abstractNumId="2">
    <w:nsid w:val="567CB1A5"/>
    <w:multiLevelType w:val="multilevel"/>
    <w:tmpl w:val="567CB1A5"/>
    <w:lvl w:ilvl="0" w:tentative="0">
      <w:start w:val="1"/>
      <w:numFmt w:val="decimal"/>
      <w:suff w:val="nothing"/>
      <w:lvlText w:val="%1."/>
      <w:lvlJc w:val="left"/>
      <w:pPr>
        <w:ind w:left="0" w:firstLine="0"/>
      </w:pPr>
      <w:rPr>
        <w:u w:val="none" w:color="000000"/>
      </w:r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num w:numId="1">
    <w:abstractNumId w:val="0"/>
    <w:lvlOverride w:ilvl="0">
      <w:startOverride w:val="1"/>
    </w:lvlOverride>
  </w:num>
  <w:num w:numId="2">
    <w:abstractNumId w:val="2"/>
    <w:lvlOverride w:ilvl="0">
      <w:startOverride w:val="1"/>
    </w:lvlOverride>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7101"/>
    <w:rsid w:val="02B446B4"/>
    <w:rsid w:val="04A1046A"/>
    <w:rsid w:val="095A375D"/>
    <w:rsid w:val="18031939"/>
    <w:rsid w:val="189D0D19"/>
    <w:rsid w:val="1D7C4F6F"/>
    <w:rsid w:val="1F6562D9"/>
    <w:rsid w:val="23144E6F"/>
    <w:rsid w:val="27074EF7"/>
    <w:rsid w:val="2DC24E14"/>
    <w:rsid w:val="369025A8"/>
    <w:rsid w:val="387B5AD6"/>
    <w:rsid w:val="3AEC3E50"/>
    <w:rsid w:val="3E5A279F"/>
    <w:rsid w:val="456046AE"/>
    <w:rsid w:val="460031DA"/>
    <w:rsid w:val="4A9C1CB9"/>
    <w:rsid w:val="4B8623EF"/>
    <w:rsid w:val="52196DB4"/>
    <w:rsid w:val="570E3AF8"/>
    <w:rsid w:val="5770100D"/>
    <w:rsid w:val="5A246976"/>
    <w:rsid w:val="5C053346"/>
    <w:rsid w:val="5CB02C0E"/>
    <w:rsid w:val="5FC14D39"/>
    <w:rsid w:val="632A65F0"/>
    <w:rsid w:val="638A2CE3"/>
    <w:rsid w:val="6E5E08A5"/>
    <w:rsid w:val="72500943"/>
    <w:rsid w:val="777B488B"/>
    <w:rsid w:val="782D4F0F"/>
    <w:rsid w:val="7BF81900"/>
  </w:rsids>
  <m:mathPr>
    <m:lMargin m:val="0"/>
    <m:rMargin m:val="0"/>
    <m:wrapIndent m:val="1440"/>
    <m:brkBin m:val="before"/>
    <m:brkBinSub m:val="--"/>
    <m:defJc m:val="centerGroup"/>
    <m:intLim m:val="subSup"/>
    <m:naryLim m:val="undOvr"/>
    <m:smallFrac m:val="0"/>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宋体"/>
      <w:kern w:val="2"/>
      <w:sz w:val="21"/>
      <w:szCs w:val="21"/>
      <w:lang w:val="en-US" w:eastAsia="zh-CN" w:bidi="ar-SA"/>
    </w:rPr>
  </w:style>
  <w:style w:type="character" w:default="1" w:styleId="5">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3"/>
    <w:unhideWhenUsed/>
    <w:qFormat/>
    <w:uiPriority w:val="0"/>
    <w:pPr>
      <w:tabs>
        <w:tab w:val="center" w:pos="4153"/>
        <w:tab w:val="right" w:pos="8306"/>
      </w:tabs>
      <w:snapToGrid w:val="0"/>
      <w:jc w:val="left"/>
    </w:pPr>
    <w:rPr>
      <w:sz w:val="18"/>
      <w:szCs w:val="18"/>
    </w:rPr>
  </w:style>
  <w:style w:type="paragraph" w:styleId="3">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pPr>
    <w:rPr>
      <w:kern w:val="0"/>
      <w:sz w:val="24"/>
      <w:szCs w:val="24"/>
      <w:lang w:val="en-US" w:eastAsia="zh-CN" w:bidi="ar"/>
    </w:rPr>
  </w:style>
  <w:style w:type="character" w:styleId="6">
    <w:name w:val="Strong"/>
    <w:basedOn w:val="5"/>
    <w:qFormat/>
    <w:uiPriority w:val="22"/>
    <w:rPr>
      <w:b/>
      <w:color w:val="3A74C5"/>
      <w:sz w:val="18"/>
      <w:szCs w:val="18"/>
      <w:u w:val="single"/>
      <w:vertAlign w:val="baseline"/>
    </w:rPr>
  </w:style>
  <w:style w:type="character" w:styleId="7">
    <w:name w:val="FollowedHyperlink"/>
    <w:basedOn w:val="5"/>
    <w:unhideWhenUsed/>
    <w:qFormat/>
    <w:uiPriority w:val="0"/>
    <w:rPr>
      <w:color w:val="007BC4"/>
      <w:sz w:val="24"/>
      <w:szCs w:val="24"/>
      <w:u w:val="none"/>
      <w:vertAlign w:val="baseline"/>
    </w:rPr>
  </w:style>
  <w:style w:type="character" w:styleId="8">
    <w:name w:val="Emphasis"/>
    <w:basedOn w:val="5"/>
    <w:qFormat/>
    <w:uiPriority w:val="20"/>
    <w:rPr>
      <w:i/>
      <w:sz w:val="24"/>
      <w:szCs w:val="24"/>
      <w:vertAlign w:val="baseline"/>
    </w:rPr>
  </w:style>
  <w:style w:type="character" w:styleId="9">
    <w:name w:val="Hyperlink"/>
    <w:basedOn w:val="5"/>
    <w:unhideWhenUsed/>
    <w:qFormat/>
    <w:uiPriority w:val="0"/>
    <w:rPr>
      <w:color w:val="007BC4"/>
      <w:sz w:val="24"/>
      <w:szCs w:val="24"/>
      <w:u w:val="none"/>
      <w:vertAlign w:val="baseline"/>
    </w:rPr>
  </w:style>
  <w:style w:type="character" w:styleId="10">
    <w:name w:val="HTML Code"/>
    <w:basedOn w:val="5"/>
    <w:unhideWhenUsed/>
    <w:qFormat/>
    <w:uiPriority w:val="0"/>
    <w:rPr>
      <w:rFonts w:ascii="Courier New" w:hAnsi="Courier New"/>
      <w:sz w:val="24"/>
      <w:szCs w:val="24"/>
      <w:vertAlign w:val="baseline"/>
    </w:rPr>
  </w:style>
  <w:style w:type="character" w:customStyle="1" w:styleId="12">
    <w:name w:val="页眉 Char"/>
    <w:basedOn w:val="5"/>
    <w:link w:val="3"/>
    <w:qFormat/>
    <w:uiPriority w:val="0"/>
    <w:rPr>
      <w:rFonts w:cs="宋体"/>
      <w:kern w:val="2"/>
      <w:sz w:val="18"/>
      <w:szCs w:val="18"/>
    </w:rPr>
  </w:style>
  <w:style w:type="character" w:customStyle="1" w:styleId="13">
    <w:name w:val="页脚 Char"/>
    <w:basedOn w:val="5"/>
    <w:link w:val="2"/>
    <w:qFormat/>
    <w:uiPriority w:val="0"/>
    <w:rPr>
      <w:rFonts w:cs="宋体"/>
      <w:kern w:val="2"/>
      <w:sz w:val="18"/>
      <w:szCs w:val="18"/>
    </w:rPr>
  </w:style>
  <w:style w:type="character" w:customStyle="1" w:styleId="14">
    <w:name w:val="prev_disabled"/>
    <w:basedOn w:val="5"/>
    <w:qFormat/>
    <w:uiPriority w:val="0"/>
    <w:rPr>
      <w:rFonts w:ascii="宋体" w:hAnsi="宋体" w:eastAsia="宋体" w:cs="宋体"/>
      <w:b/>
      <w:color w:val="CCCCCC"/>
      <w:u w:val="none"/>
      <w:bdr w:val="single" w:color="EDEDED"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3917</Words>
  <Characters>22331</Characters>
  <Lines>186</Lines>
  <Paragraphs>52</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2015-12-28T09:31:00Z</dcterms:created>
  <dc:creator>lenovo-1</dc:creator>
  <cp:lastModifiedBy>Administrator</cp:lastModifiedBy>
  <cp:lastPrinted>2015-12-29T02:23:00Z</cp:lastPrinted>
  <dcterms:modified xsi:type="dcterms:W3CDTF">2021-04-22T08:15:44Z</dcterms:modified>
  <dc:title>运城市审计局行政权力清单和责任清单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