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运城市行政审批服务管理局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2020年预算公开情况说明</w:t>
      </w:r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2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执行党中央、国务院和省委、省政府关于行政审批、政务改革、政务服务、政务信息管理和公共资源交易的方针政策、法律法规及市委、市政府的决策部署。统筹指导、协调、监督、推进全市各级政务服务、公共资源交易体系建设及全市政务改革和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负责组织开展全市政务改革和管理有关重大和长远问题的调查研究，起草相关规范性文件，组织各级各部门落实市委、市政府重要领域、关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键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环节的重大政务改革举措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推进全市政务服务体系和政务服务标准化建设，拟订审批服务运行评价标准，建立相应考核评价机制。负责优化简化线上线下政务服务流程，梳理编制公布“马上办网上办、就近办、一次办”事项清单，对政务服务事项实行清单化管理，规范政务服务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负责组织推进全市行政审批制度改革工作，承担市级行政审批制度改革具体工作。负责推进市级相对集中行政许可权改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工作，探索推行“大厅之外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审批”“一枚印章管审批”。指导全市推进相对集中行政许可权改革试点等行政审批改革工作。承担相关便民服务管理职责。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负责统筹协调、指导、监督、推进全市公共资源交易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作，组织指导全市公共资源交易体系建设。统筹推进全市公共资源交易平台建设。负责编制全市公共资源交易、政府采购目录。负责整合建设和管理全市统一的综合评标专家库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负责拟订行政审批、公共服务、公共资源交易中介服务标准体系，清理规范中介服务事项和机构。负责对进入市级政务服务平台和公共资源交易平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</w:rPr>
        <w:t>中介服务机构的管理、监督工作。负责建设全市中介服务网上交易平台。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负责统筹推进全市“互联网+政务服务”工作。负责全市一体化在线政务服务平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建设。承担市级在线政务服务平台的管理、维护工作。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拟订并组织实施全市政务大数据发展应用规划和政策措施。负责推进全市政务信息系统集约建设运维、政府各部门业务协同和政务数据资源融合共享。负责建立完善数据开放平台和标准体系，推动政府数据开放共享利用。承担“政务云”平台建设，建立“政务上云”制度、标准体系。负责统一管理政务数据，统筹规划全市政务服务网络建设，统筹管理市直部门政务信息系统建设项目和资金，推动实现全市城“一平台、一张网、一个库”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统筹推进全市政务服务平台“互联网+监管”体系建设。负责整合各类监管信息资源，汇集全市各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门监管业务结果数据。负责对市政府有关部门及其所属单位开展行政审批、公共服务、公共资源交易等工作的行政效能监察。承办、转办和督办行政审批、公共服务和公共资源交易相关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诉举报，组织开展绩效考核。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承担市人民政府优化营商环境相关职责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承担我市推进政府职能转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和“放管服效”改革协调小组办公室日常工作;承担全市“放管服效”改革相关工作。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完成市委市或府交办的其他任务。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职能转变。根据法律法规和行政审批制度改革有关规定，负责在市政务大厅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探索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“一枚印章管审批”对审批事项进行精简、归并、优化重组，以企业和群众办好“一件事”为标准，优化再造审批流程，提升审批效率，从机制上解决行政审批互为前置等问題，对各类审批事项，由所涉部门审批人员、首席代表审批、签字后，统一加盖“运城市行政审批服务管理局行政审批专用章”，取代各部门审批专用章各审批部门对相关资料的真实性、合法性负责。负责推动“最多跑一次”“一次不用跑”改革。负责推进“一网通办”“全程网办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等工作，指导、监督全市政务公开和政府信息公开工作。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市委编办有关职责分工。市委编办负责组织推进和完善政府部门权责清单制度，统筹协调权责清单管理和执行情况监督。市行政审批服务管理局配合推进和完善权责清单制度，具体承担市级权责清单梳理规范、动态调整等相关管理工作，对全市权责清单管理工作进行指导。</w:t>
      </w:r>
    </w:p>
    <w:p>
      <w:pPr>
        <w:spacing w:line="580" w:lineRule="exac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5"/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二、部门预算单位机构设置情况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在编人数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人。内设科室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18个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办公室、人事教育科、财务审计和费管科、政务改革科、互联网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+监管、运行监管科、规划管理科、投资项目科、生态环境科、建设工程和公用事业科、登记注册科、社会事务科、市场管理科、文化教育卫生科、农业农村和水务科、交通运输科、资质认定科、现场勘验科。</w:t>
      </w:r>
    </w:p>
    <w:p>
      <w:pPr>
        <w:spacing w:line="580" w:lineRule="exact"/>
        <w:ind w:firstLine="645"/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三、部门预算收支情况说明</w:t>
      </w:r>
    </w:p>
    <w:p>
      <w:pPr>
        <w:spacing w:line="580" w:lineRule="exact"/>
        <w:ind w:firstLine="645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1、2020年预算收入、支出比2019年增减情况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2020年收入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142.99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万元，2019年收入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万元。与2019年相比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增加。增加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的原因主要是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人员跟专项增加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。2020年支出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142.99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万元，2019年支出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万元。与2019年相比单位支出总体增加。增加的原因主要是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人员跟专项增加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5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2、“三公经费”预算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2020年度“三公经费”预算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万元，与2019年预算有所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的原因主要是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单位为新成立单位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。其中因公出国（境）费用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万元，较上年预算有所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，主要用于因公出国（境）等，公务接待费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万元，较上年预算有所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；公务用车运行维护费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万元，较上年预算持平；公务用车购置费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万元，较上年预算持平。</w:t>
      </w:r>
    </w:p>
    <w:p>
      <w:pPr>
        <w:spacing w:line="580" w:lineRule="exact"/>
        <w:ind w:firstLine="63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3、机关运行经费情况</w:t>
      </w:r>
    </w:p>
    <w:p>
      <w:pPr>
        <w:spacing w:line="58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2020年度机关运行经费财政拨款预算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8.01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万元，较2019年预算增加。增加的原因主要是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人员跟专项增加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3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4、政府采购执行情况</w:t>
      </w:r>
    </w:p>
    <w:p>
      <w:pPr>
        <w:spacing w:line="58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运城市行政审批服务管理局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政府采购预算总额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万元，其中，政府采购货物预算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万元；政府采购工程预算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万元；政府采购服务预算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80" w:lineRule="exact"/>
        <w:ind w:firstLine="63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5、国有资产占用情况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截至2019年12月31日，本部门共有车辆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辆，其中，领导公务用车保障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辆，一般公务用车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辆、一般执法执勤用车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辆。</w:t>
      </w:r>
    </w:p>
    <w:p>
      <w:pPr>
        <w:spacing w:line="580" w:lineRule="exact"/>
        <w:ind w:firstLine="63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6、项目支出绩效目标情况</w:t>
      </w:r>
    </w:p>
    <w:p>
      <w:pPr>
        <w:spacing w:line="580" w:lineRule="exact"/>
        <w:ind w:firstLine="63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2020年度本部门共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个项目设定绩效目标，共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80" w:lineRule="exact"/>
        <w:ind w:firstLine="629" w:firstLineChars="196"/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四、名词解释</w:t>
      </w:r>
    </w:p>
    <w:p>
      <w:pPr>
        <w:spacing w:line="58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（一）基本支出：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指为保障机构正常运转、完成日常工作任务而发生的人员支出和公用支出。</w:t>
      </w:r>
    </w:p>
    <w:p>
      <w:pPr>
        <w:spacing w:line="580" w:lineRule="exact"/>
        <w:ind w:firstLine="630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（二）项目支出：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指在基本支出之外为完成特定行政任</w:t>
      </w:r>
      <w:bookmarkStart w:id="0" w:name="_GoBack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务和事业发展目标所发生的支出。</w:t>
      </w:r>
    </w:p>
    <w:bookmarkEnd w:id="0"/>
    <w:p>
      <w:pPr>
        <w:spacing w:line="58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（三）“三公”经费：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市直部门用一般公共预算安排的因公出国（境）费、公务用车购置及运行费和公务接待费。其中，因公出国（境）费反映单位公务出国（境）的国际旅费、国外城市间交通费、住宿费、伙食费、培训费、公杂费等支出；公务用车购置费反映公务用车车辆购置支出（含车辆购置税）；公务用车运行维护费反映单位按规定保留的公</w:t>
      </w:r>
      <w:r>
        <w:rPr>
          <w:rFonts w:hint="eastAsia" w:ascii="仿宋_GB2312" w:hAnsi="仿宋" w:eastAsia="仿宋_GB2312"/>
          <w:sz w:val="32"/>
          <w:szCs w:val="32"/>
        </w:rPr>
        <w:t>务用车燃料费、维修费、过路过桥费、保险费等支出；公务接待费反映单位按规定开支的各类公务接待支出。</w:t>
      </w:r>
    </w:p>
    <w:p>
      <w:pPr>
        <w:spacing w:line="58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（四）机关运行经费：</w:t>
      </w:r>
      <w:r>
        <w:rPr>
          <w:rFonts w:hint="eastAsia" w:ascii="仿宋_GB2312" w:hAnsi="仿宋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C246B7"/>
    <w:multiLevelType w:val="singleLevel"/>
    <w:tmpl w:val="C1C246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A62"/>
    <w:rsid w:val="00AC5A62"/>
    <w:rsid w:val="00D07FBE"/>
    <w:rsid w:val="BB1E1101"/>
    <w:rsid w:val="BEA79539"/>
    <w:rsid w:val="C3CD5C59"/>
    <w:rsid w:val="DF232956"/>
    <w:rsid w:val="FF57D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932</Characters>
  <Lines>7</Lines>
  <Paragraphs>2</Paragraphs>
  <TotalTime>2</TotalTime>
  <ScaleCrop>false</ScaleCrop>
  <LinksUpToDate>false</LinksUpToDate>
  <CharactersWithSpaces>1093</CharactersWithSpaces>
  <Application>WPS Office_10.1.0.7804_F1E327BC-269C-435d-A152-05C5408002CA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2020-05-12T16:14:00Z</dcterms:created>
  <dc:creator>Windows 用户</dc:creator>
  <cp:lastModifiedBy>greatwall</cp:lastModifiedBy>
  <cp:lastPrinted>2020-05-13T09:11:45Z</cp:lastPrinted>
  <dcterms:modified xsi:type="dcterms:W3CDTF">2020-05-13T11:09:47Z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2052-10.1.0.7804</vt:lpwstr>
  </property>
</Properties>
</file>