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eastAsia" w:ascii="微软雅黑" w:hAnsi="微软雅黑" w:eastAsia="微软雅黑" w:cs="微软雅黑"/>
          <w:color w:val="333333"/>
          <w:sz w:val="45"/>
          <w:szCs w:val="45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运城市2020年</w:t>
      </w:r>
      <w:r>
        <w:rPr>
          <w:rFonts w:hint="eastAsia"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省级以工代赈资金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分配结果公告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根据山西省扶贫开发办公室 山西省财政厅《关于印发&lt;山西省扶贫资金项目公告公示制度&gt;的通知》（晋开发办〔2018〕49号）要求，现将2020年财政扶贫专项资金（第一批）分配结果公告如下：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根据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省财政厅《关于提前下达2020年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省级以工代赈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资金预算指标的通知》（晋财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建一〔201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〕259号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文件精神，现下达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非直管县万荣县、垣曲县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2020年省级以工代赈资金预算指标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1202万元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（省级资金），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以工代赈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支出方向。其中：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万荣县573万元；垣曲县629万元。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投诉监督单位名称和地址：运城市财政局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 xml:space="preserve">联系电话及电子邮箱： 0359-2665839 ycsczjnyk@163.com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全国扶贫监督举报电话：12317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          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2019年12月30日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71CBE"/>
    <w:rsid w:val="4404774C"/>
    <w:rsid w:val="78171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2020-11-30T01:33:00Z</dcterms:created>
  <dc:creator>形式而已</dc:creator>
  <cp:lastModifiedBy>形式而已</cp:lastModifiedBy>
  <dcterms:modified xsi:type="dcterms:W3CDTF">2020-11-30T01:47:35Z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