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-3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82"/>
        <w:gridCol w:w="1284"/>
        <w:gridCol w:w="3438"/>
        <w:gridCol w:w="1271"/>
        <w:gridCol w:w="1186"/>
        <w:gridCol w:w="1258"/>
        <w:gridCol w:w="1411"/>
        <w:gridCol w:w="1446"/>
        <w:gridCol w:w="1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60" w:hRule="atLeast"/>
        </w:trPr>
        <w:tc>
          <w:tcPr>
            <w:tcW w:w="14029" w:type="dxa"/>
            <w:gridSpan w:val="9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  <w:t>随机抽查事项清单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5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抽查事项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检查依据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检查内容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检查方式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适用对象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抽查比例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抽查频次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0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对统计工作的监督检查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《中华人民共和国统计法》第五章第三十三条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《中华人民共和国统计法》第四十一条所列行为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现场检查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国家机关、企事业单位、其他组织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10%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每年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1次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0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Calibri" w:hAnsi="宋体"/>
                <w:b w:val="0"/>
                <w:i w:val="0"/>
                <w:snapToGrid/>
                <w:color w:val="000000"/>
                <w:sz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0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446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0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Calibri" w:hAnsi="宋体"/>
                <w:b w:val="0"/>
                <w:i w:val="0"/>
                <w:snapToGrid/>
                <w:color w:val="000000"/>
                <w:sz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0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Calibri" w:hAnsi="宋体"/>
                <w:b w:val="0"/>
                <w:i w:val="0"/>
                <w:snapToGrid/>
                <w:color w:val="000000"/>
                <w:sz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0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E5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2020-08-14T04:15:55Z</dcterms:created>
  <dc:creator>Administrator</dc:creator>
  <cp:lastModifiedBy>Administrator</cp:lastModifiedBy>
  <dcterms:modified xsi:type="dcterms:W3CDTF">2020-08-14T04:16:16Z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