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89" w:type="dxa"/>
        <w:tblInd w:w="-106" w:type="dxa"/>
        <w:tblLayout w:type="fixed"/>
        <w:tblCellMar>
          <w:top w:w="0" w:type="dxa"/>
          <w:left w:w="15" w:type="dxa"/>
          <w:bottom w:w="0" w:type="dxa"/>
          <w:right w:w="15" w:type="dxa"/>
        </w:tblCellMar>
      </w:tblPr>
      <w:tblGrid>
        <w:gridCol w:w="924"/>
        <w:gridCol w:w="1287"/>
        <w:gridCol w:w="139"/>
        <w:gridCol w:w="870"/>
        <w:gridCol w:w="343"/>
        <w:gridCol w:w="716"/>
        <w:gridCol w:w="1058"/>
        <w:gridCol w:w="1015"/>
        <w:gridCol w:w="1077"/>
        <w:gridCol w:w="1035"/>
        <w:gridCol w:w="1151"/>
        <w:gridCol w:w="1037"/>
        <w:gridCol w:w="1124"/>
        <w:gridCol w:w="1141"/>
        <w:gridCol w:w="1072"/>
      </w:tblGrid>
      <w:tr>
        <w:tblPrEx>
          <w:tblLayout w:type="fixed"/>
          <w:tblCellMar>
            <w:top w:w="0" w:type="dxa"/>
            <w:left w:w="15" w:type="dxa"/>
            <w:bottom w:w="0" w:type="dxa"/>
            <w:right w:w="15" w:type="dxa"/>
          </w:tblCellMar>
        </w:tblPrEx>
        <w:trPr>
          <w:trHeight w:val="753" w:hRule="atLeast"/>
        </w:trPr>
        <w:tc>
          <w:tcPr>
            <w:tcW w:w="924" w:type="dxa"/>
            <w:vAlign w:val="center"/>
          </w:tcPr>
          <w:p>
            <w:pPr>
              <w:autoSpaceDN w:val="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附件4</w:t>
            </w:r>
          </w:p>
        </w:tc>
        <w:tc>
          <w:tcPr>
            <w:tcW w:w="1287" w:type="dxa"/>
            <w:vAlign w:val="center"/>
          </w:tcPr>
          <w:p>
            <w:pPr>
              <w:autoSpaceDN w:val="0"/>
              <w:jc w:val="left"/>
              <w:textAlignment w:val="center"/>
              <w:rPr>
                <w:rFonts w:hint="eastAsia" w:ascii="仿宋_GB2312" w:hAnsi="仿宋_GB2312" w:eastAsia="仿宋_GB2312" w:cs="仿宋_GB2312"/>
                <w:color w:val="000000"/>
                <w:sz w:val="32"/>
                <w:szCs w:val="32"/>
              </w:rPr>
            </w:pPr>
          </w:p>
        </w:tc>
        <w:tc>
          <w:tcPr>
            <w:tcW w:w="1009" w:type="dxa"/>
            <w:gridSpan w:val="2"/>
            <w:vAlign w:val="center"/>
          </w:tcPr>
          <w:p>
            <w:pPr>
              <w:autoSpaceDN w:val="0"/>
              <w:jc w:val="left"/>
              <w:textAlignment w:val="center"/>
              <w:rPr>
                <w:rFonts w:ascii="宋体" w:hAnsi="宋体"/>
                <w:color w:val="000000"/>
                <w:sz w:val="24"/>
              </w:rPr>
            </w:pPr>
          </w:p>
        </w:tc>
        <w:tc>
          <w:tcPr>
            <w:tcW w:w="1059" w:type="dxa"/>
            <w:gridSpan w:val="2"/>
            <w:vAlign w:val="center"/>
          </w:tcPr>
          <w:p>
            <w:pPr>
              <w:autoSpaceDN w:val="0"/>
              <w:jc w:val="left"/>
              <w:textAlignment w:val="center"/>
              <w:rPr>
                <w:rFonts w:ascii="宋体" w:hAnsi="宋体"/>
                <w:color w:val="000000"/>
                <w:sz w:val="24"/>
              </w:rPr>
            </w:pPr>
          </w:p>
        </w:tc>
        <w:tc>
          <w:tcPr>
            <w:tcW w:w="1058" w:type="dxa"/>
            <w:vAlign w:val="center"/>
          </w:tcPr>
          <w:p>
            <w:pPr>
              <w:autoSpaceDN w:val="0"/>
              <w:jc w:val="left"/>
              <w:textAlignment w:val="center"/>
              <w:rPr>
                <w:rFonts w:ascii="宋体" w:hAnsi="宋体"/>
                <w:color w:val="000000"/>
                <w:sz w:val="24"/>
              </w:rPr>
            </w:pPr>
          </w:p>
        </w:tc>
        <w:tc>
          <w:tcPr>
            <w:tcW w:w="1015" w:type="dxa"/>
            <w:vAlign w:val="center"/>
          </w:tcPr>
          <w:p>
            <w:pPr>
              <w:autoSpaceDN w:val="0"/>
              <w:jc w:val="left"/>
              <w:textAlignment w:val="center"/>
              <w:rPr>
                <w:rFonts w:ascii="宋体" w:hAnsi="宋体"/>
                <w:color w:val="000000"/>
                <w:sz w:val="24"/>
              </w:rPr>
            </w:pPr>
          </w:p>
        </w:tc>
        <w:tc>
          <w:tcPr>
            <w:tcW w:w="1077" w:type="dxa"/>
            <w:vAlign w:val="center"/>
          </w:tcPr>
          <w:p>
            <w:pPr>
              <w:autoSpaceDN w:val="0"/>
              <w:jc w:val="left"/>
              <w:textAlignment w:val="center"/>
              <w:rPr>
                <w:rFonts w:ascii="宋体" w:hAnsi="宋体"/>
                <w:color w:val="000000"/>
                <w:sz w:val="24"/>
              </w:rPr>
            </w:pPr>
          </w:p>
        </w:tc>
        <w:tc>
          <w:tcPr>
            <w:tcW w:w="1035" w:type="dxa"/>
            <w:vAlign w:val="center"/>
          </w:tcPr>
          <w:p>
            <w:pPr>
              <w:autoSpaceDN w:val="0"/>
              <w:jc w:val="left"/>
              <w:textAlignment w:val="center"/>
              <w:rPr>
                <w:rFonts w:ascii="宋体" w:hAnsi="宋体"/>
                <w:color w:val="000000"/>
                <w:sz w:val="24"/>
              </w:rPr>
            </w:pPr>
          </w:p>
        </w:tc>
        <w:tc>
          <w:tcPr>
            <w:tcW w:w="1151" w:type="dxa"/>
            <w:vAlign w:val="center"/>
          </w:tcPr>
          <w:p>
            <w:pPr>
              <w:autoSpaceDN w:val="0"/>
              <w:jc w:val="left"/>
              <w:textAlignment w:val="center"/>
              <w:rPr>
                <w:rFonts w:ascii="宋体" w:hAnsi="宋体"/>
                <w:color w:val="000000"/>
                <w:sz w:val="24"/>
              </w:rPr>
            </w:pPr>
          </w:p>
        </w:tc>
        <w:tc>
          <w:tcPr>
            <w:tcW w:w="1037" w:type="dxa"/>
            <w:vAlign w:val="center"/>
          </w:tcPr>
          <w:p>
            <w:pPr>
              <w:autoSpaceDN w:val="0"/>
              <w:jc w:val="left"/>
              <w:textAlignment w:val="center"/>
              <w:rPr>
                <w:rFonts w:ascii="宋体" w:hAnsi="宋体"/>
                <w:color w:val="000000"/>
                <w:sz w:val="24"/>
              </w:rPr>
            </w:pPr>
          </w:p>
        </w:tc>
        <w:tc>
          <w:tcPr>
            <w:tcW w:w="1124" w:type="dxa"/>
            <w:vAlign w:val="center"/>
          </w:tcPr>
          <w:p>
            <w:pPr>
              <w:autoSpaceDN w:val="0"/>
              <w:jc w:val="left"/>
              <w:textAlignment w:val="center"/>
              <w:rPr>
                <w:rFonts w:ascii="宋体" w:hAnsi="宋体"/>
                <w:color w:val="000000"/>
                <w:sz w:val="24"/>
              </w:rPr>
            </w:pPr>
          </w:p>
        </w:tc>
        <w:tc>
          <w:tcPr>
            <w:tcW w:w="1141" w:type="dxa"/>
            <w:vAlign w:val="center"/>
          </w:tcPr>
          <w:p>
            <w:pPr>
              <w:autoSpaceDN w:val="0"/>
              <w:jc w:val="left"/>
              <w:textAlignment w:val="center"/>
              <w:rPr>
                <w:rFonts w:ascii="宋体" w:hAnsi="宋体"/>
                <w:color w:val="000000"/>
                <w:sz w:val="24"/>
              </w:rPr>
            </w:pPr>
          </w:p>
        </w:tc>
        <w:tc>
          <w:tcPr>
            <w:tcW w:w="1072" w:type="dxa"/>
            <w:vAlign w:val="center"/>
          </w:tcPr>
          <w:p>
            <w:pPr>
              <w:autoSpaceDN w:val="0"/>
              <w:jc w:val="left"/>
              <w:textAlignment w:val="center"/>
              <w:rPr>
                <w:rFonts w:ascii="宋体" w:hAnsi="宋体"/>
                <w:color w:val="000000"/>
                <w:sz w:val="24"/>
              </w:rPr>
            </w:pPr>
          </w:p>
        </w:tc>
      </w:tr>
      <w:tr>
        <w:tblPrEx>
          <w:tblLayout w:type="fixed"/>
          <w:tblCellMar>
            <w:top w:w="0" w:type="dxa"/>
            <w:left w:w="15" w:type="dxa"/>
            <w:bottom w:w="0" w:type="dxa"/>
            <w:right w:w="15" w:type="dxa"/>
          </w:tblCellMar>
        </w:tblPrEx>
        <w:trPr>
          <w:trHeight w:val="1501" w:hRule="atLeast"/>
        </w:trPr>
        <w:tc>
          <w:tcPr>
            <w:tcW w:w="13989" w:type="dxa"/>
            <w:gridSpan w:val="15"/>
            <w:vAlign w:val="center"/>
          </w:tcPr>
          <w:p>
            <w:pPr>
              <w:autoSpaceDN w:val="0"/>
              <w:jc w:val="center"/>
              <w:textAlignment w:val="center"/>
              <w:rPr>
                <w:rFonts w:ascii="宋体" w:hAnsi="宋体"/>
                <w:b/>
                <w:color w:val="000000"/>
                <w:sz w:val="48"/>
              </w:rPr>
            </w:pPr>
            <w:r>
              <w:rPr>
                <w:rFonts w:hint="eastAsia" w:ascii="宋体" w:hAnsi="宋体"/>
                <w:b/>
                <w:color w:val="000000"/>
                <w:sz w:val="48"/>
                <w:lang w:eastAsia="zh-CN"/>
              </w:rPr>
              <w:t>运城市卫健委</w:t>
            </w:r>
            <w:r>
              <w:rPr>
                <w:rFonts w:ascii="宋体" w:hAnsi="宋体"/>
                <w:b/>
                <w:color w:val="000000"/>
                <w:sz w:val="48"/>
              </w:rPr>
              <w:t>行政执法音像记录事项清单</w:t>
            </w:r>
          </w:p>
        </w:tc>
      </w:tr>
      <w:tr>
        <w:tblPrEx>
          <w:tblLayout w:type="fixed"/>
          <w:tblCellMar>
            <w:top w:w="0" w:type="dxa"/>
            <w:left w:w="15" w:type="dxa"/>
            <w:bottom w:w="0" w:type="dxa"/>
            <w:right w:w="15" w:type="dxa"/>
          </w:tblCellMar>
        </w:tblPrEx>
        <w:trPr>
          <w:trHeight w:val="1089" w:hRule="atLeast"/>
        </w:trPr>
        <w:tc>
          <w:tcPr>
            <w:tcW w:w="9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42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121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7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5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10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10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1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10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1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1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0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bookmarkStart w:id="0" w:name="_GoBack"/>
            <w:bookmarkEnd w:id="0"/>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对疾病预防控制机构违反《传染病防治法》规定的处罚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对医疗机构违反《传染病防治法》规定的处罚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对采供血机构违反《传染病防治法》规定的处罚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饮用水供水单位、涉及饮用水卫生安全的产品生产单位、用于传染病防治的消毒产品生产单位、出售运输疫区中被传染病病原体污染或者可能被传染病病原体污染的物品的相关单位、生物制品生产单位生产的血液制品生产单位违反《传染病防治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对疾病预防控制机构、医疗机构和从事病原微生物实验的相关单位违反《传染病防治法》规定的处罚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对在国家确认的自然疫源地兴建水利、交通、旅游、能源等大型建设项目违反《传染病防治法》规定的处罚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对从事高致病性病原微生物实验活动的相关单位违反《病原微生物实验室生物安全管理条例》规定的处罚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对从事病原微生物实验活动的相关单位在不符合相应生物安全要求的实验室从事病原微生物相关实验活动的处罚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病原微生物实验活动的相关单位(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对从事高致病性病原微生物实验活动的相关单位未建立健全安全保卫制度，或者未采取安全保卫措施的处罚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对运输或者承运高致病性病原微生物菌(毒)种或者样本的相关单位违反《病原微生物实验室生物安全管理条例》规定的处罚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对从事病原微生物实验活动的相关单位违反《病原微生物实验室生物安全管理条例》规定的处罚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对从事高致病性病原微生物实验活动的相关单位拒绝接受卫生主管部门、兽医主管部门依法开展有关高致病性病原微生物扩散的调查取证、采集样品等活动或者依照本条例规定采取有关预防、控制措施的处罚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对从事病原微生物实验活动的相关单位、承运单位、护送人、保藏机构违反《病原微生物实验室生物安全管理条例》规定的处罚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对菌(毒)种和样本的保藏机构违反《病原微生物实验室生物安全管理条例》规定的处罚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对医疗机构违反《突发公共卫生事件应急条例》规定的处罚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对疾病预防控制机构、乡级医疗卫生机构违反疫苗流通和预防接种管理有关规定的处罚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对预防接种单位违反疫苗流通和预防接种管理有关规定的处罚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对疾病预防控制机构、预防接种单位违反疫苗流通和预防接种管理有关规定的处罚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对疾病预防控制机构、接种单位、疫苗生产企业、接受委托配送疫苗的企业未在规定的冷藏条件下储存、运输疫苗的处罚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对违反规定进行群体性预防接种的单位或个人违反疫苗流通和预防接种管理有关规定的处罚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对医疗卫生机构违反《医疗废物管理条例》规定的处罚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医疗废物集中处置单位未对从事医疗废物收集、运送、贮存、处置等工作的人员和管理人员采取职业卫生防护措施的，（一）贮存设施或者设备不符合环境保护、卫生要求的；（二）未将医疗废物按照类别分置于专用包装物或者容器的；（三）未使用符合标准的运送工具运送医疗废物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一）在医疗卫生机构内运送过程中丢弃医疗废物，在非贮存地点倾倒、堆放医疗废物或者将医疗废物混入其他废物和生活垃圾的；（二）未按照《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对医疗卫生机构发生医疗废物流失、泄露、扩散时，未采取紧急处理措施，或者未及时向卫生行政主管部门报告的处罚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对医疗卫生机构、医疗废物集中处置单位违反《医疗废物管理条例》规定的处罚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对不具备集中处置医疗废物条件的农村的医疗卫生机构违反《医疗废物管理条例》规定的处罚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对医疗卫生机构违反消毒管理办法有关规定的处罚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对加工、出售、运输被传染病病原体污染和来自疫区可能被传染病病原体污染的皮毛、旧衣物衣生活用品的单位和个人违反《消毒管理办法》规定的处罚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对消毒产品生产经营单位违反消毒管理办法有关规定的处罚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对消毒服务机构违反消毒管理办法有关规定的处罚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对医疗卫生机构违反《艾滋病防治条例》规定的处罚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对血站、单采血浆站《艾滋病防治条例》的处罚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对提供、使用未经出入境检验检疫机构检疫的进口人体血液、血浆、组织、器官、细胞、骨髓等的相关单位违反《艾滋病防治条例》规定的处罚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对公共场所的经营者违反《艾滋病防治条例》规定的处罚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对执行职务的医疗卫生人员违反《突发公共卫生事件与传染病疫情监测信息报告管理办法》规定的处罚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对采集或者使用人体组织、器官、细胞、骨髓等的相关单位违反《艾滋病防治条例》规定的处罚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对提供、使用未经出入境检验检疫机构检疫的进口人体血液、血浆、组织、器官、细胞、骨髓等的相关单位违反《艾滋病防治条例》规定的处罚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对公共场所的经营者违反《艾滋病防治条例》规定的处罚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对执行职务的医疗卫生人员违反《突发公共卫生事件与传染病疫情监测信息报告管理办法》规定的处罚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对个体或私营医疗保健机构违反《突发公共卫生事件与传染病疫情监测信息报告管理办法》规定的处罚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对以不正当手段取得医师执业证书的处罚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对医师违法行为的处罚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对未经批准擅自开办医疗机构行医或者非医师行医的处罚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对非法采集血液的、出售无偿献血的血液的、非法组织他人出卖血液的处罚。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对临床用血的包装、储运、运输，不符合国家规定的卫生标准和要求的处罚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对拒绝对送诊的疑似精神障碍患者作出诊断的；对依照规定实施住院治疗的患者未及时进行检查评估或者未根据评估结果作出处理的处罚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对医疗机构及其工作人员违法相关规定的处罚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对从事心理咨询、心理治疗的医疗机构机构和人员的处罚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对未取得《单采血浆许可证》非法从事组织、采集、供应、倒卖原料血浆活动的的处罚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对单采血浆站违规采浆的处罚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对单采血浆站已知其采集的血浆检测结果呈阳性，仍向血液制品生产单位供应的的处罚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对未取得《医疗机构执业许可证》擅自执业的的处罚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对逾期不校验《医疗机构执业许可证》仍从事诊疗活动的的处罚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对出卖、转让、出借《医疗机构执业许可证》的的处罚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对医疗机构诊疗活动超出登记范围的的处罚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对医疗机构使用非卫生技术人员从事医疗卫生技术工作的的处罚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对出具虚假证明文件的的处罚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对未经批准擅自开办中医医疗机构或者未按照规定通过执业医师或者执业助理医师资格考试取得执业许可，从事中医医疗活动的的处罚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对取得印鉴卡的医疗机构违反相关规定的处罚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对未取得麻醉药品和第一类精神药品处方资格的执业医师擅自开具麻醉药品和第一类精神药品处方的处罚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对买卖人体器官或者从事与买卖人体器官有关活动的处罚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对医疗机构未办理人体器官移植诊疗科目登记擅自从事人体器官移植的以及从事人体器官移植的医务人员违反本条例规定泄露人体器官捐献人接受人或者申请人体器官移植手术患者个人资料的处罚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对医务人员摘取人体器官违法相关规定的处罚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对医疗机构未制定、实施本机构护士在职培训计划或者未保证护士接受培训的处罚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对护士在执业活动中违反相关规定的处罚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对医疗机构发生医疗事故的处罚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对医疗机构未如实告知患者病情、医疗措施和医疗风险等行为的处罚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对参加医疗事故技术鉴定工作的人员违反相关规定的处罚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对承担尸检任务的机构没有正当理由，拒绝进行尸检的和医疗机构或者其他有关机构涂改、伪造、隐匿、销毁病历资料的处罚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对未经注册在村医疗卫生机构从事医疗活动的处罚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对医疗机构违反规定发布医疗广告和未取得《医疗机构执业许可证》发布医疗广告的处罚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对药师未按照规定调剂处方药品的处罚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对血站违反相关规定的处罚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对单采血浆站违反相关规定的处罚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对医疗机构违反临床用血相关规定的处罚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对医疗机构使用未经卫生行政部门指定的血站供应的血液的处罚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对医疗机构违反本办法关于应急用血采血规定的处罚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  未取得放射诊疗许可从事放射诊疗工作的、未办理诊疗科目登记或者未按照规定进行校验的、未经批准擅自变更放射诊疗项目或者超出批准范围从事放射诊疗工作的处罚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医疗机构使用不具备相应资质的人员从事放射诊疗工作的处罚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医疗机构违反建设项目卫生审查、竣工验收有关规定、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工作场所职业病危害因素检测、评价结果没有存档、上报、公布的;未采取本法第二十一条规定的职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设置或者指定职业卫生管理机构或者组织，未配备专职或者兼职的职业卫生管理人员，负责本单位的职业病防治工作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未按照规定及时、如实向安全生产监督管理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向用人单位提供可能产生职业病危害的设备、材料，未按照规定提供中文说明书或者设置警示标识和中文警示说明的处罚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隐瞒技术、工艺、设备、材料所产生的职业病危害而采用的；隐瞒本单位职业卫生真实情况的；可能发生急性职业损伤的有毒、有害工作场所、放射工作场所或者放射性同位素的运输、贮存不符合本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已经对劳动者生命健康造成严重损害的处罚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用人单位和医疗卫生机构未按照规定报告职业病、疑似职业病的处罚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未取得职业卫生技术服务资质认可擅自从事职业卫生技术服务的，或者医疗卫生机构未经批准擅自从事职业病诊断的的处罚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超出资质认可或者批准范围从事职业卫生技术服务、职业病诊断的；不按照本法规定履行法定职责的；出具虚假证明文件的处罚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未办理《放射工作人员证》的处罚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对学校教学环境、生活设施不符合国家卫生标准、未向学生提供充足的饮用水的处罚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学校拒绝或者妨碍卫生监督的处罚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供水单位无许可证、健康证进行的处罚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供水单位饮用水不符合国家卫生标准和规范的处罚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供水单位新、改、扩建的饮用水供水工程未按规定进行设计审查、竣工验收的处罚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供水单位饮用水水源保护区未按规定修建或进行有碍水质卫生的</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涉及饮用水卫生安全的产品卫生行政处罚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公共场所无许可证，健康证进行的处罚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公共场所空气质量和用品用具不符合标准的处罚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公共场所未按规定建立卫生管理制度的处罚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公共场所发生危害健康事故导致危害扩大的处罚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对非医师行医的处罚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对乡村医师非法行医的处罚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对医疗、保健机构或者人员未取得母婴保健技术许可擅自从事母婴保健技术服务活动的处罚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对擅自采用技术手段对胎儿进行性别鉴定的处罚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对伪造、变造、买卖计划生育证明的处罚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对计划生育技术服务机构或者医疗、保健机构以外的机构或者人员违反规定，擅自从事计划生育技术服务的处罚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对计划生育技术服务机构和人员违反规定，未经批准擅自从事产前诊断和使用辅助生育技术治疗不育症的处罚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对逾期不校验计划生育技术服务执业许可证明文件，继续从事计划生育技术服务的处罚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对违反规定，买卖、出借、出租或者涂改、伪造计划生育技术服务执业许可证明文件的处罚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对从事计划生育技术服务的机构违反规定，向农村实行计划生育的育龄夫妻提供避孕、节育技术服务，收取费用的处罚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对从事计划生育技术服务的机构违反规定，未经批准擅自扩大计划生育技术服务项目的处罚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对从事计划生育技术服务的机构违反规定，使用没有依法取得相应的医师资格的人员从事与计划生育技术服务有关的临床医疗服务的处罚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对从事计划生育技术服务的机构出具虚假证明文件尚不构成犯罪的处罚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对计划生育技术服务机构违反规定，使用没有依法取得《合格证》的人员从事计划生育技术服务的处罚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对买卖、出借、出租或涂改、伪造计划生育技术服务人员合格证明文件的处罚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对从事计划生育技术服务的人员违反条例和本细则规定，擅自增加计划生育技术服务项目或在执业的机构外从事计划生育技术服务的处罚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对开展计划生育技术服务时，出具虚假证明文件、做假手术的处罚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对未经批准擅自开展产前诊断技术的非医疗保健机构的处罚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对医疗保健机构未取得产前诊断执业许可或超越许可范围，擅自从事产前诊断的处罚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对未取得产前诊断类母婴保健技术考核合格证书的个人，擅自从事产前诊断或超越许可范围的处罚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对未经批准擅自设置人类精子库，采集、提供精子的处罚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对设置人类精子库的医疗机构违反规定的处罚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对开展人类辅助生殖技术的医疗机构违反有关规定的处罚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对开展新生儿疾病筛查的医疗机构违反规定的处罚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对母乳代用品生产者、销售者违反规定的处罚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对医疗卫生保健机构或其人员违反《母乳代用品销售管理办法》的处罚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对经批准实施人工终止妊娠手术的机构未建立真实完整的终止妊娠药品购进记录，或者未按照规定为终止妊娠药品使用者建立完整用药档案的处罚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对介绍、组织孕妇实施非医学需要的胎儿性别鉴定或者选择性别人工终止妊娠的处罚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对医疗机构违反有关医疗质量管理相关规定的处罚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对医疗器械使用环节的违法行为的处罚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对医疗机构聘用依据《中华人民共和国中医药法》不得从事管理工作的人员从事医疗机构管理工作的处罚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802"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对经考核取得医师资格的中医医师超出注册的执业范围从事医疗活动的处罚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r>
        <w:tblPrEx>
          <w:tblLayout w:type="fixed"/>
          <w:tblCellMar>
            <w:top w:w="0" w:type="dxa"/>
            <w:left w:w="15" w:type="dxa"/>
            <w:bottom w:w="0" w:type="dxa"/>
            <w:right w:w="15" w:type="dxa"/>
          </w:tblCellMar>
        </w:tblPrEx>
        <w:trPr>
          <w:trHeight w:val="12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425" w:leftChars="0" w:hanging="425"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 xml:space="preserve">行政处罚 </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对举办中医诊所、炮制中药饮片、委托配制中药制剂应当备案而未备案，或者备案时提供虚假材料的处罚</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调查取证</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执法现场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适时</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sz w:val="18"/>
                <w:szCs w:val="18"/>
              </w:rPr>
              <w:t>运城市卫生健康委员会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执法人员</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执法开始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执法全过程</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执法结束</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sz w:val="18"/>
                <w:szCs w:val="18"/>
              </w:rPr>
              <w:t>场景类</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textAlignment w:val="center"/>
              <w:rPr>
                <w:rFonts w:hint="eastAsia" w:ascii="仿宋_GB2312" w:hAnsi="仿宋_GB2312" w:eastAsia="仿宋_GB2312" w:cs="仿宋_GB2312"/>
                <w:color w:val="000000" w:themeColor="text1"/>
                <w:sz w:val="18"/>
                <w:szCs w:val="18"/>
                <w14:textFill>
                  <w14:solidFill>
                    <w14:schemeClr w14:val="tx1"/>
                  </w14:solidFill>
                </w14:textFill>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8FC9"/>
    <w:multiLevelType w:val="singleLevel"/>
    <w:tmpl w:val="5D848FC9"/>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5793A"/>
    <w:rsid w:val="00FF4672"/>
    <w:rsid w:val="1B5A1664"/>
    <w:rsid w:val="285B5A15"/>
    <w:rsid w:val="31762C75"/>
    <w:rsid w:val="33857B0B"/>
    <w:rsid w:val="394B34E5"/>
    <w:rsid w:val="41F33E73"/>
    <w:rsid w:val="438724EC"/>
    <w:rsid w:val="612927BF"/>
    <w:rsid w:val="6FD5793A"/>
    <w:rsid w:val="77A157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2019-09-11T01:34:00Z</dcterms:created>
  <dc:creator>hp</dc:creator>
  <cp:lastModifiedBy>Administrator</cp:lastModifiedBy>
  <dcterms:modified xsi:type="dcterms:W3CDTF">2020-05-20T02:54:10Z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