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运城市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城市管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局行政执法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事项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服务指南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事项编码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行政处罚：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1300-B-00100-140800至1300-B-22400-140800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行政强制：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1300-C-00100-140800至1300-C-00700-140800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实施部门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运城市城市管理综合行政执法局综合行政执法队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事项类别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行政处罚权、行政强制权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四、适用范围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行政处罚权共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224项，其中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包括城市规划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2项、抗震减灾3项、城市道路及桥梁管理7项、城镇燃气8项、城市供水与节约用水10项、城镇排水与污水处理12项、房地产管理42项、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筑管理22项、建设工程安全18项、建设质量16项、民用建筑节能11项、图纸审查勘察设计方面5项、招标投标方面15项、工程造价方面12项、物业管理方面12项，城市绿化方面6项，城市照明方面2项、消防方面2项、市容和环境卫生管理方面13项，养犬管理2项，游乐园和动物园管理4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；行政强制7项，其中建筑工程2项，影响市容市貌、环境卫生5项。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执法依据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1、【法律】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《中华人民共和国行政处罚法》、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《中华人民共和国行政强制法》、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</w:t>
      </w:r>
      <w:r>
        <w:rPr>
          <w:rFonts w:hint="eastAsia" w:ascii="仿宋_GB2312" w:hAnsi="仿宋_GB2312" w:eastAsia="仿宋_GB2312" w:cs="仿宋_GB2312"/>
          <w:sz w:val="32"/>
          <w:szCs w:val="32"/>
        </w:rPr>
        <w:t>法》、《中华人民共和国城乡规划法》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、《中华人民共和国建筑法》、《中华人民共和国招投标法》、《中华人民共和国消防法》、《中华人民共和国大气污染防治法》、《中华人民共和国安全法》等法律。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２、【行政法规】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政府信息公开条例》、《优化营商环境条例》、《建设工程质量管理条例》、《建设工程安全生产管理条例》、《民用建筑节能条例》、《城市绿化条例》、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《城市道路管理条例》、《城镇排水与污水处理条例》、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《招标投标法实施条例》、《商品房租赁管理办法》、《物业管理条例》、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《城市市容和环境卫生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管理条例》等法规。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3、【地方性法规】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山西省城乡环境综合治理条例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、《山西省城市市容和环境卫生管理实施办法》、《山西省物业管理条例》、《山西省行政执法条例》、《山西省安全生产条例》等法规。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4、【部门规章】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《建筑工程施工许可管理办法》、《建设部建设行政处罚程序暂行规定》、《建筑工程设计招标投标管理管理办法》、《城市建筑垃圾管理规定》、《商品房销售管理条例》、《公共租赁住房管理办法》、《房地产开发企业资质管理规定》、《住宅室内装饰装修管理办法》、《城市管理执法办法》、《城市生活垃圾管理办法》、《建筑工程消防监督管理规定》等规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5.【地方规章】《山西省城市绿化实施办法》、《山西省城市市容和环境卫生管理实施办法》、《运城市实施&lt;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山西省城乡环境综合治理条例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&gt;管理办法》等规章。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六、办理条件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1.在取得行政执法资格的前提下，依法行政、文明执法。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2.建立健全行政执法三项制度的推行，确保执法内外部监督到位。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3.坚持政务公开，广泛接受社会和群众监督。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4.重视群众来信来访，注重发挥新闻媒体的监督作用。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5.合法行政，合理行政，程序正当，高效便民，诚实守信，权责统一。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七、办理方式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简易程序、一般程序、听证程序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八、办理流程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简易程序流程：1、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违法事实清楚，情节简单，后果轻微的违反行政管理行为，执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"http://www.findlaw.cn/108100/" \t "http://china.findlaw.cn/info/xingzheng/xzchufa/xzcfcx/jycx/_blank"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法人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员可当场作出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警告或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50元以下罚款的；2、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执法人员当场作出行政处罚决定的，应当向当事人出示有效证件，按规定认真填写《当场处罚决定书》，当场交付当事人。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当事人对当场作出的行政处罚决定不服的，可以依法申请行政复议或者提起行政诉讼。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4、备案归档。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程序流程：1、适用于一般性罚款和没收所得；2、符合立案条件的，立案审核；3、两名以上执法人员调查取证；4、案件调查终结审批及证据材料审查；5、应当处罚的，依法作出行政处罚告知书并送达，同时告知当事人行政复议或行政诉讼权利，重大处罚告知当事人听证权利；6、执行处罚内容；7、结案归档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听证程序流程：1、重大处罚告知当事人听证权利；2、重大处罚相对人提出听证要求的，组织听证并写出听证报告。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九、办理时限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行政处罚一般程序在三个月内调查完毕，特殊情况可以延长。行政机关应当在7日内依照《民事诉讼法》的有关规定，将行政处罚决定书送达当事人。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十、结果送达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直接送达、留置送达、委托送达、邮寄送达、转交送达、电子送达、公告送达。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十一、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行政</w:t>
      </w:r>
      <w:r>
        <w:rPr>
          <w:rFonts w:hint="eastAsia" w:ascii="黑体" w:hAnsi="黑体" w:eastAsia="黑体" w:cs="黑体"/>
          <w:sz w:val="32"/>
          <w:szCs w:val="32"/>
        </w:rPr>
        <w:t>救济途径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与方式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1、享有权利：听证权利、陈述申辩权利、行政复议权利、行政诉讼权利、国家赔偿权利。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2、救济途径：向作出具体行政行为的行政执法部门申请进行听证、陈述申辩；向上级执法部门或本级政府法制机构提出行政复议；向被告所在地人民法院提出行政诉讼和国家赔偿。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十二、监督</w:t>
      </w:r>
      <w:r>
        <w:rPr>
          <w:rFonts w:hint="eastAsia" w:ascii="黑体" w:hAnsi="黑体" w:eastAsia="黑体" w:cs="黑体"/>
          <w:sz w:val="32"/>
          <w:szCs w:val="32"/>
        </w:rPr>
        <w:t>投诉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渠道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1、投诉举报的方式及途径：举报电话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2381020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2、投诉举报的受理条件：对投诉举报调查核实后，如情况基本属实，我局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法规督察科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予以受理。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3、反馈程序：对情况属实的，做出受理决定，书面或电话告知投诉举报人，对查无实据的，做出不予受理决定，书面或电话告知投诉举报人。</w:t>
      </w:r>
    </w:p>
    <w:p>
      <w:pPr>
        <w:ind w:firstLine="65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运城市盐湖区铺安街金城大厦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城市管理局</w:t>
      </w:r>
    </w:p>
    <w:p>
      <w:pPr>
        <w:ind w:firstLine="65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十三、办理流程图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386070" cy="4408170"/>
            <wp:effectExtent l="0" t="0" r="5080" b="11430"/>
            <wp:docPr id="2" name="图片 2" descr="75b3b46ec344546749231301e3680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5b3b46ec344546749231301e3680d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F5621"/>
    <w:multiLevelType w:val="singleLevel"/>
    <w:tmpl w:val="FDFF56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0549"/>
    <w:rsid w:val="07594547"/>
    <w:rsid w:val="09335AA2"/>
    <w:rsid w:val="0976313D"/>
    <w:rsid w:val="0AFE12F7"/>
    <w:rsid w:val="0BA248D3"/>
    <w:rsid w:val="0C8602E0"/>
    <w:rsid w:val="155547F1"/>
    <w:rsid w:val="1FF51ABC"/>
    <w:rsid w:val="22D43B9C"/>
    <w:rsid w:val="23220258"/>
    <w:rsid w:val="251113BC"/>
    <w:rsid w:val="35B55AAC"/>
    <w:rsid w:val="366B27FD"/>
    <w:rsid w:val="36E963BE"/>
    <w:rsid w:val="384B4D17"/>
    <w:rsid w:val="42CD596F"/>
    <w:rsid w:val="4D696EE0"/>
    <w:rsid w:val="5978EF70"/>
    <w:rsid w:val="5EDB9723"/>
    <w:rsid w:val="5FD760D7"/>
    <w:rsid w:val="5FFFA523"/>
    <w:rsid w:val="60A108B8"/>
    <w:rsid w:val="64EC2AFC"/>
    <w:rsid w:val="65A535CF"/>
    <w:rsid w:val="74E50C92"/>
    <w:rsid w:val="75FF00CE"/>
    <w:rsid w:val="77BE56FA"/>
    <w:rsid w:val="7B7B90A7"/>
    <w:rsid w:val="7F775699"/>
    <w:rsid w:val="BE71A51C"/>
    <w:rsid w:val="CDFFC936"/>
    <w:rsid w:val="CFCD1E93"/>
    <w:rsid w:val="DAED0CC0"/>
    <w:rsid w:val="DBFF6864"/>
    <w:rsid w:val="DFFF31AE"/>
    <w:rsid w:val="EFBFE3C7"/>
    <w:rsid w:val="EFFE7CF3"/>
    <w:rsid w:val="F0EBC503"/>
    <w:rsid w:val="F76450BE"/>
    <w:rsid w:val="F7CF41D2"/>
    <w:rsid w:val="FDBE075E"/>
    <w:rsid w:val="FFDFC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陈朝晖</cp:lastModifiedBy>
  <cp:lastPrinted>2020-05-28T06:58:00Z</cp:lastPrinted>
  <dcterms:modified xsi:type="dcterms:W3CDTF">2020-06-02T08:44:55Z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