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运城市医疗保障局重大行政执法决定法制审核目录清单</w:t>
      </w:r>
    </w:p>
    <w:tbl>
      <w:tblPr>
        <w:tblStyle w:val="4"/>
        <w:tblpPr w:leftFromText="180" w:rightFromText="180" w:vertAnchor="page" w:horzAnchor="page" w:tblpX="1287" w:tblpY="2614"/>
        <w:tblOverlap w:val="never"/>
        <w:tblW w:w="14117" w:type="dxa"/>
        <w:tblCellSpacing w:w="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0"/>
        <w:gridCol w:w="1212"/>
        <w:gridCol w:w="992"/>
        <w:gridCol w:w="2519"/>
        <w:gridCol w:w="992"/>
        <w:gridCol w:w="1075"/>
        <w:gridCol w:w="1613"/>
        <w:gridCol w:w="2055"/>
        <w:gridCol w:w="1649"/>
        <w:gridCol w:w="1270"/>
      </w:tblGrid>
      <w:tr>
        <w:trPr>
          <w:trHeight w:val="615" w:hRule="atLeast"/>
          <w:tblCellSpacing w:w="0" w:type="dxa"/>
        </w:trPr>
        <w:tc>
          <w:tcPr>
            <w:tcW w:w="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both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序号</w:t>
            </w:r>
          </w:p>
        </w:tc>
        <w:tc>
          <w:tcPr>
            <w:tcW w:w="12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执法类别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承办机构</w:t>
            </w:r>
          </w:p>
        </w:tc>
        <w:tc>
          <w:tcPr>
            <w:tcW w:w="25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审核事项名称</w:t>
            </w:r>
          </w:p>
        </w:tc>
        <w:tc>
          <w:tcPr>
            <w:tcW w:w="9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审核机构</w:t>
            </w:r>
          </w:p>
        </w:tc>
        <w:tc>
          <w:tcPr>
            <w:tcW w:w="1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适用情形</w:t>
            </w:r>
          </w:p>
        </w:tc>
        <w:tc>
          <w:tcPr>
            <w:tcW w:w="16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eastAsia" w:ascii="黑体" w:hAnsi="黑体" w:eastAsia="黑体" w:cs="黑体"/>
                <w:sz w:val="16"/>
                <w:szCs w:val="16"/>
              </w:rPr>
              <w:t>实施依据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default" w:ascii="黑体" w:hAnsi="黑体" w:eastAsia="黑体" w:cs="黑体"/>
                <w:sz w:val="16"/>
                <w:szCs w:val="16"/>
              </w:rPr>
              <w:t>审核重点</w:t>
            </w:r>
          </w:p>
        </w:tc>
        <w:tc>
          <w:tcPr>
            <w:tcW w:w="16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default" w:ascii="黑体" w:hAnsi="黑体" w:eastAsia="黑体" w:cs="黑体"/>
                <w:sz w:val="16"/>
                <w:szCs w:val="16"/>
              </w:rPr>
              <w:t>提交的审核资料</w:t>
            </w:r>
          </w:p>
        </w:tc>
        <w:tc>
          <w:tcPr>
            <w:tcW w:w="12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黑体" w:hAnsi="黑体" w:eastAsia="黑体" w:cs="黑体"/>
                <w:sz w:val="16"/>
                <w:szCs w:val="16"/>
              </w:rPr>
            </w:pPr>
            <w:r>
              <w:rPr>
                <w:rFonts w:hint="default" w:ascii="黑体" w:hAnsi="黑体" w:eastAsia="黑体" w:cs="黑体"/>
                <w:sz w:val="16"/>
                <w:szCs w:val="16"/>
              </w:rPr>
              <w:t>审核期限</w:t>
            </w:r>
          </w:p>
        </w:tc>
      </w:tr>
      <w:tr>
        <w:trPr>
          <w:trHeight w:val="1589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重大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行政处罚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运城市医疗保障局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对医疗保险经办机构以及医疗机构、药品经营单位等医疗保险服务机构以欺诈、伪造证明材料或者其他手段骗取医疗保险、生育保险基金支出的处罚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sz w:val="16"/>
                <w:szCs w:val="16"/>
              </w:rPr>
              <w:t>基金监管科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适用一般程序的行政处罚案件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1.《社会保险法》（2018年12月修改）第八十七条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2055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一）执法主体是否合法，执法人员是否具备执法资格；（二）主要事实是否清楚，证据是否确实充分；（三）适用法律、法规、规章是否准确，执行裁量基准是否适当；（四）执法程序是否合法；（五）是否有超越本局职权范围或滥用职权的情形；（六）违法行为是否涉嫌犯罪，需要移送司法机关；（七）其他应当审核的内容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（一）重大行政执法决定的审核终结报告；（二）重大行政执法决定建议或者意见及其情况说明；情况说明应当包括基本案情、适用的法律法规、执法人员资格、调查取证情况等；（三）重大行政执法决定书代拟稿；（四）相关证据资料；（五）经听证或评估的，还应当提交听证笔录或者评估报告；（六）其他需要提交的材料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法制审核部门应当自收到案卷之日起七个工作日内出具审核意见；案件复杂的，经局负责人批准可以延长五个工作日。补充材料、征询意见、提请解释期间不计入审核期限。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rPr>
          <w:trHeight w:val="1136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重大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行政处罚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运城市医疗保障局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对以欺诈、伪造证明材料或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者其他手段骗取医疗保险、生育保险待遇的处罚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sz w:val="16"/>
                <w:szCs w:val="16"/>
              </w:rPr>
              <w:t>基金监管科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适用一般程序的行政处罚案件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1.《社会保险法》（2018年12月修改） 第八十八条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rPr>
          <w:trHeight w:val="1637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重大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行政处罚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运城市医疗保障局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对隐匿、转移、侵占、挪用医疗保险、生育保险基金或者违规投资运营的处罚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sz w:val="16"/>
                <w:szCs w:val="16"/>
              </w:rPr>
              <w:t>基金监管科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适用一般程序的行政处罚案件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1.《社会保险法》（2018年12月修改）第九十一条</w:t>
            </w:r>
          </w:p>
        </w:tc>
        <w:tc>
          <w:tcPr>
            <w:tcW w:w="2055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  <w:tr>
        <w:trPr>
          <w:trHeight w:val="2010" w:hRule="atLeast"/>
          <w:tblCellSpacing w:w="0" w:type="dxa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4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重大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55" w:lineRule="atLeast"/>
              <w:jc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行政处罚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运城市医疗保障局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对可能被转移、隐匿或者灭失的医疗保险基金相关资料进行封存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default" w:ascii="仿宋_GB2312" w:hAnsi="仿宋_GB2312" w:eastAsia="仿宋_GB2312" w:cs="仿宋_GB2312"/>
                <w:sz w:val="16"/>
                <w:szCs w:val="16"/>
              </w:rPr>
              <w:t>基金监管科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适用一般程序的行政强制案件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</w:rPr>
              <w:t>1.《社会保险法》（2018年12月修改）第七十九条</w:t>
            </w:r>
          </w:p>
        </w:tc>
        <w:tc>
          <w:tcPr>
            <w:tcW w:w="2055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649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  <w:tc>
          <w:tcPr>
            <w:tcW w:w="1270" w:type="dxa"/>
            <w:vMerge w:val="continue"/>
            <w:tcBorders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6"/>
                <w:szCs w:val="16"/>
              </w:rPr>
            </w:pP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FA2F1"/>
    <w:rsid w:val="BD79A620"/>
    <w:rsid w:val="DEFF5BE8"/>
    <w:rsid w:val="FFCFA2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专业版_10.1.0.6171_F1E327BC-269C-435d-A152-05C5408002CA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2019-12-10T03:31:00Z</dcterms:created>
  <dc:creator>ycyb8</dc:creator>
  <cp:lastModifiedBy>ybj02</cp:lastModifiedBy>
  <cp:lastPrinted>2019-12-09T19:55:00Z</cp:lastPrinted>
  <dcterms:modified xsi:type="dcterms:W3CDTF">2020-03-18T17:14:48Z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2052-10.1.0.6171</vt:lpwstr>
  </property>
</Properties>
</file>