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both"/>
        <w:rPr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本次检验项目</w:t>
      </w:r>
    </w:p>
    <w:p>
      <w:pPr>
        <w:pStyle w:val="2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一、</w:t>
      </w:r>
      <w:r>
        <w:rPr>
          <w:rFonts w:hint="eastAsia"/>
          <w:sz w:val="36"/>
          <w:szCs w:val="36"/>
          <w:lang w:val="en-US" w:eastAsia="zh-CN"/>
        </w:rPr>
        <w:t>粮食加工品</w:t>
      </w:r>
    </w:p>
    <w:p>
      <w:pPr>
        <w:numPr>
          <w:ilvl w:val="0"/>
          <w:numId w:val="1"/>
        </w:numPr>
        <w:spacing w:line="64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spacing w:line="64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 GB 2762-2017《食品安全国家标准 食品中污染物限量》，食品整治办[2009]5号《食品中可能违法添加的非食用物质名单(第二批)》，GB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2763-2016《食品安全国家标准 食品中农药最大残留限量》，GB 2761-2011《食品安全国家标准 食品中真菌毒素限量》，卫生部公告[2011]第4号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 xml:space="preserve"> 等标准和指标的要求。</w:t>
      </w:r>
    </w:p>
    <w:p>
      <w:pPr>
        <w:numPr>
          <w:ilvl w:val="0"/>
          <w:numId w:val="1"/>
        </w:numPr>
        <w:spacing w:line="64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line="64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普通挂面、手工面</w:t>
      </w:r>
      <w:r>
        <w:rPr>
          <w:rFonts w:hint="eastAsia" w:ascii="仿宋" w:hAnsi="仿宋" w:eastAsia="仿宋" w:cs="仿宋_GB2312"/>
          <w:sz w:val="32"/>
          <w:szCs w:val="32"/>
        </w:rPr>
        <w:t>抽检项目为铅（以 Pb 计）、二氧化钛， 溴酸钾。</w:t>
      </w:r>
    </w:p>
    <w:p>
      <w:p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2、通用小麦粉、专用小麦粉抽检项目为二氧化钛、滑石粉、黄曲霉毒素 B2、过氧化苯甲酰、溴酸钾、杀螟硫磷。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二、调味品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18187-2000《酿造食醋》，GB 2761-2017《食品安全国家标准 食品中真菌毒素限量》，GB 2760-2014《食品安全国家标准 食品添加剂使用标准》，GB 2719-2003《食醋卫生标准》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，2718-2014《食品安全国家标准 酿造酱》，DB 31/2002-2012 《食品安全地方标准复合调味料》，GB 29921-2013《食品安全国家标准 食品中致病菌限量》，GB 2762-2017《食品安全国家标准 食品中污染物限量》，GB 2717-2003《酱油卫生标准》，SB/T 10371-2003《鸡精调味料》， GB 2761-2017《食品安全国家标准 食品中真菌毒素限量》，GB 2718-2014《食品安全国家标准 酿造酱》，DB 31/2002-2012 《食品安全地方标准复合调味料》，整顿办函[2011]1号《食品中可能违法添加的非食用物质和易滥用的食品添加剂品种名单(第五批)》，GB 7101-2015《食品安全国家标准 饮料》 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1.黄豆酱、甜面酱等抽检项目为苯甲酸及其钠盐（以苯甲酸计）、山梨酸及其钾盐（以山梨酸计）、糖精钠（以糖精计）、黄曲霉毒素 B1、大肠菌群、金黄色葡萄球菌、沙门氏菌、碱性橙Ⅱ。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2.鸡粉、鸡精调味料抽检项目为苯甲酸及其钠盐（以苯甲酸计）、山梨酸及其钾盐（以山梨酸计）、糖精钠（以糖精计）、菌落总数、大肠菌群。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3.料酒抽检项目为苯甲酸及其钠盐（以苯甲酸计）、山梨酸及其钾盐（以山梨酸计）、糖精钠（以糖精计） 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4.酿造酱油、配制酱油(酿造和配制按2:1)抽检项目为苯甲酸及其钠盐（以苯甲酸计）、山梨酸及其钾盐（以山梨酸计）、糖精钠（以糖精计）、黄曲霉毒素 B1、菌落总数、大肠菌群、金黄色葡萄球菌、沙门氏菌。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5.酿造食醋、配制食醋抽检项目为总酸（以乙酸计）、苯甲酸及其钠盐（以苯甲酸计）、山梨酸及其钾盐（以山梨酸计）、糖精钠（以糖精计）、黄曲霉毒素 B1、菌落总数、大肠菌群。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6.辣椒酱的抽检项目为苏丹红Ⅰ、苏丹红Ⅱ、苏丹红Ⅲ、苏丹红Ⅳ。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三、酒类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）抽检依据</w:t>
      </w:r>
    </w:p>
    <w:p>
      <w:pPr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食品添加剂使用标准》，GB/T 15037-2006 《葡萄酒》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GB 2760-1996《食品添加剂使用卫生标准》，GB/T 10781.2-2006《清香型白酒》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2758-2012《食品安全国家标准 发酵酒及其配制酒》， GB 2757-2012《食品安全国家标准 蒸馏酒及其配制酒》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1.白酒、白酒(液态)、白酒(原酒)抽检项目为甲醇、氰化物（以 HCN 计）、糖精钠（以糖精计）、甜蜜素。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2.黄酒抽检项目为苯甲酸及其钠盐（以苯甲酸计）、山梨酸及其钾盐（以山梨酸计）、糖精钠（以糖精计）、甜蜜素。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3.啤酒抽检项目为酒精度、甲醛、二氧化硫残留量。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4.葡萄酒抽检项目为甲醇、二氧化硫残留量、甜蜜素、脱氢乙酸、纳他霉素，合成着色剂（根据产品颜色制定）。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四、饼干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）抽检依据</w:t>
      </w:r>
    </w:p>
    <w:p>
      <w:pPr>
        <w:numPr>
          <w:ilvl w:val="0"/>
          <w:numId w:val="0"/>
        </w:numPr>
        <w:spacing w:line="640" w:lineRule="exact"/>
        <w:ind w:firstLine="42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GB 7100-2015《食品安全国家标准 饼干》，GB 2760-2014《食品安全国家标准 食品添加剂使用标准》 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饼干的抽检项目为酸价（以脂肪计）、过氧化值（以脂肪计）、苯甲酸及其钠盐（以苯甲酸计）、山梨酸及其钾盐（以山梨酸计）、糖精钠（以糖精计）、铝的残留量（干样品，以 Al 计）、二氧化硫残留量。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五、乳制品</w:t>
      </w:r>
    </w:p>
    <w:p>
      <w:pPr>
        <w:numPr>
          <w:ilvl w:val="0"/>
          <w:numId w:val="2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 xml:space="preserve">抽检依据是 GB 19302-2010《食品安全国家标准 发酵乳》，GB 2761-2017《食品安全国家标准 食品中真菌毒素限量》，卫生部、工业和信息化部、农业部、工商总局、质检总局公告2011年第10号《关于三聚氰胺在食品中的限量值的公告》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，所检项目符合 GB 2760-2014《食品安全国家标准 食品添加剂使用标准》，GB 25191-2010《食品安全国家标准 调制乳》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调制乳的抽检项目为黄曲霉毒素 M1、三聚氰胺、蛋白质、山梨酸及其钾盐（以山梨酸计）。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六、豆制品</w:t>
      </w:r>
    </w:p>
    <w:p>
      <w:pPr>
        <w:numPr>
          <w:ilvl w:val="0"/>
          <w:numId w:val="3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抽检依据是 整顿办函[2011]1号《食品中可能违法添加的非食用物质和易滥用的食品添加剂品种名单(第五批)》等标准和指标的要求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腐乳、豆豉、纳豆等的抽检项目为黄曲霉毒素 B1、大肠菌群、沙门氏菌、金黄色葡萄球菌、苏丹红Ⅰ、苏丹红Ⅱ、苏丹红Ⅲ、苏丹红Ⅳ。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七、罐头</w:t>
      </w:r>
    </w:p>
    <w:p>
      <w:pPr>
        <w:numPr>
          <w:ilvl w:val="0"/>
          <w:numId w:val="4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 GB 2760-2014《食品安全国家标准 食品添加剂使用标准》，GB 7098-2015《食品安全国家标准 罐头食品》等标准和指标的要求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1.其他罐头的抽检项目为黄曲霉毒素 B1、二氧化硫残留量、脱氢乙酸及其钠盐、苯甲酸及其钠盐、山梨酸及其钾盐、糖精钠。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八、食糖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13104-2014《食品安全国家标准 食糖》等标准和指标的要求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白砂糖、绵白糖、赤砂糖、冰糖、方糖、冰片糖等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的抽检项目为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螨。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九、糖果制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品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食品添加剂使用标准》，GB 29921-2013《食品安全国家标准 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17399-2016《食品安全国家标准 糖果》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巧克力、巧克力制品、代可可脂巧克力及代可可脂巧克力制品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的抽检项目为山梨酸及其钾盐（以山梨酸 计）、苯甲酸及其钠盐（以苯甲酸计）、二氧化硫残留量、沙门氏菌。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2.糖果的抽检项目为菌落总数、大肠菌群、合成着色剂（柠檬黄、苋菜红、胭脂红、日落黄、亮蓝、赤藓红）、二氧化硫残留量、霉菌。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3.果冻的抽检项目为甜蜜素、山梨酸及其钾盐（以山梨酸计）、苯甲酸及其钠盐（以苯甲酸计）、糖精钠（以糖精计）、二氧化硫残留量。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十、饮料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 GB/T 21733-2008《茶饮料》，GB 7101-2015《食品安全国家标准 饮料》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1.茶饮料抽检项目为沙门氏菌、金黄色葡萄球菌、茶多酚。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2.碳酸饮料(汽水)抽检项目为苯甲酸及其钠盐（以苯甲酸计）、山梨酸及其钾盐（以山梨酸计）、糖精钠（以糖精计）、合成着色剂（柠檬黄、诱惑红、赤藓红、亮蓝、日落黄、苋菜红、新红、胭脂红、酸性红）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十一、茶叶及相关制品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 GB 2763-2012《食品安全国家标准 食品中农药最大残留限量》，GB 2763-2005《国家食品安全标准 食品中农药最大残留限量》，GB 2763-2016《食品安全国家标准 食品中农药最大残留限量》等标准和指标的要求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绿茶、红茶、乌龙茶、黄茶、白茶、黑茶、花茶、袋泡茶、紧压茶的抽检项目为六六六、滴滴涕、吡虫啉、硫丹、丁醚脲、溴氰菊酯、氟氯氰菊酯和高效氟氯氰菊酯、杀螟硫磷、乙酰甲胺磷、联苯菊酯。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十二、食用农产品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 GB 2707-2016《食品安全国家标准 鲜（冻）畜、禽产品》、GB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、整顿办函[2011]1号《食品中可能违法添加的非食用物质和易滥用的食品添加剂品种名单(第五批)》、</w:t>
      </w:r>
      <w:r>
        <w:rPr>
          <w:rFonts w:hint="eastAsia" w:ascii="仿宋" w:hAnsi="仿宋" w:eastAsia="仿宋" w:cs="仿宋_GB2312"/>
          <w:sz w:val="32"/>
          <w:szCs w:val="32"/>
        </w:rPr>
        <w:t>农业部公告第235号《动物性食品中兽药最高残留限量》及整顿办函[2010]50号《食品中可能违法添加的非食用物质和易滥用的食品添加剂名单（第四批）》等标准和指标的要求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1.鸡肉的抽检项目为呋喃唑酮代谢物、呋喃它酮代谢物、呋喃西林代谢物、呋喃妥因代谢物、氯霉素、洛美沙星、培氟沙星、氧氟沙星、诺氟沙星。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2.猪肉的抽检项目为挥发性盐基氮、铅、镉、总汞、总砷、克伦特罗、沙丁胺醇、莱克多巴胺、特布他林、氯霉素、阿莫西林。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3.鲜蛋的抽检项目为铅、镉、总汞、恩诺沙星（以 恩诺沙星与环丙沙星之和计）、培氟沙星、氧氟沙星、诺氟沙 星、洛美沙星、氯霉素、氟苯尼考。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4.黄豆、绿豆、红豆(赤豆)、蚕豆、小扁豆、豌豆等的抽检项目为铅、铬、镉、赭曲霉毒素 A、多菌灵、氧乐果、克百威、灭多威。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5.牛肉的抽检项目为挥发性盐基氮、铅、镉、总汞、总砷、克伦特罗、沙丁胺醇、莱克多巴胺、特布他林、氯霉素、阿莫西林。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6.羊肉的抽检项目为挥发性盐基氮、铅、镉、总汞、总砷、克伦特罗、沙丁胺醇、莱克多巴胺、特布他林、氯霉素、阿莫西林。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7.淡水鱼的抽检项目为铅、镉、氯霉素、呋喃唑酮代 谢物、呋喃它酮代谢物、呋喃 西林代谢物、呋喃妥因代谢物、恩诺沙星（以恩诺沙星与环丙 沙星之和计）、氧氟沙星、甲硝唑。</w:t>
      </w:r>
    </w:p>
    <w:p>
      <w:pPr>
        <w:pStyle w:val="2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十三、肉制品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经抽样检验，所检项目符合 GB 2760-2014《食品安全国家标准 食品添加剂使用标准》，产品明示标准 要求。</w:t>
      </w:r>
    </w:p>
    <w:p>
      <w:pPr>
        <w:numPr>
          <w:ilvl w:val="0"/>
          <w:numId w:val="0"/>
        </w:numPr>
        <w:spacing w:line="640" w:lineRule="exact"/>
        <w:ind w:left="600" w:leftChars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1.调理肉制品（非速冻）筹建项目为铅（以 Pb 计）、镉（以 Cd 计）、铬（以 Cr 计）、总砷（以 As计）、脱氢乙酸、氯霉素。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2.熏煮香肠火腿制品抽检项目为亚硝酸盐（以亚硝酸钠计）、脱氢乙酸、糖精钠（以糖精 计）、胭脂红、菌落总数、大肠菌群、沙门氏菌、金黄色葡萄球菌、单核细胞增生李斯特氏菌、大肠埃希氏菌 O157:H7。</w:t>
      </w:r>
    </w:p>
    <w:p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3.食用血制品抽检项目为苏丹红Ⅰ、苏丹红Ⅱ、苏丹红Ⅲ、苏丹红Ⅳ、甲醛。</w:t>
      </w:r>
    </w:p>
    <w:p>
      <w:pPr>
        <w:numPr>
          <w:ilvl w:val="0"/>
          <w:numId w:val="0"/>
        </w:numPr>
        <w:spacing w:line="640" w:lineRule="exact"/>
        <w:ind w:left="600" w:leftChars="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40" w:lineRule="exact"/>
        <w:ind w:left="600" w:leftChars="0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183FD"/>
    <w:multiLevelType w:val="singleLevel"/>
    <w:tmpl w:val="945183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B24D33"/>
    <w:multiLevelType w:val="singleLevel"/>
    <w:tmpl w:val="0BB24D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312767"/>
    <w:multiLevelType w:val="singleLevel"/>
    <w:tmpl w:val="1B3127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980FE1"/>
    <w:multiLevelType w:val="multilevel"/>
    <w:tmpl w:val="5C980FE1"/>
    <w:lvl w:ilvl="0" w:tentative="0">
      <w:start w:val="1"/>
      <w:numFmt w:val="japaneseCounting"/>
      <w:lvlText w:val="（%1）"/>
      <w:lvlJc w:val="left"/>
      <w:pPr>
        <w:tabs>
          <w:tab w:val="left" w:pos="1680"/>
        </w:tabs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23B"/>
    <w:rsid w:val="002E0BCF"/>
    <w:rsid w:val="0030011C"/>
    <w:rsid w:val="003B26F5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D418D6"/>
    <w:rsid w:val="00F420E1"/>
    <w:rsid w:val="12D72A26"/>
    <w:rsid w:val="1F7F0ECF"/>
    <w:rsid w:val="4404150A"/>
    <w:rsid w:val="50EB3365"/>
    <w:rsid w:val="64C34EDF"/>
    <w:rsid w:val="6F64598D"/>
    <w:rsid w:val="72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0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37</TotalTime>
  <ScaleCrop>false</ScaleCrop>
  <LinksUpToDate>false</LinksUpToDate>
  <CharactersWithSpaces>212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2017-05-25T11:34:00Z</dcterms:created>
  <dc:creator>吕蓓</dc:creator>
  <cp:lastModifiedBy>漂流瓶</cp:lastModifiedBy>
  <cp:lastPrinted>2018-04-12T16:59:00Z</cp:lastPrinted>
  <dcterms:modified xsi:type="dcterms:W3CDTF">2018-12-28T06:53:42Z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