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运城市工商行政管理局绛县经济开发区分局</w:t>
      </w:r>
    </w:p>
    <w:p>
      <w:pPr>
        <w:widowControl/>
        <w:shd w:val="clear" w:color="auto" w:fill="FFFFFF"/>
        <w:spacing w:line="600" w:lineRule="atLeast"/>
        <w:ind w:left="360"/>
        <w:jc w:val="center"/>
        <w:rPr>
          <w:rFonts w:ascii="宋体" w:hAnsi="宋体" w:cs="宋体"/>
          <w:color w:val="000000"/>
          <w:kern w:val="0"/>
          <w:sz w:val="36"/>
          <w:szCs w:val="36"/>
        </w:rPr>
      </w:pPr>
      <w:r>
        <w:rPr>
          <w:rFonts w:ascii="黑体" w:hAnsi="黑体" w:eastAsia="黑体" w:cs="宋体"/>
          <w:color w:val="000000"/>
          <w:kern w:val="0"/>
          <w:sz w:val="36"/>
          <w:szCs w:val="36"/>
        </w:rPr>
        <w:t>2017</w:t>
      </w:r>
      <w:r>
        <w:rPr>
          <w:rFonts w:hint="eastAsia" w:ascii="黑体" w:hAnsi="黑体" w:eastAsia="黑体" w:cs="宋体"/>
          <w:color w:val="000000"/>
          <w:kern w:val="0"/>
          <w:sz w:val="36"/>
          <w:szCs w:val="36"/>
        </w:rPr>
        <w:t>年度部门决算情况说明</w:t>
      </w:r>
    </w:p>
    <w:p>
      <w:pPr>
        <w:jc w:val="center"/>
        <w:rPr>
          <w:rFonts w:hint="eastAsia" w:ascii="黑体" w:hAnsi="黑体" w:eastAsia="黑体"/>
          <w:b/>
          <w:sz w:val="30"/>
          <w:szCs w:val="30"/>
          <w:lang w:val="en-US" w:eastAsia="zh-CN"/>
        </w:rPr>
      </w:pPr>
      <w:r>
        <w:rPr>
          <w:rFonts w:hint="eastAsia" w:ascii="黑体" w:hAnsi="黑体" w:eastAsia="黑体"/>
          <w:b/>
          <w:sz w:val="30"/>
          <w:szCs w:val="30"/>
          <w:lang w:eastAsia="zh-CN"/>
        </w:rPr>
        <w:t>第一部分</w:t>
      </w:r>
      <w:r>
        <w:rPr>
          <w:rFonts w:hint="eastAsia" w:ascii="黑体" w:hAnsi="黑体" w:eastAsia="黑体"/>
          <w:b/>
          <w:sz w:val="30"/>
          <w:szCs w:val="30"/>
          <w:lang w:val="en-US" w:eastAsia="zh-CN"/>
        </w:rPr>
        <w:t xml:space="preserve">  概况</w:t>
      </w:r>
    </w:p>
    <w:p>
      <w:pPr>
        <w:keepNext w:val="0"/>
        <w:keepLines w:val="0"/>
        <w:pageBreakBefore w:val="0"/>
        <w:numPr>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黑体" w:hAnsi="黑体" w:eastAsia="黑体"/>
          <w:b/>
          <w:sz w:val="30"/>
          <w:szCs w:val="30"/>
          <w:lang w:val="en-US" w:eastAsia="zh-CN"/>
        </w:rPr>
      </w:pPr>
      <w:r>
        <w:rPr>
          <w:rFonts w:hint="eastAsia" w:ascii="黑体" w:hAnsi="黑体" w:eastAsia="黑体"/>
          <w:b/>
          <w:sz w:val="30"/>
          <w:szCs w:val="30"/>
          <w:lang w:val="en-US" w:eastAsia="zh-CN"/>
        </w:rPr>
        <w:t xml:space="preserve">    一、部门主要职责</w:t>
      </w:r>
    </w:p>
    <w:p>
      <w:pPr>
        <w:keepNext w:val="0"/>
        <w:keepLines w:val="0"/>
        <w:pageBreakBefore w:val="0"/>
        <w:numPr>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仿宋" w:hAnsi="仿宋" w:eastAsia="仿宋" w:cs="仿宋"/>
          <w:b w:val="0"/>
          <w:bCs/>
          <w:sz w:val="30"/>
          <w:szCs w:val="30"/>
          <w:lang w:val="en-US" w:eastAsia="zh-CN"/>
        </w:rPr>
      </w:pPr>
      <w:r>
        <w:rPr>
          <w:rFonts w:hint="eastAsia" w:ascii="黑体" w:hAnsi="黑体" w:eastAsia="黑体"/>
          <w:b/>
          <w:sz w:val="30"/>
          <w:szCs w:val="30"/>
          <w:lang w:val="en-US" w:eastAsia="zh-CN"/>
        </w:rPr>
        <w:t xml:space="preserve">   </w:t>
      </w:r>
      <w:r>
        <w:rPr>
          <w:rFonts w:hint="eastAsia" w:ascii="黑体" w:hAnsi="黑体" w:eastAsia="黑体"/>
          <w:b w:val="0"/>
          <w:bCs/>
          <w:sz w:val="30"/>
          <w:szCs w:val="30"/>
          <w:lang w:val="en-US" w:eastAsia="zh-CN"/>
        </w:rPr>
        <w:t xml:space="preserve"> </w:t>
      </w:r>
      <w:r>
        <w:rPr>
          <w:rFonts w:hint="eastAsia" w:ascii="仿宋" w:hAnsi="仿宋" w:eastAsia="仿宋" w:cs="仿宋"/>
          <w:b w:val="0"/>
          <w:bCs/>
          <w:sz w:val="30"/>
          <w:szCs w:val="30"/>
          <w:lang w:val="en-US" w:eastAsia="zh-CN"/>
        </w:rPr>
        <w:t>履行工商行政管理综合职能，负责辖区非公经济组织党建工作。</w:t>
      </w:r>
    </w:p>
    <w:p>
      <w:pPr>
        <w:keepNext w:val="0"/>
        <w:keepLines w:val="0"/>
        <w:pageBreakBefore w:val="0"/>
        <w:numPr>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黑体" w:hAnsi="黑体" w:eastAsia="黑体" w:cs="黑体"/>
          <w:b/>
          <w:sz w:val="30"/>
          <w:szCs w:val="30"/>
          <w:lang w:val="en-US" w:eastAsia="zh-CN"/>
        </w:rPr>
      </w:pPr>
      <w:r>
        <w:rPr>
          <w:rFonts w:hint="eastAsia" w:ascii="仿宋" w:hAnsi="仿宋" w:eastAsia="仿宋" w:cs="仿宋"/>
          <w:b/>
          <w:sz w:val="30"/>
          <w:szCs w:val="30"/>
          <w:lang w:val="en-US" w:eastAsia="zh-CN"/>
        </w:rPr>
        <w:t xml:space="preserve">   </w:t>
      </w:r>
      <w:r>
        <w:rPr>
          <w:rFonts w:hint="eastAsia" w:ascii="黑体" w:hAnsi="黑体" w:eastAsia="黑体" w:cs="黑体"/>
          <w:b/>
          <w:sz w:val="30"/>
          <w:szCs w:val="30"/>
          <w:lang w:val="en-US" w:eastAsia="zh-CN"/>
        </w:rPr>
        <w:t xml:space="preserve"> 二、部门决算单位机构设置情况</w:t>
      </w:r>
    </w:p>
    <w:p>
      <w:pPr>
        <w:keepNext w:val="0"/>
        <w:keepLines w:val="0"/>
        <w:pageBreakBefore w:val="0"/>
        <w:numPr>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sz w:val="30"/>
          <w:szCs w:val="30"/>
          <w:lang w:val="en-US" w:eastAsia="zh-CN"/>
        </w:rPr>
        <w:t xml:space="preserve">    </w:t>
      </w:r>
      <w:r>
        <w:rPr>
          <w:rFonts w:hint="eastAsia" w:ascii="仿宋" w:hAnsi="仿宋" w:eastAsia="仿宋" w:cs="仿宋"/>
          <w:b w:val="0"/>
          <w:bCs/>
          <w:sz w:val="30"/>
          <w:szCs w:val="30"/>
          <w:lang w:val="en-US" w:eastAsia="zh-CN"/>
        </w:rPr>
        <w:t>在编人数14人，其中公务员11人，工勤3人；退休人员4人。内设科室4个，包括办公室、市场监督管理科、行政审批科、非公经济组织党建工作科。</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hint="eastAsia" w:ascii="黑体" w:hAnsi="黑体" w:eastAsia="黑体"/>
          <w:b/>
          <w:sz w:val="30"/>
          <w:szCs w:val="30"/>
          <w:lang w:val="en-US" w:eastAsia="zh-CN"/>
        </w:rPr>
      </w:pPr>
      <w:r>
        <w:rPr>
          <w:rFonts w:hint="eastAsia" w:ascii="黑体" w:hAnsi="黑体" w:eastAsia="黑体"/>
          <w:b/>
          <w:sz w:val="30"/>
          <w:szCs w:val="30"/>
          <w:lang w:eastAsia="zh-CN"/>
        </w:rPr>
        <w:t>第二部分</w:t>
      </w:r>
      <w:r>
        <w:rPr>
          <w:rFonts w:hint="eastAsia" w:ascii="黑体" w:hAnsi="黑体" w:eastAsia="黑体"/>
          <w:b/>
          <w:sz w:val="30"/>
          <w:szCs w:val="30"/>
          <w:lang w:val="en-US" w:eastAsia="zh-CN"/>
        </w:rPr>
        <w:t xml:space="preserve">  2017年度部门决算报表</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一、2017年收入支出决算总表</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二、2017年收入决算表</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三、2017年支出决算表</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四、2017年财政拨款收入支出决算总表</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五、2017年一般公共预算财政拨款支出决算表（一）</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六、2017年一般公共预算财政拨款支出决算表（二）</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七、2017年一般公共预算财政拨款“三公”经费支出表</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八、2017年政府型基金财政拨款收入支出决算表</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九、2017年部门决算公开相关信息统计表</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hint="eastAsia" w:ascii="黑体" w:hAnsi="黑体" w:eastAsia="黑体"/>
          <w:b/>
          <w:sz w:val="30"/>
          <w:szCs w:val="30"/>
          <w:lang w:eastAsia="zh-CN"/>
        </w:rPr>
      </w:pPr>
      <w:r>
        <w:rPr>
          <w:rFonts w:hint="eastAsia" w:ascii="黑体" w:hAnsi="黑体" w:eastAsia="黑体"/>
          <w:b/>
          <w:sz w:val="30"/>
          <w:szCs w:val="30"/>
          <w:lang w:eastAsia="zh-CN"/>
        </w:rPr>
        <w:t>第三部分</w:t>
      </w:r>
      <w:r>
        <w:rPr>
          <w:rFonts w:hint="eastAsia" w:ascii="黑体" w:hAnsi="黑体" w:eastAsia="黑体"/>
          <w:b/>
          <w:sz w:val="30"/>
          <w:szCs w:val="30"/>
          <w:lang w:val="en-US" w:eastAsia="zh-CN"/>
        </w:rPr>
        <w:t xml:space="preserve">   2017年度部门决算情况说明</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黑体" w:hAnsi="黑体" w:eastAsia="黑体"/>
          <w:b/>
          <w:sz w:val="30"/>
          <w:szCs w:val="30"/>
        </w:rPr>
      </w:pPr>
      <w:r>
        <w:rPr>
          <w:rFonts w:hint="eastAsia" w:ascii="黑体" w:hAnsi="黑体" w:eastAsia="黑体"/>
          <w:b/>
          <w:sz w:val="30"/>
          <w:szCs w:val="30"/>
        </w:rPr>
        <w:t>一、收入决算情况说明</w:t>
      </w:r>
    </w:p>
    <w:p>
      <w:pPr>
        <w:keepNext w:val="0"/>
        <w:keepLines w:val="0"/>
        <w:pageBreakBefore w:val="0"/>
        <w:kinsoku/>
        <w:wordWrap/>
        <w:overflowPunct/>
        <w:topLinePunct w:val="0"/>
        <w:autoSpaceDE/>
        <w:autoSpaceDN/>
        <w:bidi w:val="0"/>
        <w:adjustRightInd/>
        <w:snapToGrid/>
        <w:spacing w:line="400" w:lineRule="exact"/>
        <w:ind w:right="0" w:rightChars="0" w:firstLine="588" w:firstLineChars="196"/>
        <w:textAlignment w:val="auto"/>
        <w:outlineLvl w:val="9"/>
        <w:rPr>
          <w:rFonts w:ascii="仿宋_GB2312" w:hAnsi="黑体" w:eastAsia="仿宋_GB2312"/>
          <w:b/>
          <w:sz w:val="30"/>
          <w:szCs w:val="30"/>
        </w:rPr>
      </w:pPr>
      <w:r>
        <w:rPr>
          <w:rFonts w:hint="eastAsia" w:ascii="仿宋_GB2312" w:hAnsi="黑体" w:eastAsia="仿宋_GB2312"/>
          <w:sz w:val="30"/>
          <w:szCs w:val="30"/>
        </w:rPr>
        <w:t>本年收入合计174.8万元，其中：财政拨款收入174.8万元，占比100%。具体为行政运行146.49万元；一般行政管理事务13.32万元；其他工商行理事务支出4万元；其他组织事务支出1.27万元；其他支出9.72万元</w:t>
      </w:r>
      <w:r>
        <w:rPr>
          <w:rFonts w:hint="eastAsia" w:ascii="仿宋_GB2312" w:hAnsi="黑体" w:eastAsia="仿宋_GB2312"/>
          <w:b/>
          <w:sz w:val="30"/>
          <w:szCs w:val="30"/>
        </w:rPr>
        <w:t>。</w:t>
      </w:r>
    </w:p>
    <w:p>
      <w:pPr>
        <w:keepNext w:val="0"/>
        <w:keepLines w:val="0"/>
        <w:pageBreakBefore w:val="0"/>
        <w:kinsoku/>
        <w:wordWrap/>
        <w:overflowPunct/>
        <w:topLinePunct w:val="0"/>
        <w:autoSpaceDE/>
        <w:autoSpaceDN/>
        <w:bidi w:val="0"/>
        <w:adjustRightInd/>
        <w:snapToGrid/>
        <w:spacing w:line="400" w:lineRule="exact"/>
        <w:ind w:right="0" w:rightChars="0" w:firstLine="596" w:firstLineChars="198"/>
        <w:textAlignment w:val="auto"/>
        <w:outlineLvl w:val="9"/>
        <w:rPr>
          <w:rFonts w:ascii="黑体" w:hAnsi="黑体" w:eastAsia="黑体"/>
          <w:b/>
          <w:sz w:val="30"/>
          <w:szCs w:val="30"/>
        </w:rPr>
      </w:pPr>
      <w:r>
        <w:rPr>
          <w:rFonts w:hint="eastAsia" w:ascii="黑体" w:hAnsi="黑体" w:eastAsia="黑体"/>
          <w:b/>
          <w:sz w:val="30"/>
          <w:szCs w:val="30"/>
        </w:rPr>
        <w:t>二、支出决算情况说明</w:t>
      </w:r>
    </w:p>
    <w:p>
      <w:pPr>
        <w:keepNext w:val="0"/>
        <w:keepLines w:val="0"/>
        <w:pageBreakBefore w:val="0"/>
        <w:kinsoku/>
        <w:wordWrap/>
        <w:overflowPunct/>
        <w:topLinePunct w:val="0"/>
        <w:autoSpaceDE/>
        <w:autoSpaceDN/>
        <w:bidi w:val="0"/>
        <w:adjustRightInd/>
        <w:snapToGrid/>
        <w:spacing w:line="400" w:lineRule="exact"/>
        <w:ind w:right="0" w:rightChars="0" w:firstLine="588" w:firstLineChars="196"/>
        <w:textAlignment w:val="auto"/>
        <w:outlineLvl w:val="9"/>
        <w:rPr>
          <w:rFonts w:ascii="仿宋_GB2312" w:hAnsi="黑体" w:eastAsia="仿宋_GB2312"/>
          <w:sz w:val="30"/>
          <w:szCs w:val="30"/>
        </w:rPr>
      </w:pPr>
      <w:r>
        <w:rPr>
          <w:rFonts w:hint="eastAsia" w:ascii="仿宋_GB2312" w:hAnsi="黑体" w:eastAsia="仿宋_GB2312"/>
          <w:sz w:val="30"/>
          <w:szCs w:val="30"/>
        </w:rPr>
        <w:t>本年支出合计170.2万元，其中：基本支出146.49万元，占比86.07；项目支出23.71万元，占比13.93%。</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0"/>
        <w:jc w:val="left"/>
        <w:textAlignment w:val="auto"/>
        <w:outlineLvl w:val="9"/>
        <w:rPr>
          <w:rFonts w:ascii="仿宋_GB2312" w:hAnsi="仿宋" w:eastAsia="仿宋_GB2312" w:cs="宋体"/>
          <w:color w:val="000000"/>
          <w:kern w:val="0"/>
          <w:sz w:val="30"/>
          <w:szCs w:val="30"/>
        </w:rPr>
      </w:pPr>
      <w:r>
        <w:rPr>
          <w:rFonts w:hint="eastAsia" w:ascii="黑体" w:hAnsi="仿宋" w:eastAsia="黑体" w:cs="宋体"/>
          <w:b/>
          <w:bCs/>
          <w:color w:val="000000"/>
          <w:kern w:val="0"/>
          <w:sz w:val="30"/>
          <w:szCs w:val="30"/>
        </w:rPr>
        <w:t>三、2017年度部门决算数据变动情况说明。</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0"/>
        <w:jc w:val="left"/>
        <w:textAlignment w:val="auto"/>
        <w:outlineLvl w:val="9"/>
        <w:rPr>
          <w:rFonts w:ascii="仿宋_GB2312" w:hAnsi="宋体" w:eastAsia="仿宋_GB2312" w:cs="宋体"/>
          <w:color w:val="000000"/>
          <w:kern w:val="0"/>
          <w:sz w:val="30"/>
          <w:szCs w:val="30"/>
        </w:rPr>
      </w:pPr>
      <w:r>
        <w:rPr>
          <w:rFonts w:hint="eastAsia" w:ascii="仿宋_GB2312" w:hAnsi="仿宋" w:eastAsia="仿宋_GB2312" w:cs="宋体"/>
          <w:color w:val="000000"/>
          <w:kern w:val="0"/>
          <w:sz w:val="30"/>
          <w:szCs w:val="30"/>
        </w:rPr>
        <w:t>2017年综合收入174.8万元，比2016年增加23.74万元，增加原因主要是增加了职工取暖费和奖励金。2017年支出170.2万元，比2016年减少0.08万元。2017年财政拨款年初预算收入143.76万元，财政拨款决算收入170.2万元，增加26.44万元，增加原因主要是增加了职工取暖费和奖励金。</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00" w:lineRule="exact"/>
        <w:ind w:left="709" w:right="0" w:rightChars="0" w:hanging="113"/>
        <w:jc w:val="left"/>
        <w:textAlignment w:val="auto"/>
        <w:outlineLvl w:val="9"/>
        <w:rPr>
          <w:rFonts w:ascii="仿宋_GB2312" w:hAnsi="宋体" w:eastAsia="仿宋_GB2312" w:cs="宋体"/>
          <w:b/>
          <w:bCs/>
          <w:color w:val="000000"/>
          <w:kern w:val="0"/>
          <w:sz w:val="30"/>
          <w:szCs w:val="30"/>
        </w:rPr>
      </w:pPr>
      <w:r>
        <w:rPr>
          <w:rFonts w:hint="eastAsia" w:ascii="黑体" w:hAnsi="仿宋" w:eastAsia="黑体" w:cs="宋体"/>
          <w:b/>
          <w:bCs/>
          <w:color w:val="000000"/>
          <w:kern w:val="0"/>
          <w:sz w:val="30"/>
          <w:szCs w:val="30"/>
        </w:rPr>
        <w:t>关于“三公”经费支出说明</w:t>
      </w:r>
      <w:r>
        <w:rPr>
          <w:rFonts w:hint="eastAsia" w:ascii="仿宋_GB2312" w:hAnsi="宋体" w:eastAsia="仿宋_GB2312" w:cs="宋体"/>
          <w:b/>
          <w:bCs/>
          <w:color w:val="000000"/>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30" w:firstLineChars="210"/>
        <w:jc w:val="left"/>
        <w:textAlignment w:val="auto"/>
        <w:outlineLvl w:val="9"/>
        <w:rPr>
          <w:rFonts w:ascii="仿宋_GB2312" w:hAnsi="宋体" w:eastAsia="仿宋_GB2312" w:cs="宋体"/>
          <w:color w:val="000000"/>
          <w:kern w:val="0"/>
          <w:sz w:val="30"/>
          <w:szCs w:val="30"/>
        </w:rPr>
      </w:pPr>
      <w:r>
        <w:rPr>
          <w:rFonts w:hint="eastAsia" w:ascii="仿宋_GB2312" w:hAnsi="仿宋" w:eastAsia="仿宋_GB2312" w:cs="宋体"/>
          <w:color w:val="000000"/>
          <w:kern w:val="0"/>
          <w:sz w:val="30"/>
          <w:szCs w:val="30"/>
        </w:rPr>
        <w:t>2017年“三公”经费预算1万元，其中：公务用车运行维护费1万元。2017年“三公”经费共支出1.63万元，其中：公务用车运行维护费支出0.9万元，执法执勤车辆运行维护费0.73万元。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596" w:right="0" w:rightChars="0"/>
        <w:jc w:val="left"/>
        <w:textAlignment w:val="auto"/>
        <w:outlineLvl w:val="9"/>
        <w:rPr>
          <w:rFonts w:ascii="黑体" w:hAnsi="仿宋" w:eastAsia="黑体" w:cs="宋体"/>
          <w:b/>
          <w:bCs/>
          <w:color w:val="000000"/>
          <w:kern w:val="0"/>
          <w:sz w:val="30"/>
          <w:szCs w:val="30"/>
        </w:rPr>
      </w:pPr>
      <w:r>
        <w:rPr>
          <w:rFonts w:hint="eastAsia" w:ascii="黑体" w:hAnsi="仿宋" w:eastAsia="黑体" w:cs="宋体"/>
          <w:b/>
          <w:bCs/>
          <w:color w:val="000000"/>
          <w:kern w:val="0"/>
          <w:sz w:val="30"/>
          <w:szCs w:val="30"/>
        </w:rPr>
        <w:t>五、关于机关运行经费支出说明。</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594" w:firstLineChars="198"/>
        <w:jc w:val="left"/>
        <w:textAlignment w:val="auto"/>
        <w:outlineLvl w:val="9"/>
        <w:rPr>
          <w:rFonts w:ascii="仿宋_GB2312" w:hAnsi="仿宋" w:eastAsia="仿宋_GB2312" w:cs="宋体"/>
          <w:b/>
          <w:bCs/>
          <w:color w:val="000000"/>
          <w:kern w:val="0"/>
          <w:sz w:val="30"/>
          <w:szCs w:val="30"/>
        </w:rPr>
      </w:pPr>
      <w:r>
        <w:rPr>
          <w:rFonts w:hint="eastAsia" w:ascii="仿宋_GB2312" w:hAnsi="仿宋" w:eastAsia="仿宋_GB2312" w:cs="宋体"/>
          <w:color w:val="000000"/>
          <w:kern w:val="0"/>
          <w:sz w:val="30"/>
          <w:szCs w:val="30"/>
        </w:rPr>
        <w:t>2017年本部门机关运行经费支出7.08万元，比2016年增</w:t>
      </w:r>
      <w:bookmarkStart w:id="0" w:name="_GoBack"/>
      <w:r>
        <w:rPr>
          <w:rFonts w:hint="eastAsia" w:ascii="仿宋_GB2312" w:hAnsi="仿宋" w:eastAsia="仿宋_GB2312" w:cs="宋体"/>
          <w:color w:val="000000"/>
          <w:kern w:val="0"/>
          <w:sz w:val="30"/>
          <w:szCs w:val="30"/>
        </w:rPr>
        <w:t>加0.9万元，上升了14.56%。主要原因是:电费增加。</w:t>
      </w:r>
    </w:p>
    <w:bookmarkEnd w:id="0"/>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596" w:firstLineChars="198"/>
        <w:jc w:val="left"/>
        <w:textAlignment w:val="auto"/>
        <w:outlineLvl w:val="9"/>
        <w:rPr>
          <w:rFonts w:ascii="仿宋_GB2312" w:hAnsi="仿宋" w:eastAsia="仿宋_GB2312" w:cs="宋体"/>
          <w:color w:val="000000"/>
          <w:kern w:val="0"/>
          <w:sz w:val="30"/>
          <w:szCs w:val="30"/>
        </w:rPr>
      </w:pPr>
      <w:r>
        <w:rPr>
          <w:rFonts w:hint="eastAsia" w:ascii="仿宋_GB2312" w:hAnsi="仿宋" w:eastAsia="仿宋_GB2312" w:cs="宋体"/>
          <w:b/>
          <w:bCs/>
          <w:color w:val="000000"/>
          <w:kern w:val="0"/>
          <w:sz w:val="30"/>
          <w:szCs w:val="30"/>
        </w:rPr>
        <w:t>六、关于国有资产占用情况说明。</w:t>
      </w:r>
      <w:r>
        <w:rPr>
          <w:rFonts w:hint="eastAsia" w:ascii="仿宋_GB2312" w:hAnsi="仿宋" w:eastAsia="仿宋_GB2312" w:cs="宋体"/>
          <w:color w:val="000000"/>
          <w:kern w:val="0"/>
          <w:sz w:val="30"/>
          <w:szCs w:val="30"/>
        </w:rPr>
        <w:t>截至2017年12月31日，本部门共有车辆2辆，其中，机关公务用车1辆，执法办案车辆１辆。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50" w:firstLineChars="150"/>
        <w:jc w:val="left"/>
        <w:textAlignment w:val="auto"/>
        <w:outlineLvl w:val="9"/>
        <w:rPr>
          <w:rFonts w:ascii="黑体" w:eastAsia="黑体" w:cs="宋体"/>
          <w:color w:val="000000"/>
          <w:kern w:val="0"/>
          <w:sz w:val="30"/>
          <w:szCs w:val="30"/>
        </w:rPr>
      </w:pPr>
      <w:r>
        <w:rPr>
          <w:rFonts w:hint="eastAsia" w:ascii="黑体" w:eastAsia="黑体" w:cs="宋体"/>
          <w:color w:val="000000"/>
          <w:kern w:val="0"/>
          <w:sz w:val="30"/>
          <w:szCs w:val="30"/>
        </w:rPr>
        <w:t>七、政府采购情况</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50" w:firstLineChars="150"/>
        <w:jc w:val="left"/>
        <w:textAlignment w:val="auto"/>
        <w:outlineLvl w:val="9"/>
        <w:rPr>
          <w:rFonts w:ascii="仿宋_GB2312" w:eastAsia="仿宋_GB2312" w:cs="宋体"/>
          <w:color w:val="000000"/>
          <w:kern w:val="0"/>
          <w:sz w:val="30"/>
        </w:rPr>
      </w:pPr>
      <w:r>
        <w:rPr>
          <w:rFonts w:hint="eastAsia" w:ascii="仿宋_GB2312" w:eastAsia="仿宋_GB2312" w:cs="宋体"/>
          <w:color w:val="000000"/>
          <w:kern w:val="0"/>
          <w:sz w:val="30"/>
          <w:szCs w:val="30"/>
        </w:rPr>
        <w:t>2017年度政府采购支出总额0.93万元，其中：政府采购货物支出0.93万元。 </w:t>
      </w:r>
      <w:r>
        <w:rPr>
          <w:rFonts w:hint="eastAsia" w:ascii="仿宋_GB2312" w:eastAsia="仿宋_GB2312" w:cs="宋体"/>
          <w:color w:val="000000"/>
          <w:kern w:val="0"/>
          <w:sz w:val="30"/>
        </w:rPr>
        <w:t>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50" w:firstLineChars="150"/>
        <w:jc w:val="left"/>
        <w:textAlignment w:val="auto"/>
        <w:outlineLvl w:val="9"/>
        <w:rPr>
          <w:rFonts w:ascii="黑体" w:hAnsi="宋体" w:eastAsia="黑体" w:cs="宋体"/>
          <w:color w:val="000000"/>
          <w:kern w:val="0"/>
          <w:sz w:val="15"/>
          <w:szCs w:val="15"/>
        </w:rPr>
      </w:pPr>
      <w:r>
        <w:rPr>
          <w:rFonts w:hint="eastAsia" w:ascii="黑体" w:hAnsi="黑体" w:eastAsia="黑体" w:cs="宋体"/>
          <w:color w:val="000000"/>
          <w:kern w:val="0"/>
          <w:sz w:val="30"/>
          <w:szCs w:val="30"/>
        </w:rPr>
        <w:t>名词解释</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0"/>
        <w:jc w:val="left"/>
        <w:textAlignment w:val="auto"/>
        <w:outlineLvl w:val="9"/>
        <w:rPr>
          <w:rFonts w:ascii="仿宋_GB2312" w:hAnsi="宋体" w:eastAsia="仿宋_GB2312" w:cs="宋体"/>
          <w:color w:val="000000"/>
          <w:kern w:val="0"/>
          <w:sz w:val="15"/>
          <w:szCs w:val="15"/>
        </w:rPr>
      </w:pPr>
      <w:r>
        <w:rPr>
          <w:rFonts w:hint="eastAsia" w:ascii="仿宋_GB2312" w:hAnsi="仿宋" w:eastAsia="仿宋_GB2312" w:cs="宋体"/>
          <w:b/>
          <w:bCs/>
          <w:color w:val="000000"/>
          <w:kern w:val="0"/>
          <w:sz w:val="30"/>
          <w:szCs w:val="30"/>
        </w:rPr>
        <w:t>（一）基本支出：</w:t>
      </w:r>
      <w:r>
        <w:rPr>
          <w:rFonts w:hint="eastAsia" w:ascii="仿宋_GB2312" w:hAnsi="仿宋" w:eastAsia="仿宋_GB2312" w:cs="宋体"/>
          <w:color w:val="000000"/>
          <w:kern w:val="0"/>
          <w:sz w:val="30"/>
          <w:szCs w:val="30"/>
        </w:rPr>
        <w:t>指为保障机构正常运转、完成日常工作任务而发生的人员支出和公用支出。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0"/>
        <w:jc w:val="left"/>
        <w:textAlignment w:val="auto"/>
        <w:outlineLvl w:val="9"/>
        <w:rPr>
          <w:rFonts w:ascii="仿宋_GB2312" w:hAnsi="宋体" w:eastAsia="仿宋_GB2312" w:cs="宋体"/>
          <w:color w:val="000000"/>
          <w:kern w:val="0"/>
          <w:sz w:val="15"/>
          <w:szCs w:val="15"/>
        </w:rPr>
      </w:pPr>
      <w:r>
        <w:rPr>
          <w:rFonts w:hint="eastAsia" w:ascii="仿宋_GB2312" w:hAnsi="仿宋" w:eastAsia="仿宋_GB2312" w:cs="宋体"/>
          <w:b/>
          <w:bCs/>
          <w:color w:val="000000"/>
          <w:kern w:val="0"/>
          <w:sz w:val="30"/>
          <w:szCs w:val="30"/>
        </w:rPr>
        <w:t>（二）项目支出：</w:t>
      </w:r>
      <w:r>
        <w:rPr>
          <w:rFonts w:hint="eastAsia" w:ascii="仿宋_GB2312" w:hAnsi="仿宋" w:eastAsia="仿宋_GB2312" w:cs="宋体"/>
          <w:color w:val="000000"/>
          <w:kern w:val="0"/>
          <w:sz w:val="30"/>
          <w:szCs w:val="30"/>
        </w:rPr>
        <w:t>指在基本支出之外为完成特定行政任务和事业发展目标所发生的支出。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0"/>
        <w:jc w:val="left"/>
        <w:textAlignment w:val="auto"/>
        <w:outlineLvl w:val="9"/>
        <w:rPr>
          <w:rFonts w:ascii="仿宋_GB2312" w:hAnsi="宋体" w:eastAsia="仿宋_GB2312" w:cs="宋体"/>
          <w:color w:val="000000"/>
          <w:kern w:val="0"/>
          <w:sz w:val="15"/>
          <w:szCs w:val="15"/>
        </w:rPr>
      </w:pPr>
      <w:r>
        <w:rPr>
          <w:rFonts w:hint="eastAsia" w:ascii="仿宋_GB2312" w:hAnsi="仿宋" w:eastAsia="仿宋_GB2312" w:cs="宋体"/>
          <w:b/>
          <w:bCs/>
          <w:color w:val="000000"/>
          <w:kern w:val="0"/>
          <w:sz w:val="30"/>
          <w:szCs w:val="30"/>
        </w:rPr>
        <w:t>（三）“三公”经费：</w:t>
      </w:r>
      <w:r>
        <w:rPr>
          <w:rFonts w:hint="eastAsia" w:ascii="仿宋_GB2312" w:hAnsi="仿宋" w:eastAsia="仿宋_GB2312" w:cs="宋体"/>
          <w:color w:val="000000"/>
          <w:kern w:val="0"/>
          <w:sz w:val="30"/>
          <w:szCs w:val="30"/>
        </w:rPr>
        <w:t>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0"/>
        <w:jc w:val="left"/>
        <w:textAlignment w:val="auto"/>
        <w:outlineLvl w:val="9"/>
        <w:rPr>
          <w:rFonts w:hint="eastAsia" w:ascii="仿宋_GB2312" w:hAnsi="仿宋" w:eastAsia="仿宋_GB2312" w:cs="宋体"/>
          <w:color w:val="000000"/>
          <w:kern w:val="0"/>
          <w:sz w:val="30"/>
          <w:szCs w:val="30"/>
        </w:rPr>
      </w:pPr>
      <w:r>
        <w:rPr>
          <w:rFonts w:hint="eastAsia" w:ascii="仿宋_GB2312" w:hAnsi="仿宋" w:eastAsia="仿宋_GB2312" w:cs="宋体"/>
          <w:b/>
          <w:bCs/>
          <w:color w:val="000000"/>
          <w:kern w:val="0"/>
          <w:sz w:val="30"/>
          <w:szCs w:val="30"/>
        </w:rPr>
        <w:t>（四）机关运行经费：</w:t>
      </w:r>
      <w:r>
        <w:rPr>
          <w:rFonts w:hint="eastAsia" w:ascii="仿宋_GB2312" w:hAnsi="仿宋" w:eastAsia="仿宋_GB2312" w:cs="宋体"/>
          <w:color w:val="000000"/>
          <w:kern w:val="0"/>
          <w:sz w:val="30"/>
          <w:szCs w:val="30"/>
        </w:rPr>
        <w:t>指行政单位和参照公务员法管理的事业单位使用一般公共预算安排的基本支出中的日常公用经费支出。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0"/>
        <w:jc w:val="left"/>
        <w:textAlignment w:val="auto"/>
        <w:outlineLvl w:val="9"/>
        <w:rPr>
          <w:rFonts w:hint="eastAsia" w:ascii="仿宋_GB2312" w:hAnsi="仿宋" w:eastAsia="仿宋_GB2312" w:cs="宋体"/>
          <w:color w:val="000000"/>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jc w:val="left"/>
        <w:textAlignment w:val="auto"/>
        <w:outlineLvl w:val="9"/>
        <w:rPr>
          <w:rFonts w:ascii="仿宋_GB2312" w:hAnsi="宋体" w:eastAsia="仿宋_GB2312" w:cs="宋体"/>
          <w:color w:val="000000"/>
          <w:kern w:val="0"/>
          <w:sz w:val="15"/>
          <w:szCs w:val="15"/>
        </w:rPr>
      </w:pPr>
      <w:r>
        <w:rPr>
          <w:rFonts w:hint="eastAsia" w:ascii="仿宋_GB2312" w:hAnsi="仿宋" w:eastAsia="仿宋_GB2312" w:cs="宋体"/>
          <w:color w:val="000000"/>
          <w:kern w:val="0"/>
          <w:sz w:val="30"/>
          <w:szCs w:val="30"/>
          <w:lang w:val="en-US" w:eastAsia="zh-CN"/>
        </w:rPr>
        <w:t xml:space="preserve">                                        </w:t>
      </w:r>
      <w:r>
        <w:rPr>
          <w:rFonts w:hint="eastAsia" w:ascii="仿宋_GB2312" w:hAnsi="仿宋" w:eastAsia="仿宋_GB2312" w:cs="宋体"/>
          <w:color w:val="000000"/>
          <w:kern w:val="0"/>
          <w:sz w:val="30"/>
          <w:szCs w:val="30"/>
        </w:rPr>
        <w:t>2018年9月21日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41263"/>
    <w:multiLevelType w:val="multilevel"/>
    <w:tmpl w:val="7A141263"/>
    <w:lvl w:ilvl="0" w:tentative="0">
      <w:start w:val="4"/>
      <w:numFmt w:val="japaneseCounting"/>
      <w:lvlText w:val="%1、"/>
      <w:lvlJc w:val="left"/>
      <w:pPr>
        <w:ind w:left="1316" w:hanging="720"/>
      </w:pPr>
      <w:rPr>
        <w:rFonts w:hint="default" w:ascii="黑体" w:hAnsi="仿宋" w:eastAsia="黑体"/>
      </w:rPr>
    </w:lvl>
    <w:lvl w:ilvl="1" w:tentative="0">
      <w:start w:val="1"/>
      <w:numFmt w:val="lowerLetter"/>
      <w:lvlText w:val="%2)"/>
      <w:lvlJc w:val="left"/>
      <w:pPr>
        <w:ind w:left="1436" w:hanging="420"/>
      </w:pPr>
    </w:lvl>
    <w:lvl w:ilvl="2" w:tentative="0">
      <w:start w:val="1"/>
      <w:numFmt w:val="lowerRoman"/>
      <w:lvlText w:val="%3."/>
      <w:lvlJc w:val="right"/>
      <w:pPr>
        <w:ind w:left="1856" w:hanging="420"/>
      </w:pPr>
    </w:lvl>
    <w:lvl w:ilvl="3" w:tentative="0">
      <w:start w:val="1"/>
      <w:numFmt w:val="decimal"/>
      <w:lvlText w:val="%4."/>
      <w:lvlJc w:val="left"/>
      <w:pPr>
        <w:ind w:left="2276" w:hanging="420"/>
      </w:pPr>
    </w:lvl>
    <w:lvl w:ilvl="4" w:tentative="0">
      <w:start w:val="1"/>
      <w:numFmt w:val="lowerLetter"/>
      <w:lvlText w:val="%5)"/>
      <w:lvlJc w:val="left"/>
      <w:pPr>
        <w:ind w:left="2696" w:hanging="420"/>
      </w:pPr>
    </w:lvl>
    <w:lvl w:ilvl="5" w:tentative="0">
      <w:start w:val="1"/>
      <w:numFmt w:val="lowerRoman"/>
      <w:lvlText w:val="%6."/>
      <w:lvlJc w:val="right"/>
      <w:pPr>
        <w:ind w:left="3116" w:hanging="420"/>
      </w:pPr>
    </w:lvl>
    <w:lvl w:ilvl="6" w:tentative="0">
      <w:start w:val="1"/>
      <w:numFmt w:val="decimal"/>
      <w:lvlText w:val="%7."/>
      <w:lvlJc w:val="left"/>
      <w:pPr>
        <w:ind w:left="3536" w:hanging="420"/>
      </w:pPr>
    </w:lvl>
    <w:lvl w:ilvl="7" w:tentative="0">
      <w:start w:val="1"/>
      <w:numFmt w:val="lowerLetter"/>
      <w:lvlText w:val="%8)"/>
      <w:lvlJc w:val="left"/>
      <w:pPr>
        <w:ind w:left="3956" w:hanging="420"/>
      </w:pPr>
    </w:lvl>
    <w:lvl w:ilvl="8" w:tentative="0">
      <w:start w:val="1"/>
      <w:numFmt w:val="lowerRoman"/>
      <w:lvlText w:val="%9."/>
      <w:lvlJc w:val="right"/>
      <w:pPr>
        <w:ind w:left="4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A7237A"/>
    <w:rsid w:val="000D1E00"/>
    <w:rsid w:val="001D2FD5"/>
    <w:rsid w:val="002203D4"/>
    <w:rsid w:val="002634C7"/>
    <w:rsid w:val="00333C0E"/>
    <w:rsid w:val="003B38F9"/>
    <w:rsid w:val="004839A7"/>
    <w:rsid w:val="00590ADF"/>
    <w:rsid w:val="00614092"/>
    <w:rsid w:val="006A7677"/>
    <w:rsid w:val="00827FCA"/>
    <w:rsid w:val="0084277A"/>
    <w:rsid w:val="009A2BC1"/>
    <w:rsid w:val="009B5BEE"/>
    <w:rsid w:val="00A10A41"/>
    <w:rsid w:val="00A421F4"/>
    <w:rsid w:val="00A7237A"/>
    <w:rsid w:val="00B07DA8"/>
    <w:rsid w:val="00B24E8E"/>
    <w:rsid w:val="00BA4FA0"/>
    <w:rsid w:val="00C34965"/>
    <w:rsid w:val="00C54A8A"/>
    <w:rsid w:val="00CD467B"/>
    <w:rsid w:val="00CE0D94"/>
    <w:rsid w:val="00D1165E"/>
    <w:rsid w:val="00D62769"/>
    <w:rsid w:val="00DB1518"/>
    <w:rsid w:val="00E5097E"/>
    <w:rsid w:val="00E71D1D"/>
    <w:rsid w:val="00FD2F3D"/>
    <w:rsid w:val="4B694EC6"/>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locked/>
    <w:uiPriority w:val="99"/>
    <w:rPr>
      <w:rFonts w:cs="Times New Roman"/>
      <w:sz w:val="18"/>
      <w:szCs w:val="18"/>
    </w:rPr>
  </w:style>
  <w:style w:type="character" w:customStyle="1" w:styleId="7">
    <w:name w:val="页脚 Char"/>
    <w:basedOn w:val="4"/>
    <w:link w:val="2"/>
    <w:semiHidden/>
    <w:locked/>
    <w:uiPriority w:val="99"/>
    <w:rPr>
      <w:rFonts w:cs="Times New Roman"/>
      <w:sz w:val="18"/>
      <w:szCs w:val="18"/>
    </w:rPr>
  </w:style>
  <w:style w:type="character" w:customStyle="1" w:styleId="8">
    <w:name w:val="apple-converted-space"/>
    <w:basedOn w:val="4"/>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904</Words>
  <Characters>174</Characters>
  <Lines>1</Lines>
  <Paragraphs>2</Paragraphs>
  <TotalTime>0</TotalTime>
  <ScaleCrop>false</ScaleCrop>
  <LinksUpToDate>false</LinksUpToDate>
  <CharactersWithSpaces>1076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2018-09-20T06:08:00Z</dcterms:created>
  <dc:creator>微软用户</dc:creator>
  <cp:lastModifiedBy>Administrator</cp:lastModifiedBy>
  <cp:lastPrinted>2018-09-21T03:10:28Z</cp:lastPrinted>
  <dcterms:modified xsi:type="dcterms:W3CDTF">2018-09-21T03:11:46Z</dcterms:modified>
  <dc:title>三部分  2016年度部门决算情况说明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