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运城市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尊村引黄</w:t>
      </w:r>
      <w:r>
        <w:rPr>
          <w:rFonts w:hint="eastAsia" w:ascii="方正小标宋简体" w:eastAsia="方正小标宋简体"/>
          <w:sz w:val="44"/>
          <w:szCs w:val="44"/>
        </w:rPr>
        <w:t>局2016年度部门决算</w:t>
      </w:r>
    </w:p>
    <w:p>
      <w:pPr>
        <w:jc w:val="left"/>
        <w:rPr>
          <w:rFonts w:hint="eastAsia" w:ascii="仿宋" w:hAnsi="仿宋" w:eastAsia="仿宋" w:cs="华文中宋"/>
          <w:b/>
          <w:sz w:val="44"/>
          <w:szCs w:val="44"/>
        </w:rPr>
      </w:pPr>
    </w:p>
    <w:p>
      <w:pPr>
        <w:jc w:val="left"/>
        <w:rPr>
          <w:rFonts w:ascii="仿宋" w:hAnsi="仿宋" w:eastAsia="仿宋" w:cs="华文中宋"/>
          <w:b/>
          <w:sz w:val="44"/>
          <w:szCs w:val="44"/>
        </w:rPr>
      </w:pPr>
      <w:r>
        <w:rPr>
          <w:rFonts w:hint="eastAsia" w:ascii="仿宋" w:hAnsi="仿宋" w:eastAsia="仿宋" w:cs="华文中宋"/>
          <w:b/>
          <w:sz w:val="44"/>
          <w:szCs w:val="44"/>
        </w:rPr>
        <w:t>第一部分        概况</w:t>
      </w:r>
    </w:p>
    <w:p>
      <w:pPr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b/>
          <w:sz w:val="32"/>
          <w:szCs w:val="32"/>
        </w:rPr>
        <w:t>工作职能</w:t>
      </w:r>
    </w:p>
    <w:p>
      <w:pPr>
        <w:spacing w:line="480" w:lineRule="auto"/>
        <w:ind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1、尊村引黄工程设计灌溉面积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166万亩，已建成受益83万亩，承担着永济、运城、临猗、夏县（市、区）38个乡镇、596个自然村的农业灌溉任务。</w:t>
      </w:r>
    </w:p>
    <w:p>
      <w:pPr>
        <w:spacing w:line="480" w:lineRule="auto"/>
        <w:ind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2、承担永济黄河O</w:t>
      </w:r>
      <w:r>
        <w:rPr>
          <w:rFonts w:hint="eastAsia" w:ascii="仿宋" w:hAnsi="仿宋" w:eastAsia="仿宋" w:cs="仿宋_GB2312"/>
          <w:sz w:val="32"/>
          <w:szCs w:val="32"/>
          <w:vertAlign w:val="superscript"/>
        </w:rPr>
        <w:t xml:space="preserve"># </w:t>
      </w:r>
      <w:r>
        <w:rPr>
          <w:rFonts w:hint="eastAsia" w:ascii="仿宋" w:hAnsi="仿宋" w:eastAsia="仿宋" w:cs="仿宋_GB2312"/>
          <w:sz w:val="32"/>
          <w:szCs w:val="32"/>
        </w:rPr>
        <w:t>坝防汛工作。</w:t>
      </w:r>
    </w:p>
    <w:p>
      <w:pPr>
        <w:spacing w:line="480" w:lineRule="auto"/>
        <w:ind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3、尊村引黄局承担着国有资产的管护任务。</w:t>
      </w:r>
    </w:p>
    <w:p>
      <w:pPr>
        <w:spacing w:line="480" w:lineRule="auto"/>
        <w:ind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4、尊村引黄局承担着这些未完工程续建、管理任务。</w:t>
      </w:r>
    </w:p>
    <w:p>
      <w:pPr>
        <w:spacing w:line="480" w:lineRule="auto"/>
        <w:ind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5、承担着给运城关铝热电、建龙钢铁等工业企业、盐湖区部分居民的生活用水、生态用水等供水任务。</w:t>
      </w:r>
    </w:p>
    <w:p>
      <w:pPr>
        <w:spacing w:line="480" w:lineRule="auto"/>
        <w:ind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6、尊村灌区已被列为水利部节水改造重点工程，尊村引黄局承担项目的申报、建设、管理及研究工程。</w:t>
      </w:r>
    </w:p>
    <w:p>
      <w:pPr>
        <w:spacing w:line="48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7、尊村引黄局承担以引黄灌溉为高效农业科研开发工作。</w:t>
      </w:r>
    </w:p>
    <w:p>
      <w:pPr>
        <w:widowControl/>
        <w:spacing w:line="48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二、 部门决算单位构成</w:t>
      </w:r>
    </w:p>
    <w:p>
      <w:pPr>
        <w:widowControl/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运城市尊村引黄灌溉管理局是市一级预算单位，本份部门决算仅包括市尊村引黄灌溉管理局本级决算，本部门无下属单位。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135F2"/>
    <w:rsid w:val="009C6DE6"/>
    <w:rsid w:val="00E135F2"/>
    <w:rsid w:val="12E31068"/>
    <w:rsid w:val="19DB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32</Characters>
  <Lines>1</Lines>
  <Paragraphs>1</Paragraphs>
  <TotalTime>0</TotalTime>
  <ScaleCrop>false</ScaleCrop>
  <LinksUpToDate>false</LinksUpToDate>
  <CharactersWithSpaces>348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2017-09-04T09:08:45Z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